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1B6D3F" w14:textId="230B48A7" w:rsidR="00037899" w:rsidRPr="00037899" w:rsidRDefault="00037899" w:rsidP="00037899">
      <w:pPr>
        <w:rPr>
          <w:rFonts w:ascii="Courier New" w:hAnsi="Courier New" w:cs="Courier New"/>
        </w:rPr>
      </w:pPr>
      <w:r>
        <w:rPr>
          <w:rFonts w:ascii="Courier New" w:hAnsi="Courier New"/>
        </w:rPr>
        <w:t>1. ------IND- 2020 0482 NL- DA- ------ 20200803 --- --- PROJET</w:t>
      </w:r>
    </w:p>
    <w:p w14:paraId="3B017F30" w14:textId="0C0A4590" w:rsidR="00073874" w:rsidRDefault="00073874" w:rsidP="00073874">
      <w:pPr>
        <w:rPr>
          <w:rFonts w:ascii="Verdana" w:hAnsi="Verdana"/>
          <w:sz w:val="18"/>
          <w:szCs w:val="18"/>
        </w:rPr>
      </w:pPr>
      <w:r>
        <w:rPr>
          <w:rFonts w:ascii="Verdana" w:hAnsi="Verdana"/>
          <w:sz w:val="18"/>
          <w:szCs w:val="18"/>
        </w:rPr>
        <w:t>Dekret fra ministeren for lægebehandling af ... om regler for fødevarer på basis af protein (ko- eller gedemælk), som er tilsat mindst et eller flere vitaminer, mineraler eller andre stoffer og som er beregnet til anvendelse som drikkevare til små børn mellem et og tre år (varelovdekret om modermælkserstatning og mælk til småbørn)</w:t>
      </w:r>
    </w:p>
    <w:p w14:paraId="437932D9" w14:textId="77777777" w:rsidR="00073874" w:rsidRDefault="00073874" w:rsidP="00073874">
      <w:pPr>
        <w:rPr>
          <w:rFonts w:ascii="Verdana" w:hAnsi="Verdana"/>
          <w:sz w:val="18"/>
          <w:szCs w:val="18"/>
        </w:rPr>
      </w:pPr>
    </w:p>
    <w:p w14:paraId="1BA08394" w14:textId="77777777" w:rsidR="00073874" w:rsidRDefault="00073874" w:rsidP="00073874">
      <w:pPr>
        <w:rPr>
          <w:rFonts w:ascii="Verdana" w:hAnsi="Verdana"/>
          <w:sz w:val="18"/>
          <w:szCs w:val="18"/>
        </w:rPr>
      </w:pPr>
    </w:p>
    <w:p w14:paraId="77E488F3" w14:textId="77777777" w:rsidR="00073874" w:rsidRDefault="00073874" w:rsidP="00073874">
      <w:pPr>
        <w:rPr>
          <w:rFonts w:ascii="Verdana" w:hAnsi="Verdana"/>
          <w:sz w:val="18"/>
          <w:szCs w:val="18"/>
        </w:rPr>
      </w:pPr>
    </w:p>
    <w:p w14:paraId="1566B75C" w14:textId="77777777" w:rsidR="00073874" w:rsidRDefault="00073874" w:rsidP="00073874">
      <w:pPr>
        <w:rPr>
          <w:rFonts w:ascii="Verdana" w:hAnsi="Verdana"/>
          <w:sz w:val="18"/>
          <w:szCs w:val="18"/>
        </w:rPr>
      </w:pPr>
    </w:p>
    <w:p w14:paraId="2094F940" w14:textId="77777777" w:rsidR="00073874" w:rsidRDefault="00073874" w:rsidP="00073874">
      <w:pPr>
        <w:rPr>
          <w:rFonts w:ascii="Verdana" w:hAnsi="Verdana"/>
          <w:sz w:val="18"/>
          <w:szCs w:val="18"/>
        </w:rPr>
      </w:pPr>
    </w:p>
    <w:p w14:paraId="0E2AC1E7" w14:textId="35D373B2" w:rsidR="00073874" w:rsidRPr="005931DF" w:rsidRDefault="00073874" w:rsidP="00073874">
      <w:pPr>
        <w:rPr>
          <w:rFonts w:ascii="Verdana" w:hAnsi="Verdana"/>
          <w:sz w:val="18"/>
          <w:szCs w:val="18"/>
        </w:rPr>
      </w:pPr>
      <w:r>
        <w:rPr>
          <w:rFonts w:ascii="Verdana" w:hAnsi="Verdana"/>
          <w:sz w:val="18"/>
          <w:szCs w:val="18"/>
        </w:rPr>
        <w:t>efter forslag fra ministeren for lægebehandling af... 2020, reference -WJZ</w:t>
      </w:r>
    </w:p>
    <w:p w14:paraId="195D707F" w14:textId="77777777" w:rsidR="00073874" w:rsidRDefault="00073874" w:rsidP="00073874">
      <w:pPr>
        <w:rPr>
          <w:rFonts w:ascii="Verdana" w:hAnsi="Verdana"/>
          <w:sz w:val="18"/>
          <w:szCs w:val="18"/>
        </w:rPr>
      </w:pPr>
    </w:p>
    <w:p w14:paraId="58E25089" w14:textId="007B3731" w:rsidR="00073874" w:rsidRPr="00834842" w:rsidRDefault="00834842" w:rsidP="00834842">
      <w:pPr>
        <w:rPr>
          <w:rFonts w:ascii="Verdana" w:hAnsi="Verdana"/>
          <w:sz w:val="18"/>
          <w:szCs w:val="18"/>
        </w:rPr>
      </w:pPr>
      <w:r>
        <w:rPr>
          <w:rFonts w:ascii="Verdana" w:hAnsi="Verdana"/>
          <w:sz w:val="18"/>
          <w:szCs w:val="18"/>
        </w:rPr>
        <w:t>under henvisning til artikel 4, stk. 1, artikel 5, stk. 1, artikel 8, stk. 1, litra a), b), c) og f) samt artikel 32b i lov om handelsvarer</w:t>
      </w:r>
    </w:p>
    <w:p w14:paraId="7D388C48" w14:textId="77777777" w:rsidR="00073874" w:rsidRPr="005931DF" w:rsidRDefault="00073874" w:rsidP="00073874">
      <w:pPr>
        <w:rPr>
          <w:rFonts w:ascii="Verdana" w:hAnsi="Verdana"/>
          <w:sz w:val="18"/>
          <w:szCs w:val="18"/>
        </w:rPr>
      </w:pPr>
    </w:p>
    <w:p w14:paraId="7D6A914D" w14:textId="3827A31D" w:rsidR="00073874" w:rsidRPr="005931DF" w:rsidRDefault="00073874" w:rsidP="00073874">
      <w:pPr>
        <w:rPr>
          <w:rFonts w:ascii="Verdana" w:hAnsi="Verdana"/>
          <w:sz w:val="18"/>
          <w:szCs w:val="18"/>
        </w:rPr>
      </w:pPr>
      <w:r>
        <w:rPr>
          <w:rFonts w:ascii="Verdana" w:hAnsi="Verdana"/>
          <w:sz w:val="18"/>
          <w:szCs w:val="18"/>
        </w:rPr>
        <w:t>efter høring fra rådgivningsafdelingen for statsrådet (udtalelse af [indsæt dato for udtalelsen], , nr. [indsæt nummer for udtalelsen])</w:t>
      </w:r>
    </w:p>
    <w:p w14:paraId="7C552D95" w14:textId="77777777" w:rsidR="00073874" w:rsidRPr="005931DF" w:rsidRDefault="00073874" w:rsidP="00073874">
      <w:pPr>
        <w:rPr>
          <w:rFonts w:ascii="Verdana" w:hAnsi="Verdana"/>
          <w:sz w:val="18"/>
          <w:szCs w:val="18"/>
        </w:rPr>
      </w:pPr>
    </w:p>
    <w:p w14:paraId="6AC29BA5" w14:textId="624D8AC7" w:rsidR="00073874" w:rsidRPr="005931DF" w:rsidRDefault="00073874" w:rsidP="00073874">
      <w:pPr>
        <w:rPr>
          <w:rFonts w:ascii="Verdana" w:hAnsi="Verdana"/>
          <w:sz w:val="18"/>
          <w:szCs w:val="18"/>
        </w:rPr>
      </w:pPr>
      <w:r>
        <w:rPr>
          <w:rFonts w:ascii="Verdana" w:hAnsi="Verdana"/>
          <w:sz w:val="18"/>
          <w:szCs w:val="18"/>
        </w:rPr>
        <w:t>i lyset af den detaljerede rapport fra ministeren for lægebehandling af [indsæt dato for den detaljerede rapport], [indsæt henvisning for den detaljerede rapport]</w:t>
      </w:r>
    </w:p>
    <w:p w14:paraId="46DA0626" w14:textId="77777777" w:rsidR="00073874" w:rsidRPr="006B7C86" w:rsidRDefault="00073874" w:rsidP="00073874">
      <w:pPr>
        <w:rPr>
          <w:rFonts w:ascii="Verdana" w:hAnsi="Verdana"/>
          <w:sz w:val="18"/>
          <w:szCs w:val="18"/>
        </w:rPr>
      </w:pPr>
    </w:p>
    <w:p w14:paraId="352AA74A" w14:textId="77777777" w:rsidR="00073874" w:rsidRPr="006B7C86" w:rsidRDefault="00073874" w:rsidP="00073874">
      <w:pPr>
        <w:rPr>
          <w:rFonts w:ascii="Verdana" w:hAnsi="Verdana"/>
          <w:sz w:val="18"/>
          <w:szCs w:val="18"/>
        </w:rPr>
      </w:pPr>
      <w:r>
        <w:rPr>
          <w:rFonts w:ascii="Verdana" w:hAnsi="Verdana"/>
          <w:sz w:val="18"/>
          <w:szCs w:val="18"/>
        </w:rPr>
        <w:t>godkender og dekreterer herved følgende:</w:t>
      </w:r>
    </w:p>
    <w:p w14:paraId="4060804C" w14:textId="77777777" w:rsidR="00073874" w:rsidRPr="006B7C86" w:rsidRDefault="00073874" w:rsidP="00073874">
      <w:pPr>
        <w:rPr>
          <w:rFonts w:ascii="Verdana" w:hAnsi="Verdana"/>
          <w:sz w:val="18"/>
          <w:szCs w:val="18"/>
        </w:rPr>
      </w:pPr>
    </w:p>
    <w:p w14:paraId="5126C936" w14:textId="77777777" w:rsidR="00073874" w:rsidRPr="006B7C86" w:rsidRDefault="00073874" w:rsidP="00037899">
      <w:pPr>
        <w:keepNext/>
        <w:keepLines/>
        <w:rPr>
          <w:rFonts w:ascii="Verdana" w:hAnsi="Verdana"/>
          <w:b/>
          <w:sz w:val="18"/>
          <w:szCs w:val="18"/>
        </w:rPr>
      </w:pPr>
      <w:r>
        <w:rPr>
          <w:rFonts w:ascii="Verdana" w:hAnsi="Verdana"/>
          <w:b/>
          <w:sz w:val="18"/>
          <w:szCs w:val="18"/>
        </w:rPr>
        <w:t>§ 1. Generelle bestemmelser</w:t>
      </w:r>
    </w:p>
    <w:p w14:paraId="58020225" w14:textId="77777777" w:rsidR="00073874" w:rsidRPr="006B7C86" w:rsidRDefault="00073874" w:rsidP="00037899">
      <w:pPr>
        <w:keepNext/>
        <w:keepLines/>
        <w:rPr>
          <w:rFonts w:ascii="Verdana" w:hAnsi="Verdana"/>
          <w:kern w:val="2"/>
          <w:sz w:val="18"/>
          <w:szCs w:val="18"/>
        </w:rPr>
      </w:pPr>
    </w:p>
    <w:p w14:paraId="60192400" w14:textId="4D83A80C" w:rsidR="00073874" w:rsidRPr="006B7C86" w:rsidRDefault="00073874" w:rsidP="00037899">
      <w:pPr>
        <w:keepNext/>
        <w:keepLines/>
        <w:rPr>
          <w:rFonts w:ascii="Verdana" w:hAnsi="Verdana"/>
          <w:b/>
          <w:kern w:val="2"/>
          <w:sz w:val="18"/>
          <w:szCs w:val="18"/>
        </w:rPr>
      </w:pPr>
      <w:r>
        <w:rPr>
          <w:rFonts w:ascii="Verdana" w:hAnsi="Verdana"/>
          <w:b/>
          <w:sz w:val="18"/>
          <w:szCs w:val="18"/>
        </w:rPr>
        <w:t>Artikel 1</w:t>
      </w:r>
    </w:p>
    <w:p w14:paraId="3F86F6AE" w14:textId="77777777" w:rsidR="00073874" w:rsidRDefault="00073874" w:rsidP="00037899">
      <w:pPr>
        <w:keepNext/>
        <w:keepLines/>
        <w:rPr>
          <w:rFonts w:ascii="Verdana" w:hAnsi="Verdana"/>
          <w:b/>
          <w:kern w:val="2"/>
          <w:sz w:val="18"/>
          <w:szCs w:val="18"/>
        </w:rPr>
      </w:pPr>
    </w:p>
    <w:p w14:paraId="37B25385" w14:textId="4B8B5911" w:rsidR="00073874" w:rsidRDefault="00073874" w:rsidP="00037899">
      <w:pPr>
        <w:keepNext/>
        <w:keepLines/>
        <w:rPr>
          <w:rFonts w:ascii="Verdana" w:hAnsi="Verdana"/>
          <w:kern w:val="2"/>
          <w:sz w:val="18"/>
          <w:szCs w:val="18"/>
        </w:rPr>
      </w:pPr>
      <w:r>
        <w:rPr>
          <w:rFonts w:ascii="Verdana" w:hAnsi="Verdana"/>
          <w:sz w:val="18"/>
          <w:szCs w:val="18"/>
        </w:rPr>
        <w:t xml:space="preserve">I medfør af dette dekret gælder følgende definitioner: </w:t>
      </w:r>
    </w:p>
    <w:p w14:paraId="4F3AD4C8" w14:textId="77777777" w:rsidR="00073874" w:rsidRPr="000678FD" w:rsidRDefault="00073874" w:rsidP="00037899">
      <w:pPr>
        <w:keepNext/>
        <w:keepLines/>
        <w:rPr>
          <w:rFonts w:ascii="Verdana" w:hAnsi="Verdana"/>
          <w:kern w:val="2"/>
          <w:sz w:val="18"/>
          <w:szCs w:val="18"/>
        </w:rPr>
      </w:pPr>
    </w:p>
    <w:p w14:paraId="7056BAF2" w14:textId="0E814BB6" w:rsidR="0059594E" w:rsidRPr="001E7E1A" w:rsidRDefault="00073874" w:rsidP="00073874">
      <w:pPr>
        <w:rPr>
          <w:rFonts w:ascii="Verdana" w:eastAsiaTheme="minorHAnsi" w:hAnsi="Verdana" w:cs="Segoe UI"/>
          <w:color w:val="000000"/>
          <w:sz w:val="18"/>
          <w:szCs w:val="18"/>
        </w:rPr>
      </w:pPr>
      <w:r>
        <w:rPr>
          <w:rFonts w:ascii="Verdana" w:hAnsi="Verdana"/>
          <w:sz w:val="18"/>
          <w:szCs w:val="18"/>
        </w:rPr>
        <w:t xml:space="preserve">a. </w:t>
      </w:r>
      <w:r>
        <w:rPr>
          <w:rFonts w:ascii="Verdana" w:hAnsi="Verdana"/>
          <w:i/>
          <w:iCs/>
          <w:sz w:val="18"/>
          <w:szCs w:val="18"/>
        </w:rPr>
        <w:t>andet stof</w:t>
      </w:r>
      <w:r>
        <w:rPr>
          <w:rFonts w:ascii="Verdana" w:hAnsi="Verdana"/>
          <w:sz w:val="18"/>
          <w:szCs w:val="18"/>
        </w:rPr>
        <w:t>: et stof som omhandlet i artikel 2, stk. 2, i forordning (EF) nr. 1925/2006.</w:t>
      </w:r>
    </w:p>
    <w:p w14:paraId="1F01D0BA" w14:textId="10F2BBF5" w:rsidR="00073874" w:rsidRPr="009B071A" w:rsidRDefault="0059594E" w:rsidP="00073874">
      <w:pPr>
        <w:rPr>
          <w:rFonts w:ascii="Verdana" w:hAnsi="Verdana"/>
          <w:kern w:val="2"/>
          <w:sz w:val="18"/>
          <w:szCs w:val="18"/>
        </w:rPr>
      </w:pPr>
      <w:r>
        <w:rPr>
          <w:rFonts w:ascii="Verdana" w:hAnsi="Verdana"/>
          <w:sz w:val="18"/>
          <w:szCs w:val="18"/>
        </w:rPr>
        <w:t xml:space="preserve">b. </w:t>
      </w:r>
      <w:r>
        <w:rPr>
          <w:rFonts w:ascii="Verdana" w:hAnsi="Verdana"/>
          <w:i/>
          <w:iCs/>
          <w:sz w:val="18"/>
          <w:szCs w:val="18"/>
        </w:rPr>
        <w:t>tilskudsblanding</w:t>
      </w:r>
      <w:r>
        <w:rPr>
          <w:rFonts w:ascii="Verdana" w:hAnsi="Verdana"/>
          <w:sz w:val="18"/>
          <w:szCs w:val="18"/>
        </w:rPr>
        <w:t>: en fødevare som omhandlet i artikel 2, stk. 2, litra d) i forordning (EU) nr. 609/2013</w:t>
      </w:r>
    </w:p>
    <w:p w14:paraId="23B141C5" w14:textId="44D0B59D" w:rsidR="00073874" w:rsidRDefault="0059594E" w:rsidP="00073874">
      <w:pPr>
        <w:rPr>
          <w:rFonts w:ascii="Verdana" w:hAnsi="Verdana"/>
          <w:kern w:val="2"/>
          <w:sz w:val="18"/>
          <w:szCs w:val="18"/>
        </w:rPr>
      </w:pPr>
      <w:r>
        <w:rPr>
          <w:rFonts w:ascii="Verdana" w:hAnsi="Verdana"/>
          <w:sz w:val="18"/>
          <w:szCs w:val="18"/>
        </w:rPr>
        <w:t xml:space="preserve">c. </w:t>
      </w:r>
      <w:r>
        <w:rPr>
          <w:rFonts w:ascii="Verdana" w:hAnsi="Verdana"/>
          <w:i/>
          <w:iCs/>
          <w:sz w:val="18"/>
          <w:szCs w:val="18"/>
        </w:rPr>
        <w:t>modermælkserstatning</w:t>
      </w:r>
      <w:r>
        <w:rPr>
          <w:rFonts w:ascii="Verdana" w:hAnsi="Verdana"/>
          <w:sz w:val="18"/>
          <w:szCs w:val="18"/>
        </w:rPr>
        <w:t>: en fødevare på basis af protein, som er tilsat mindst et eller flere vitaminer, mineraler eller andre stoffer og som er beregnet til anvendelse som drikkevare til små børn mellem et og tre år</w:t>
      </w:r>
    </w:p>
    <w:p w14:paraId="6234E001" w14:textId="2D403FED" w:rsidR="00073874" w:rsidRPr="007926FF" w:rsidRDefault="0059594E" w:rsidP="00073874">
      <w:pPr>
        <w:rPr>
          <w:rFonts w:ascii="Verdana" w:hAnsi="Verdana"/>
          <w:kern w:val="2"/>
          <w:sz w:val="18"/>
          <w:szCs w:val="18"/>
        </w:rPr>
      </w:pPr>
      <w:r>
        <w:rPr>
          <w:rFonts w:ascii="Verdana" w:hAnsi="Verdana"/>
          <w:sz w:val="18"/>
          <w:szCs w:val="18"/>
        </w:rPr>
        <w:t xml:space="preserve">d. </w:t>
      </w:r>
      <w:r>
        <w:rPr>
          <w:rFonts w:ascii="Verdana" w:hAnsi="Verdana"/>
          <w:i/>
          <w:iCs/>
          <w:sz w:val="18"/>
          <w:szCs w:val="18"/>
        </w:rPr>
        <w:t>mælk til småbørn</w:t>
      </w:r>
      <w:r>
        <w:rPr>
          <w:rFonts w:ascii="Verdana" w:hAnsi="Verdana"/>
          <w:sz w:val="18"/>
          <w:szCs w:val="18"/>
        </w:rPr>
        <w:t>: en drikkevare til småbørn udelukkende på basis af ko- eller gedemælksprotein</w:t>
      </w:r>
    </w:p>
    <w:p w14:paraId="50055EC1" w14:textId="5F7D25BE" w:rsidR="00073874" w:rsidRPr="001E7E1A" w:rsidRDefault="0059594E" w:rsidP="00073874">
      <w:pPr>
        <w:rPr>
          <w:rFonts w:ascii="Verdana" w:hAnsi="Verdana"/>
          <w:kern w:val="2"/>
          <w:sz w:val="18"/>
          <w:szCs w:val="18"/>
        </w:rPr>
      </w:pPr>
      <w:r>
        <w:rPr>
          <w:rFonts w:ascii="Verdana" w:hAnsi="Verdana"/>
          <w:sz w:val="18"/>
          <w:szCs w:val="18"/>
        </w:rPr>
        <w:t xml:space="preserve">e. </w:t>
      </w:r>
      <w:r>
        <w:rPr>
          <w:rFonts w:ascii="Verdana" w:hAnsi="Verdana"/>
          <w:i/>
          <w:iCs/>
          <w:sz w:val="18"/>
          <w:szCs w:val="18"/>
        </w:rPr>
        <w:t>forordning (EU) 2016/127</w:t>
      </w:r>
      <w:r>
        <w:rPr>
          <w:rFonts w:ascii="Verdana" w:hAnsi="Verdana"/>
          <w:sz w:val="18"/>
          <w:szCs w:val="18"/>
        </w:rPr>
        <w:t>:</w:t>
      </w:r>
      <w:r>
        <w:rPr>
          <w:rFonts w:ascii="Verdana" w:hAnsi="Verdana"/>
          <w:i/>
          <w:sz w:val="18"/>
          <w:szCs w:val="18"/>
        </w:rPr>
        <w:t xml:space="preserve"> </w:t>
      </w:r>
      <w:r>
        <w:rPr>
          <w:rFonts w:ascii="Verdana" w:hAnsi="Verdana"/>
          <w:sz w:val="18"/>
          <w:szCs w:val="18"/>
        </w:rPr>
        <w:t>Kommissionens delegerede forordning (EU) 2016/127 af 25. september 2015 om supplerende regler til Europa-Parlamentets og Rådets forordning (EU) nr. 609/2013 for så vidt angår de særlige krav til sammensætningen af og oplysning om modermælkserstatninger og tilskudsblandinger og for så vidt angår oplysning om spædbørns- og småbørnsernæring (EUT L 25 af</w:t>
      </w:r>
      <w:r w:rsidR="003972F7">
        <w:rPr>
          <w:rFonts w:ascii="Verdana" w:hAnsi="Verdana"/>
          <w:sz w:val="18"/>
          <w:szCs w:val="18"/>
        </w:rPr>
        <w:t xml:space="preserve"> </w:t>
      </w:r>
      <w:r>
        <w:rPr>
          <w:rFonts w:ascii="Verdana" w:hAnsi="Verdana"/>
          <w:sz w:val="18"/>
          <w:szCs w:val="18"/>
        </w:rPr>
        <w:t>2016)</w:t>
      </w:r>
    </w:p>
    <w:p w14:paraId="7910F3BE" w14:textId="495ABFB2" w:rsidR="00073874" w:rsidRPr="003972F7" w:rsidRDefault="0059594E" w:rsidP="00073874">
      <w:pPr>
        <w:rPr>
          <w:rFonts w:ascii="Verdana" w:hAnsi="Verdana"/>
          <w:spacing w:val="-4"/>
          <w:sz w:val="18"/>
          <w:szCs w:val="18"/>
        </w:rPr>
      </w:pPr>
      <w:r w:rsidRPr="003972F7">
        <w:rPr>
          <w:rFonts w:ascii="Verdana" w:hAnsi="Verdana"/>
          <w:spacing w:val="-4"/>
          <w:sz w:val="18"/>
          <w:szCs w:val="18"/>
        </w:rPr>
        <w:t xml:space="preserve">f. </w:t>
      </w:r>
      <w:r w:rsidRPr="003972F7">
        <w:rPr>
          <w:rStyle w:val="Emphasis"/>
          <w:rFonts w:ascii="Verdana" w:hAnsi="Verdana"/>
          <w:spacing w:val="-4"/>
          <w:sz w:val="18"/>
          <w:szCs w:val="18"/>
        </w:rPr>
        <w:t>forordning (EU) 609/2013:</w:t>
      </w:r>
      <w:r w:rsidRPr="003972F7">
        <w:rPr>
          <w:rFonts w:ascii="Verdana" w:hAnsi="Verdana"/>
          <w:spacing w:val="-4"/>
          <w:sz w:val="18"/>
          <w:szCs w:val="18"/>
        </w:rPr>
        <w:t xml:space="preserve"> Europa-Parlamentets og Rådets forordning (EU) nr. 609/2013 af 12. juni 2013 om fødevarer bestemt til spædbørn og småbørn, fødevarer til særlige medicinske formål og kosterstatning til vægtkontrol og om ophævelse af Rådets direktiv 92/52/EØF, Kommissionens direktiv 96/8/EF, 1999/21/EF, 2006/125/EF og 2006/141/EF, Europa-Parlamentets og Rådets direktiv 2009/39/EF og Kommissionens forordning (EF) nr. 41/2009 og (EF) nr. 953/2009 (EUT L 181, 2013)</w:t>
      </w:r>
    </w:p>
    <w:p w14:paraId="1A63B3DD" w14:textId="275E762A" w:rsidR="00073874" w:rsidRPr="00325747" w:rsidRDefault="0059594E" w:rsidP="00073874">
      <w:pPr>
        <w:rPr>
          <w:rFonts w:ascii="Verdana" w:hAnsi="Verdana"/>
          <w:sz w:val="18"/>
          <w:szCs w:val="18"/>
        </w:rPr>
      </w:pPr>
      <w:r>
        <w:rPr>
          <w:rFonts w:ascii="Verdana" w:hAnsi="Verdana"/>
          <w:sz w:val="18"/>
          <w:szCs w:val="18"/>
        </w:rPr>
        <w:t xml:space="preserve">g. </w:t>
      </w:r>
      <w:r>
        <w:rPr>
          <w:rFonts w:ascii="Verdana" w:hAnsi="Verdana"/>
          <w:i/>
          <w:iCs/>
          <w:sz w:val="18"/>
          <w:szCs w:val="18"/>
        </w:rPr>
        <w:t>forordning (EU) 1169/2011:</w:t>
      </w:r>
      <w:r>
        <w:rPr>
          <w:rFonts w:ascii="Verdana" w:hAnsi="Verdana"/>
          <w:i/>
          <w:sz w:val="18"/>
          <w:szCs w:val="18"/>
        </w:rPr>
        <w:t xml:space="preserve"> </w:t>
      </w:r>
      <w:r>
        <w:rPr>
          <w:rFonts w:ascii="Verdana" w:hAnsi="Verdana"/>
          <w:sz w:val="18"/>
          <w:szCs w:val="18"/>
        </w:rPr>
        <w:t>Europa-Parlamentets og Rådets forordning (EU) nr. 1169/2011 af 25. oktober 2011 om fødevareinformation til forbrugerne, om ændring af Europa-Parlamentets og Rådets forordning (EF) nr. 1924/2006 og (EF) nr. 1925/2006 og om ophævelse af Kommissionens direktiv 87/250/EØF, Rådets direktiv 90/496/EØF, Kommissionens direktiv 1999/10/EF, Europa-Parlamentets og Rådets direktiv 2000/13/EF, Kommissionens direktiv 2002/67/EF og 2008/5/EF og Kommissionens forordning (EF) nr. 608/2004 (EUT L 304 af 2011)</w:t>
      </w:r>
    </w:p>
    <w:p w14:paraId="127A09E5" w14:textId="6DE7FC0D" w:rsidR="00DA004C" w:rsidRPr="001E7E1A" w:rsidRDefault="0059594E" w:rsidP="00073874">
      <w:pPr>
        <w:rPr>
          <w:rFonts w:ascii="Verdana" w:hAnsi="Verdana"/>
          <w:sz w:val="18"/>
          <w:szCs w:val="18"/>
        </w:rPr>
      </w:pPr>
      <w:r>
        <w:rPr>
          <w:rFonts w:ascii="Verdana" w:hAnsi="Verdana"/>
          <w:sz w:val="18"/>
          <w:szCs w:val="18"/>
        </w:rPr>
        <w:lastRenderedPageBreak/>
        <w:t xml:space="preserve">h. </w:t>
      </w:r>
      <w:r>
        <w:rPr>
          <w:rFonts w:ascii="Verdana" w:hAnsi="Verdana"/>
          <w:i/>
          <w:iCs/>
          <w:sz w:val="18"/>
          <w:szCs w:val="18"/>
        </w:rPr>
        <w:t>forordning (EF) 1925/2006:</w:t>
      </w:r>
      <w:r>
        <w:rPr>
          <w:rFonts w:ascii="Verdana" w:hAnsi="Verdana"/>
          <w:i/>
          <w:sz w:val="18"/>
          <w:szCs w:val="18"/>
        </w:rPr>
        <w:t xml:space="preserve"> </w:t>
      </w:r>
      <w:r>
        <w:rPr>
          <w:rFonts w:ascii="Verdana" w:hAnsi="Verdana"/>
          <w:sz w:val="18"/>
          <w:szCs w:val="18"/>
        </w:rPr>
        <w:t>Europa-Parlamentets og Rådets forordning (EF) nr. 1925/2006 af 20. december 2006 om tilsætning af vitaminer og mineraler samt visse andre stoffer til fødevarer (EUT L 404, 2006).</w:t>
      </w:r>
    </w:p>
    <w:p w14:paraId="2CFACC32" w14:textId="72F7DD4B" w:rsidR="00073874" w:rsidRDefault="0059594E" w:rsidP="00073874">
      <w:pPr>
        <w:rPr>
          <w:rFonts w:ascii="Verdana" w:hAnsi="Verdana"/>
          <w:sz w:val="18"/>
          <w:szCs w:val="18"/>
        </w:rPr>
      </w:pPr>
      <w:r>
        <w:rPr>
          <w:rFonts w:ascii="Verdana" w:hAnsi="Verdana"/>
          <w:sz w:val="18"/>
          <w:szCs w:val="18"/>
        </w:rPr>
        <w:t xml:space="preserve">i. </w:t>
      </w:r>
      <w:r>
        <w:rPr>
          <w:rFonts w:ascii="Verdana" w:hAnsi="Verdana"/>
          <w:i/>
          <w:iCs/>
          <w:sz w:val="18"/>
          <w:szCs w:val="18"/>
        </w:rPr>
        <w:t>mælkeerstatning til spædbørn</w:t>
      </w:r>
      <w:r>
        <w:rPr>
          <w:rFonts w:ascii="Verdana" w:hAnsi="Verdana"/>
          <w:sz w:val="18"/>
          <w:szCs w:val="18"/>
        </w:rPr>
        <w:t xml:space="preserve">: en fødevarer som omhandlet i artikel 2, stk. 2, litra c), i forordning (EU) 609/2013 </w:t>
      </w:r>
    </w:p>
    <w:p w14:paraId="29F16D6D" w14:textId="77777777" w:rsidR="00532AC5" w:rsidRDefault="00532AC5" w:rsidP="00073874">
      <w:pPr>
        <w:rPr>
          <w:rFonts w:ascii="Verdana" w:hAnsi="Verdana"/>
          <w:sz w:val="18"/>
          <w:szCs w:val="18"/>
        </w:rPr>
      </w:pPr>
    </w:p>
    <w:p w14:paraId="2C786F36" w14:textId="5D9F90D2" w:rsidR="00073874" w:rsidRDefault="00073874" w:rsidP="00037899">
      <w:pPr>
        <w:keepNext/>
        <w:keepLines/>
        <w:rPr>
          <w:rFonts w:ascii="Verdana" w:hAnsi="Verdana"/>
          <w:b/>
          <w:sz w:val="18"/>
          <w:szCs w:val="18"/>
        </w:rPr>
      </w:pPr>
      <w:r>
        <w:rPr>
          <w:rFonts w:ascii="Verdana" w:hAnsi="Verdana"/>
          <w:b/>
          <w:sz w:val="18"/>
          <w:szCs w:val="18"/>
        </w:rPr>
        <w:t>Artikel 2</w:t>
      </w:r>
    </w:p>
    <w:p w14:paraId="234F2450" w14:textId="5855778D" w:rsidR="00073874" w:rsidRDefault="00073874" w:rsidP="00073874">
      <w:pPr>
        <w:rPr>
          <w:rFonts w:ascii="Verdana" w:hAnsi="Verdana"/>
          <w:sz w:val="18"/>
          <w:szCs w:val="18"/>
        </w:rPr>
      </w:pPr>
      <w:r>
        <w:rPr>
          <w:rFonts w:ascii="Verdana" w:hAnsi="Verdana"/>
          <w:sz w:val="18"/>
          <w:szCs w:val="18"/>
        </w:rPr>
        <w:t xml:space="preserve">Det er forbudt at tilberede eller markedsføre modermælkserstatning og mælk til småbørn på anden måde end i overensstemmelse med de fastlagte regler i nærværende dekret. </w:t>
      </w:r>
    </w:p>
    <w:p w14:paraId="2E30E5A8" w14:textId="77777777" w:rsidR="00073874" w:rsidRPr="00884D19" w:rsidRDefault="00073874" w:rsidP="00073874">
      <w:pPr>
        <w:rPr>
          <w:rFonts w:ascii="Verdana" w:hAnsi="Verdana"/>
          <w:sz w:val="18"/>
          <w:szCs w:val="18"/>
        </w:rPr>
      </w:pPr>
    </w:p>
    <w:p w14:paraId="24E73AA5" w14:textId="15D41956" w:rsidR="00073874" w:rsidRDefault="00073874" w:rsidP="00037899">
      <w:pPr>
        <w:keepNext/>
        <w:keepLines/>
        <w:rPr>
          <w:rFonts w:ascii="Verdana" w:hAnsi="Verdana"/>
          <w:kern w:val="2"/>
          <w:sz w:val="18"/>
          <w:szCs w:val="18"/>
        </w:rPr>
      </w:pPr>
      <w:r>
        <w:rPr>
          <w:rFonts w:ascii="Verdana" w:hAnsi="Verdana"/>
          <w:b/>
          <w:sz w:val="18"/>
          <w:szCs w:val="18"/>
        </w:rPr>
        <w:t xml:space="preserve">§ 2. Krav vedrørende sammensætning og tilsætning af vitaminer, mineraler og andre stoffer </w:t>
      </w:r>
    </w:p>
    <w:p w14:paraId="55C192E6" w14:textId="77777777" w:rsidR="00073874" w:rsidRDefault="00073874" w:rsidP="00037899">
      <w:pPr>
        <w:keepNext/>
        <w:keepLines/>
        <w:rPr>
          <w:rFonts w:ascii="Verdana" w:hAnsi="Verdana"/>
          <w:kern w:val="2"/>
          <w:sz w:val="18"/>
          <w:szCs w:val="18"/>
        </w:rPr>
      </w:pPr>
    </w:p>
    <w:p w14:paraId="7E2D5BEA" w14:textId="64C7BCB6" w:rsidR="00073874" w:rsidRPr="00884D19" w:rsidRDefault="00073874" w:rsidP="00037899">
      <w:pPr>
        <w:keepNext/>
        <w:keepLines/>
        <w:rPr>
          <w:rFonts w:ascii="Verdana" w:hAnsi="Verdana"/>
          <w:b/>
          <w:kern w:val="2"/>
          <w:sz w:val="18"/>
          <w:szCs w:val="18"/>
        </w:rPr>
      </w:pPr>
      <w:r>
        <w:rPr>
          <w:rFonts w:ascii="Verdana" w:hAnsi="Verdana"/>
          <w:b/>
          <w:sz w:val="18"/>
          <w:szCs w:val="18"/>
        </w:rPr>
        <w:t>Artikel 3</w:t>
      </w:r>
    </w:p>
    <w:p w14:paraId="2D2C2276" w14:textId="46E8E83E" w:rsidR="00073874" w:rsidRDefault="00073874" w:rsidP="00073874">
      <w:pPr>
        <w:rPr>
          <w:rFonts w:ascii="Verdana" w:hAnsi="Verdana"/>
          <w:kern w:val="2"/>
          <w:sz w:val="18"/>
          <w:szCs w:val="18"/>
        </w:rPr>
      </w:pPr>
      <w:r>
        <w:rPr>
          <w:rFonts w:ascii="Verdana" w:hAnsi="Verdana"/>
          <w:sz w:val="18"/>
          <w:szCs w:val="18"/>
        </w:rPr>
        <w:t xml:space="preserve">1. Som minimum skal modermælkserstatning og mælk til småbørn opfylde kravene vedrørende sammensætning, der er fastlagt i bilag II, pkt. 2, 2.1, 2.2, 2.3, 2.4, 4, 4.1, 4.2, 4.3, 6, 6.1, 6.2, 6.3, 6.4 samt 6.5 i forordning (EU) nr. 2016/127. </w:t>
      </w:r>
    </w:p>
    <w:p w14:paraId="1132C57D" w14:textId="6936D1CF" w:rsidR="00073874" w:rsidRDefault="00073874" w:rsidP="00073874">
      <w:pPr>
        <w:rPr>
          <w:rFonts w:ascii="Verdana" w:hAnsi="Verdana"/>
          <w:kern w:val="2"/>
          <w:sz w:val="18"/>
          <w:szCs w:val="18"/>
        </w:rPr>
      </w:pPr>
      <w:r>
        <w:rPr>
          <w:rFonts w:ascii="Verdana" w:hAnsi="Verdana"/>
          <w:sz w:val="18"/>
          <w:szCs w:val="18"/>
        </w:rPr>
        <w:t xml:space="preserve">2. Som en undtagelse fra stk. 1 finder kravene vedrørende afsnit A i bilag III, som angivet i bilag II (2.1) og (2.2) til forordning (EU) 2016/127, ikke anvendelse. </w:t>
      </w:r>
    </w:p>
    <w:p w14:paraId="771BEBE1" w14:textId="41B6601B" w:rsidR="00E85F3B" w:rsidRDefault="00876EE8" w:rsidP="00073874">
      <w:pPr>
        <w:rPr>
          <w:rFonts w:ascii="Verdana" w:hAnsi="Verdana"/>
          <w:kern w:val="2"/>
          <w:sz w:val="18"/>
          <w:szCs w:val="18"/>
        </w:rPr>
      </w:pPr>
      <w:r>
        <w:rPr>
          <w:rFonts w:ascii="Verdana" w:hAnsi="Verdana"/>
          <w:sz w:val="18"/>
          <w:szCs w:val="18"/>
        </w:rPr>
        <w:t xml:space="preserve">3. Som en undtagelse fra stk. 1 og bilag II (4) til forordning (EU) 2016/127 gælder der ikke noget minimumsindhold for tilsætning af fedt til modermælkserstatning og mælk til småbørn. </w:t>
      </w:r>
    </w:p>
    <w:p w14:paraId="71BE61C4" w14:textId="77777777" w:rsidR="00037899" w:rsidRDefault="00876EE8" w:rsidP="00073874">
      <w:pPr>
        <w:rPr>
          <w:rFonts w:ascii="Verdana" w:hAnsi="Verdana"/>
          <w:kern w:val="2"/>
          <w:sz w:val="18"/>
          <w:szCs w:val="18"/>
        </w:rPr>
      </w:pPr>
      <w:r>
        <w:rPr>
          <w:rFonts w:ascii="Verdana" w:hAnsi="Verdana"/>
          <w:sz w:val="18"/>
          <w:szCs w:val="18"/>
        </w:rPr>
        <w:t xml:space="preserve">4. Energiværdien i modermælkserstatning og mælk til småbørn skal være mindst 45 kilokalorier pr. 100 milliliter og maksimum 65 kilokalorier pr. 100 milliliter. </w:t>
      </w:r>
    </w:p>
    <w:p w14:paraId="63CEFDDC" w14:textId="63A95212" w:rsidR="00073874" w:rsidRDefault="00073874" w:rsidP="00073874">
      <w:pPr>
        <w:rPr>
          <w:rFonts w:ascii="Verdana" w:hAnsi="Verdana"/>
          <w:kern w:val="2"/>
          <w:sz w:val="18"/>
          <w:szCs w:val="18"/>
        </w:rPr>
      </w:pPr>
    </w:p>
    <w:p w14:paraId="7B39DB90" w14:textId="262B4376" w:rsidR="00037899" w:rsidRDefault="00073874" w:rsidP="00037899">
      <w:pPr>
        <w:keepNext/>
        <w:keepLines/>
        <w:rPr>
          <w:rFonts w:ascii="Verdana" w:hAnsi="Verdana"/>
          <w:b/>
          <w:kern w:val="2"/>
          <w:sz w:val="18"/>
          <w:szCs w:val="18"/>
        </w:rPr>
      </w:pPr>
      <w:r>
        <w:rPr>
          <w:rFonts w:ascii="Verdana" w:hAnsi="Verdana"/>
          <w:b/>
          <w:sz w:val="18"/>
          <w:szCs w:val="18"/>
        </w:rPr>
        <w:t>Artikel 4</w:t>
      </w:r>
    </w:p>
    <w:p w14:paraId="3E35E20F" w14:textId="2FB98541" w:rsidR="00073874" w:rsidRPr="00532AC5" w:rsidRDefault="00073874" w:rsidP="00073874">
      <w:pPr>
        <w:rPr>
          <w:rFonts w:ascii="Verdana" w:hAnsi="Verdana"/>
          <w:b/>
          <w:kern w:val="2"/>
          <w:sz w:val="18"/>
          <w:szCs w:val="18"/>
        </w:rPr>
      </w:pPr>
      <w:r>
        <w:rPr>
          <w:rFonts w:ascii="Verdana" w:hAnsi="Verdana"/>
          <w:sz w:val="18"/>
          <w:szCs w:val="18"/>
        </w:rPr>
        <w:t>1. Vitaminer, mineraler eller andre stoffer, der er omhandlet i pkt. 3, 4.4, 4.5, 4.6, 4.7, 5, 7, 8, 8.1, 8.2, 9 og 10 i bilag II til forordning (EU) nr. 2016/127, må kun tilsættes modermælkserstatning og mælk til småbørn i overensstemmelse med reglerne vedrørende sammensætning, som angivet i disse.</w:t>
      </w:r>
    </w:p>
    <w:p w14:paraId="6830D50F" w14:textId="1B4CC663" w:rsidR="00073874" w:rsidRDefault="00454516" w:rsidP="00073874">
      <w:pPr>
        <w:rPr>
          <w:rFonts w:ascii="Verdana" w:hAnsi="Verdana"/>
          <w:kern w:val="2"/>
          <w:sz w:val="18"/>
          <w:szCs w:val="18"/>
        </w:rPr>
      </w:pPr>
      <w:r>
        <w:rPr>
          <w:rFonts w:ascii="Verdana" w:hAnsi="Verdana"/>
          <w:sz w:val="18"/>
          <w:szCs w:val="18"/>
        </w:rPr>
        <w:t xml:space="preserve">2. Som en undtagelse fra stk. 1 og bilag II (8.1) til forordning (EU) 2016/127 gælder der ikke noget minimumsindhold for tilsætning af natrium til modermælkserstatning og mælk til småbørn. </w:t>
      </w:r>
    </w:p>
    <w:p w14:paraId="346A7FAF" w14:textId="77777777" w:rsidR="00073874" w:rsidRDefault="00073874" w:rsidP="00073874">
      <w:pPr>
        <w:rPr>
          <w:rFonts w:ascii="Verdana" w:hAnsi="Verdana"/>
          <w:kern w:val="2"/>
          <w:sz w:val="18"/>
          <w:szCs w:val="18"/>
        </w:rPr>
      </w:pPr>
    </w:p>
    <w:p w14:paraId="72268EE8" w14:textId="1A6169F9" w:rsidR="00037899" w:rsidRDefault="00073874" w:rsidP="00037899">
      <w:pPr>
        <w:keepNext/>
        <w:keepLines/>
        <w:rPr>
          <w:rFonts w:ascii="Verdana" w:hAnsi="Verdana"/>
          <w:kern w:val="2"/>
          <w:sz w:val="18"/>
          <w:szCs w:val="18"/>
        </w:rPr>
      </w:pPr>
      <w:r>
        <w:rPr>
          <w:rFonts w:ascii="Verdana" w:hAnsi="Verdana"/>
          <w:b/>
          <w:sz w:val="18"/>
          <w:szCs w:val="18"/>
        </w:rPr>
        <w:t>Artikel 5</w:t>
      </w:r>
    </w:p>
    <w:p w14:paraId="74B1313E" w14:textId="75A9120E" w:rsidR="00073874" w:rsidRPr="003972F7" w:rsidRDefault="00DA004C" w:rsidP="00073874">
      <w:pPr>
        <w:rPr>
          <w:rFonts w:ascii="Verdana" w:hAnsi="Verdana"/>
          <w:spacing w:val="-6"/>
          <w:kern w:val="2"/>
          <w:sz w:val="18"/>
          <w:szCs w:val="18"/>
        </w:rPr>
      </w:pPr>
      <w:r w:rsidRPr="003972F7">
        <w:rPr>
          <w:rFonts w:ascii="Verdana" w:hAnsi="Verdana"/>
          <w:spacing w:val="-6"/>
          <w:sz w:val="18"/>
          <w:szCs w:val="18"/>
        </w:rPr>
        <w:t>Artikel 2, stk. 2, i det omfang, som den vedrører artikel 3, stk. 1, og artikel 6, stk. 1 og stk. 6, i forordning (EF) nr. 1925/2006, samt artikel 5 og artikel 6 i varelovdekretet om tilsætning af mikronæringsstoffer til fødevarer, finder ikke anvendelse på modermælkserstatning og mælk til småbørn.</w:t>
      </w:r>
    </w:p>
    <w:p w14:paraId="4912BEAB" w14:textId="77777777" w:rsidR="00073874" w:rsidRDefault="00073874" w:rsidP="00073874">
      <w:pPr>
        <w:rPr>
          <w:rFonts w:ascii="Verdana" w:hAnsi="Verdana"/>
          <w:kern w:val="2"/>
          <w:sz w:val="18"/>
          <w:szCs w:val="18"/>
        </w:rPr>
      </w:pPr>
    </w:p>
    <w:p w14:paraId="6F2974DE" w14:textId="77777777" w:rsidR="00073874" w:rsidRDefault="00073874" w:rsidP="00037899">
      <w:pPr>
        <w:keepNext/>
        <w:keepLines/>
        <w:rPr>
          <w:rFonts w:ascii="Verdana" w:hAnsi="Verdana"/>
          <w:kern w:val="2"/>
          <w:sz w:val="18"/>
          <w:szCs w:val="18"/>
        </w:rPr>
      </w:pPr>
      <w:r>
        <w:rPr>
          <w:rFonts w:ascii="Verdana" w:hAnsi="Verdana"/>
          <w:b/>
          <w:sz w:val="18"/>
          <w:szCs w:val="18"/>
        </w:rPr>
        <w:t>§ 3. Betegnelser, deklarationer og præsentation</w:t>
      </w:r>
    </w:p>
    <w:p w14:paraId="2475652E" w14:textId="77777777" w:rsidR="00073874" w:rsidRDefault="00073874" w:rsidP="00037899">
      <w:pPr>
        <w:keepNext/>
        <w:keepLines/>
        <w:rPr>
          <w:rFonts w:ascii="Verdana" w:hAnsi="Verdana"/>
          <w:kern w:val="2"/>
          <w:sz w:val="18"/>
          <w:szCs w:val="18"/>
        </w:rPr>
      </w:pPr>
    </w:p>
    <w:p w14:paraId="46B76B5B" w14:textId="20807AA9" w:rsidR="00073874" w:rsidRDefault="00073874" w:rsidP="00037899">
      <w:pPr>
        <w:keepNext/>
        <w:keepLines/>
        <w:rPr>
          <w:rFonts w:ascii="Verdana" w:hAnsi="Verdana"/>
          <w:b/>
          <w:kern w:val="2"/>
          <w:sz w:val="18"/>
          <w:szCs w:val="18"/>
        </w:rPr>
      </w:pPr>
      <w:r>
        <w:rPr>
          <w:rFonts w:ascii="Verdana" w:hAnsi="Verdana"/>
          <w:b/>
          <w:sz w:val="18"/>
          <w:szCs w:val="18"/>
        </w:rPr>
        <w:t>Artikel 6</w:t>
      </w:r>
    </w:p>
    <w:p w14:paraId="059E4D24" w14:textId="7778BEC0" w:rsidR="00073874" w:rsidRDefault="00073874" w:rsidP="00073874">
      <w:pPr>
        <w:rPr>
          <w:rFonts w:ascii="Verdana" w:hAnsi="Verdana"/>
          <w:kern w:val="2"/>
          <w:sz w:val="18"/>
          <w:szCs w:val="18"/>
        </w:rPr>
      </w:pPr>
      <w:r>
        <w:rPr>
          <w:rFonts w:ascii="Verdana" w:hAnsi="Verdana"/>
          <w:sz w:val="18"/>
          <w:szCs w:val="18"/>
        </w:rPr>
        <w:t xml:space="preserve">1. Betegnelsen </w:t>
      </w:r>
      <w:r>
        <w:rPr>
          <w:rFonts w:ascii="Verdana" w:hAnsi="Verdana"/>
          <w:i/>
          <w:iCs/>
          <w:sz w:val="18"/>
          <w:szCs w:val="18"/>
        </w:rPr>
        <w:t>modermælkserstatning</w:t>
      </w:r>
      <w:r>
        <w:rPr>
          <w:rFonts w:ascii="Verdana" w:hAnsi="Verdana"/>
          <w:sz w:val="18"/>
          <w:szCs w:val="18"/>
        </w:rPr>
        <w:t xml:space="preserve"> kan og må kun anvendes for modermælkserstatning, der udelukkende er baseret på ko- eller gedemælksprotein. </w:t>
      </w:r>
    </w:p>
    <w:p w14:paraId="250211B5" w14:textId="77777777" w:rsidR="00073874" w:rsidRDefault="00073874" w:rsidP="00073874">
      <w:pPr>
        <w:rPr>
          <w:rFonts w:ascii="Verdana" w:hAnsi="Verdana"/>
          <w:kern w:val="2"/>
          <w:sz w:val="18"/>
          <w:szCs w:val="18"/>
        </w:rPr>
      </w:pPr>
      <w:r>
        <w:rPr>
          <w:rFonts w:ascii="Verdana" w:hAnsi="Verdana"/>
          <w:sz w:val="18"/>
          <w:szCs w:val="18"/>
        </w:rPr>
        <w:t xml:space="preserve">2. Betegnelsen </w:t>
      </w:r>
      <w:r>
        <w:rPr>
          <w:rFonts w:ascii="Verdana" w:hAnsi="Verdana"/>
          <w:i/>
          <w:iCs/>
          <w:sz w:val="18"/>
          <w:szCs w:val="18"/>
        </w:rPr>
        <w:t>mælk til småbørn</w:t>
      </w:r>
      <w:r>
        <w:rPr>
          <w:rFonts w:ascii="Verdana" w:hAnsi="Verdana"/>
          <w:sz w:val="18"/>
          <w:szCs w:val="18"/>
        </w:rPr>
        <w:t xml:space="preserve"> kan og må kun anvendes for mælk til småbørn.</w:t>
      </w:r>
    </w:p>
    <w:p w14:paraId="5B6E05FF" w14:textId="77777777" w:rsidR="00073874" w:rsidRDefault="00073874" w:rsidP="00073874">
      <w:pPr>
        <w:rPr>
          <w:rFonts w:ascii="Verdana" w:hAnsi="Verdana"/>
          <w:kern w:val="2"/>
          <w:sz w:val="18"/>
          <w:szCs w:val="18"/>
        </w:rPr>
      </w:pPr>
    </w:p>
    <w:p w14:paraId="26E8FF26" w14:textId="046956F1" w:rsidR="00073874" w:rsidRDefault="0059594E" w:rsidP="00037899">
      <w:pPr>
        <w:keepNext/>
        <w:keepLines/>
        <w:rPr>
          <w:rFonts w:ascii="Verdana" w:hAnsi="Verdana"/>
          <w:b/>
          <w:kern w:val="2"/>
          <w:sz w:val="18"/>
          <w:szCs w:val="18"/>
        </w:rPr>
      </w:pPr>
      <w:r>
        <w:rPr>
          <w:rFonts w:ascii="Verdana" w:hAnsi="Verdana"/>
          <w:b/>
          <w:sz w:val="18"/>
          <w:szCs w:val="18"/>
        </w:rPr>
        <w:t>Artikel 7</w:t>
      </w:r>
    </w:p>
    <w:p w14:paraId="539123C7" w14:textId="2921C0D0" w:rsidR="00073874" w:rsidRDefault="00073874" w:rsidP="00037899">
      <w:pPr>
        <w:keepNext/>
        <w:keepLines/>
        <w:rPr>
          <w:rFonts w:ascii="Verdana" w:hAnsi="Verdana"/>
          <w:kern w:val="2"/>
          <w:sz w:val="18"/>
          <w:szCs w:val="18"/>
        </w:rPr>
      </w:pPr>
      <w:r>
        <w:rPr>
          <w:rFonts w:ascii="Verdana" w:hAnsi="Verdana"/>
          <w:sz w:val="18"/>
          <w:szCs w:val="18"/>
        </w:rPr>
        <w:t xml:space="preserve">De følgende deklarationer skal anvendes til markedsføring af modermælkserstatning og mælk til småbørn: </w:t>
      </w:r>
    </w:p>
    <w:p w14:paraId="0216745F" w14:textId="77777777" w:rsidR="00073874" w:rsidRDefault="00073874" w:rsidP="00073874">
      <w:pPr>
        <w:rPr>
          <w:rFonts w:ascii="Verdana" w:hAnsi="Verdana"/>
          <w:kern w:val="2"/>
          <w:sz w:val="18"/>
          <w:szCs w:val="18"/>
        </w:rPr>
      </w:pPr>
      <w:r>
        <w:rPr>
          <w:rFonts w:ascii="Verdana" w:hAnsi="Verdana"/>
          <w:sz w:val="18"/>
          <w:szCs w:val="18"/>
        </w:rPr>
        <w:t>a. alderskategorien mellem et og tre år, til hvilken den er beregnet</w:t>
      </w:r>
    </w:p>
    <w:p w14:paraId="327B0348" w14:textId="77777777" w:rsidR="00073874" w:rsidRDefault="00073874" w:rsidP="00073874">
      <w:pPr>
        <w:rPr>
          <w:rFonts w:ascii="Verdana" w:hAnsi="Verdana"/>
          <w:kern w:val="2"/>
          <w:sz w:val="18"/>
          <w:szCs w:val="18"/>
        </w:rPr>
      </w:pPr>
      <w:r>
        <w:rPr>
          <w:rFonts w:ascii="Verdana" w:hAnsi="Verdana"/>
          <w:sz w:val="18"/>
          <w:szCs w:val="18"/>
        </w:rPr>
        <w:t xml:space="preserve">b. en deklaration om, at produktet ikke er en erstatning for en varieret kost </w:t>
      </w:r>
    </w:p>
    <w:p w14:paraId="34399F6D" w14:textId="58BDC858" w:rsidR="00073874" w:rsidRPr="00E06905" w:rsidRDefault="00073874" w:rsidP="00073874">
      <w:pPr>
        <w:rPr>
          <w:rFonts w:ascii="Verdana" w:hAnsi="Verdana"/>
          <w:kern w:val="2"/>
          <w:sz w:val="18"/>
          <w:szCs w:val="18"/>
        </w:rPr>
      </w:pPr>
      <w:r>
        <w:rPr>
          <w:rFonts w:ascii="Verdana" w:hAnsi="Verdana"/>
          <w:sz w:val="18"/>
          <w:szCs w:val="18"/>
        </w:rPr>
        <w:t xml:space="preserve">c. en deklaration om, at produktet ikke er en erstatning for vitamin D-supplementer </w:t>
      </w:r>
    </w:p>
    <w:p w14:paraId="21A5E0E8" w14:textId="77777777" w:rsidR="00073874" w:rsidRPr="00E06905" w:rsidRDefault="00073874" w:rsidP="00073874">
      <w:pPr>
        <w:rPr>
          <w:rFonts w:ascii="Verdana" w:hAnsi="Verdana"/>
          <w:kern w:val="2"/>
          <w:sz w:val="18"/>
          <w:szCs w:val="18"/>
        </w:rPr>
      </w:pPr>
      <w:r>
        <w:rPr>
          <w:rFonts w:ascii="Verdana" w:hAnsi="Verdana"/>
          <w:sz w:val="18"/>
          <w:szCs w:val="18"/>
        </w:rPr>
        <w:t>d. en deklaration om, at produktet ikke er en erstatning for modermælk.</w:t>
      </w:r>
    </w:p>
    <w:p w14:paraId="73B1E29E" w14:textId="77777777" w:rsidR="00073874" w:rsidRDefault="00073874" w:rsidP="00073874">
      <w:pPr>
        <w:rPr>
          <w:rFonts w:ascii="Verdana" w:hAnsi="Verdana"/>
          <w:kern w:val="2"/>
          <w:sz w:val="18"/>
          <w:szCs w:val="18"/>
        </w:rPr>
      </w:pPr>
    </w:p>
    <w:p w14:paraId="0A4FCC66" w14:textId="55362CCC" w:rsidR="00073874" w:rsidRDefault="0059594E" w:rsidP="00037899">
      <w:pPr>
        <w:keepNext/>
        <w:keepLines/>
        <w:rPr>
          <w:rFonts w:ascii="Verdana" w:hAnsi="Verdana"/>
          <w:b/>
          <w:kern w:val="2"/>
          <w:sz w:val="18"/>
          <w:szCs w:val="18"/>
        </w:rPr>
      </w:pPr>
      <w:r>
        <w:rPr>
          <w:rFonts w:ascii="Verdana" w:hAnsi="Verdana"/>
          <w:b/>
          <w:sz w:val="18"/>
          <w:szCs w:val="18"/>
        </w:rPr>
        <w:lastRenderedPageBreak/>
        <w:t>Artikel 8</w:t>
      </w:r>
    </w:p>
    <w:p w14:paraId="3261286B" w14:textId="2DB08B59" w:rsidR="00073874" w:rsidRDefault="00073874" w:rsidP="00380913">
      <w:pPr>
        <w:rPr>
          <w:rFonts w:ascii="Verdana" w:hAnsi="Verdana"/>
          <w:kern w:val="2"/>
          <w:sz w:val="18"/>
          <w:szCs w:val="18"/>
        </w:rPr>
      </w:pPr>
      <w:r>
        <w:rPr>
          <w:rFonts w:ascii="Verdana" w:hAnsi="Verdana"/>
          <w:sz w:val="18"/>
          <w:szCs w:val="18"/>
        </w:rPr>
        <w:t>Med hensyn til tekst, billeder og farver, der anvendes, skal mærkningen og præsentationen af modermælkserstatning og mælk til småbørn udføres på en sådan måde, at disse ikke præsenteres som et følgeprodukt til mælkeerstatning til spædbørn eller følgemælkserstatning.</w:t>
      </w:r>
    </w:p>
    <w:p w14:paraId="54584FA9" w14:textId="7987D654" w:rsidR="00073874" w:rsidRDefault="00073874" w:rsidP="00073874">
      <w:pPr>
        <w:rPr>
          <w:rFonts w:ascii="Verdana" w:hAnsi="Verdana"/>
          <w:kern w:val="2"/>
          <w:sz w:val="18"/>
          <w:szCs w:val="18"/>
        </w:rPr>
      </w:pPr>
    </w:p>
    <w:p w14:paraId="5AF4E879" w14:textId="76FCD6BC" w:rsidR="00073874" w:rsidRDefault="0059594E" w:rsidP="00037899">
      <w:pPr>
        <w:keepNext/>
        <w:keepLines/>
        <w:rPr>
          <w:rFonts w:ascii="Verdana" w:hAnsi="Verdana"/>
          <w:b/>
          <w:kern w:val="2"/>
          <w:sz w:val="18"/>
          <w:szCs w:val="18"/>
        </w:rPr>
      </w:pPr>
      <w:r>
        <w:rPr>
          <w:rFonts w:ascii="Verdana" w:hAnsi="Verdana"/>
          <w:b/>
          <w:sz w:val="18"/>
          <w:szCs w:val="18"/>
        </w:rPr>
        <w:t>Artikel 9</w:t>
      </w:r>
    </w:p>
    <w:p w14:paraId="0087613F" w14:textId="5D330349" w:rsidR="00073874" w:rsidRDefault="00073874" w:rsidP="00073874">
      <w:pPr>
        <w:rPr>
          <w:rFonts w:ascii="Verdana" w:hAnsi="Verdana"/>
          <w:kern w:val="2"/>
          <w:sz w:val="18"/>
          <w:szCs w:val="18"/>
        </w:rPr>
      </w:pPr>
      <w:r>
        <w:rPr>
          <w:rFonts w:ascii="Verdana" w:hAnsi="Verdana"/>
          <w:sz w:val="18"/>
          <w:szCs w:val="18"/>
        </w:rPr>
        <w:t xml:space="preserve">1. Som en undtagelse fra artikel 31, stk. 3, artikel 32, stk. 2, og artikel 33, stk. 1, i forordning (EU) nr. 1169/2011 skal energiværdien og næringsindholdet i modermælkserstatning og mælk til småbørn angives pr. 100 milliliter af den færdige fødevare, når den tilberedes i overensstemmelse med producentens anvisninger. </w:t>
      </w:r>
    </w:p>
    <w:p w14:paraId="64AA67F4" w14:textId="68DE9A1D" w:rsidR="00073874" w:rsidRPr="00732DAA" w:rsidRDefault="00073874" w:rsidP="00073874">
      <w:pPr>
        <w:rPr>
          <w:rFonts w:ascii="Verdana" w:hAnsi="Verdana"/>
          <w:kern w:val="2"/>
          <w:sz w:val="18"/>
          <w:szCs w:val="18"/>
        </w:rPr>
      </w:pPr>
      <w:r>
        <w:rPr>
          <w:rFonts w:ascii="Verdana" w:hAnsi="Verdana"/>
          <w:sz w:val="18"/>
          <w:szCs w:val="18"/>
        </w:rPr>
        <w:t>2. Hvis relevant, kan oplysningerne også angives pr. 100 gram af fødevaren, som den sælges.</w:t>
      </w:r>
    </w:p>
    <w:p w14:paraId="7862F313" w14:textId="77777777" w:rsidR="00073874" w:rsidRDefault="00073874" w:rsidP="00073874">
      <w:pPr>
        <w:rPr>
          <w:rFonts w:ascii="Verdana" w:hAnsi="Verdana"/>
          <w:b/>
          <w:kern w:val="2"/>
          <w:sz w:val="18"/>
          <w:szCs w:val="18"/>
        </w:rPr>
      </w:pPr>
    </w:p>
    <w:p w14:paraId="1820C1AA" w14:textId="5CC6E46E" w:rsidR="00037899" w:rsidRDefault="00073874" w:rsidP="00037899">
      <w:pPr>
        <w:keepNext/>
        <w:keepLines/>
        <w:rPr>
          <w:rFonts w:ascii="Verdana" w:hAnsi="Verdana"/>
          <w:b/>
          <w:kern w:val="2"/>
          <w:sz w:val="18"/>
          <w:szCs w:val="18"/>
        </w:rPr>
      </w:pPr>
      <w:r>
        <w:rPr>
          <w:rFonts w:ascii="Verdana" w:hAnsi="Verdana"/>
          <w:b/>
          <w:sz w:val="18"/>
          <w:szCs w:val="18"/>
        </w:rPr>
        <w:t>Artikel 10</w:t>
      </w:r>
    </w:p>
    <w:p w14:paraId="292C28A0" w14:textId="4C4542CE" w:rsidR="00073874" w:rsidRPr="003972F7" w:rsidRDefault="00073874" w:rsidP="00073874">
      <w:pPr>
        <w:rPr>
          <w:rFonts w:ascii="Verdana" w:hAnsi="Verdana"/>
          <w:spacing w:val="-4"/>
          <w:kern w:val="2"/>
          <w:sz w:val="18"/>
          <w:szCs w:val="18"/>
        </w:rPr>
      </w:pPr>
      <w:r w:rsidRPr="003972F7">
        <w:rPr>
          <w:rFonts w:ascii="Verdana" w:hAnsi="Verdana"/>
          <w:spacing w:val="-4"/>
          <w:sz w:val="18"/>
          <w:szCs w:val="18"/>
        </w:rPr>
        <w:t xml:space="preserve">Som en undtagelse fra artikel 32, stk. 3 og stk. 4, i forordning (EU) nr. 1169/2011 skal enhver deklaration om næringsindholdet i modermælkserstatning og mælk til småbørn angives som en procentdel af referenceindtaget, der er fastlagt i bilag VII til forordning (EU) 2016/127, pr. 100 milliliter af den færdige fødevare, når den tilberedes i overensstemmelse med producentens anvisninger. </w:t>
      </w:r>
    </w:p>
    <w:p w14:paraId="45D2EEF8" w14:textId="77777777" w:rsidR="00896EB5" w:rsidRDefault="00896EB5" w:rsidP="00073874">
      <w:pPr>
        <w:rPr>
          <w:rFonts w:ascii="Verdana" w:hAnsi="Verdana"/>
          <w:b/>
          <w:kern w:val="2"/>
          <w:sz w:val="18"/>
          <w:szCs w:val="18"/>
        </w:rPr>
      </w:pPr>
    </w:p>
    <w:p w14:paraId="6CBE7FC7" w14:textId="77777777" w:rsidR="00073874" w:rsidRPr="00377F95" w:rsidRDefault="00073874" w:rsidP="00037899">
      <w:pPr>
        <w:keepNext/>
        <w:keepLines/>
        <w:rPr>
          <w:rFonts w:ascii="Verdana" w:hAnsi="Verdana"/>
          <w:kern w:val="2"/>
          <w:sz w:val="18"/>
          <w:szCs w:val="18"/>
        </w:rPr>
      </w:pPr>
      <w:r>
        <w:rPr>
          <w:rFonts w:ascii="Verdana" w:hAnsi="Verdana"/>
          <w:b/>
          <w:sz w:val="18"/>
          <w:szCs w:val="18"/>
        </w:rPr>
        <w:t>§ 4. Afsluttende bestemmelser</w:t>
      </w:r>
    </w:p>
    <w:p w14:paraId="6338F9B0" w14:textId="77777777" w:rsidR="00073874" w:rsidRDefault="00073874" w:rsidP="00037899">
      <w:pPr>
        <w:keepNext/>
        <w:keepLines/>
        <w:rPr>
          <w:rFonts w:ascii="Verdana" w:hAnsi="Verdana"/>
          <w:kern w:val="2"/>
          <w:sz w:val="18"/>
          <w:szCs w:val="18"/>
        </w:rPr>
      </w:pPr>
    </w:p>
    <w:p w14:paraId="0EF71A57" w14:textId="5ABBF041" w:rsidR="00073874" w:rsidRDefault="00545ABF" w:rsidP="00037899">
      <w:pPr>
        <w:keepNext/>
        <w:keepLines/>
        <w:rPr>
          <w:rFonts w:ascii="Verdana" w:hAnsi="Verdana"/>
          <w:b/>
          <w:kern w:val="2"/>
          <w:sz w:val="18"/>
          <w:szCs w:val="18"/>
        </w:rPr>
      </w:pPr>
      <w:r>
        <w:rPr>
          <w:rFonts w:ascii="Verdana" w:hAnsi="Verdana"/>
          <w:b/>
          <w:sz w:val="18"/>
          <w:szCs w:val="18"/>
        </w:rPr>
        <w:t>Artikel 11</w:t>
      </w:r>
    </w:p>
    <w:p w14:paraId="38BA3454" w14:textId="77777777" w:rsidR="00073874" w:rsidRDefault="00073874" w:rsidP="00037899">
      <w:pPr>
        <w:keepNext/>
        <w:keepLines/>
        <w:rPr>
          <w:rFonts w:ascii="Verdana" w:hAnsi="Verdana"/>
          <w:kern w:val="2"/>
          <w:sz w:val="18"/>
          <w:szCs w:val="18"/>
        </w:rPr>
      </w:pPr>
      <w:r>
        <w:rPr>
          <w:rFonts w:ascii="Verdana" w:hAnsi="Verdana"/>
          <w:sz w:val="18"/>
          <w:szCs w:val="18"/>
        </w:rPr>
        <w:t>Varelovdekretet om tilsætning af mikronæringsstoffer i fødevarer [Warenwetbesluit Toevoeging micro-voedingsstoffen aan levensmiddelen] ændres som følger:</w:t>
      </w:r>
    </w:p>
    <w:p w14:paraId="5A76413F" w14:textId="77777777" w:rsidR="00073874" w:rsidRDefault="00073874" w:rsidP="00037899">
      <w:pPr>
        <w:keepNext/>
        <w:keepLines/>
        <w:rPr>
          <w:rFonts w:ascii="Verdana" w:hAnsi="Verdana"/>
          <w:kern w:val="2"/>
          <w:sz w:val="18"/>
          <w:szCs w:val="18"/>
        </w:rPr>
      </w:pPr>
    </w:p>
    <w:p w14:paraId="05B1F9B6" w14:textId="77777777" w:rsidR="00073874" w:rsidRDefault="00073874" w:rsidP="00037899">
      <w:pPr>
        <w:keepNext/>
        <w:keepLines/>
        <w:rPr>
          <w:rFonts w:ascii="Verdana" w:hAnsi="Verdana"/>
          <w:kern w:val="2"/>
          <w:sz w:val="18"/>
          <w:szCs w:val="18"/>
        </w:rPr>
      </w:pPr>
      <w:r>
        <w:rPr>
          <w:rFonts w:ascii="Verdana" w:hAnsi="Verdana"/>
          <w:sz w:val="18"/>
          <w:szCs w:val="18"/>
        </w:rPr>
        <w:t>A</w:t>
      </w:r>
    </w:p>
    <w:p w14:paraId="17C57D35" w14:textId="77777777" w:rsidR="00073874" w:rsidRDefault="00073874" w:rsidP="00037899">
      <w:pPr>
        <w:keepNext/>
        <w:keepLines/>
        <w:rPr>
          <w:rFonts w:ascii="Verdana" w:hAnsi="Verdana"/>
          <w:kern w:val="2"/>
          <w:sz w:val="18"/>
          <w:szCs w:val="18"/>
        </w:rPr>
      </w:pPr>
    </w:p>
    <w:p w14:paraId="0E6115AD" w14:textId="5EA7AABF" w:rsidR="00073874" w:rsidRDefault="00073874" w:rsidP="00073874">
      <w:pPr>
        <w:rPr>
          <w:rFonts w:ascii="Verdana" w:hAnsi="Verdana"/>
          <w:kern w:val="2"/>
          <w:sz w:val="18"/>
          <w:szCs w:val="18"/>
        </w:rPr>
      </w:pPr>
      <w:r>
        <w:rPr>
          <w:rFonts w:ascii="Verdana" w:hAnsi="Verdana"/>
          <w:sz w:val="18"/>
          <w:szCs w:val="18"/>
        </w:rPr>
        <w:t>I artikel 1, stk. 1, litra e), erstattes "anbefalet daglig tilførsel" af "referenceindtag".</w:t>
      </w:r>
    </w:p>
    <w:p w14:paraId="3D8942E6" w14:textId="77777777" w:rsidR="00073874" w:rsidRPr="00EC6A3C" w:rsidRDefault="00073874" w:rsidP="00073874">
      <w:pPr>
        <w:rPr>
          <w:rFonts w:ascii="Verdana" w:hAnsi="Verdana"/>
          <w:kern w:val="2"/>
          <w:sz w:val="18"/>
          <w:szCs w:val="18"/>
        </w:rPr>
      </w:pPr>
    </w:p>
    <w:p w14:paraId="55D83C1B" w14:textId="77777777" w:rsidR="00073874" w:rsidRDefault="00073874" w:rsidP="00037899">
      <w:pPr>
        <w:keepNext/>
        <w:keepLines/>
        <w:rPr>
          <w:rFonts w:ascii="Verdana" w:hAnsi="Verdana"/>
          <w:kern w:val="2"/>
          <w:sz w:val="18"/>
          <w:szCs w:val="18"/>
        </w:rPr>
      </w:pPr>
      <w:r>
        <w:rPr>
          <w:rFonts w:ascii="Verdana" w:hAnsi="Verdana"/>
          <w:sz w:val="18"/>
          <w:szCs w:val="18"/>
        </w:rPr>
        <w:t>B</w:t>
      </w:r>
    </w:p>
    <w:p w14:paraId="6386CDBE" w14:textId="77777777" w:rsidR="00073874" w:rsidRDefault="00073874" w:rsidP="00037899">
      <w:pPr>
        <w:keepNext/>
        <w:keepLines/>
        <w:rPr>
          <w:rFonts w:ascii="Verdana" w:hAnsi="Verdana"/>
          <w:kern w:val="2"/>
          <w:sz w:val="18"/>
          <w:szCs w:val="18"/>
        </w:rPr>
      </w:pPr>
    </w:p>
    <w:p w14:paraId="458FEE7B" w14:textId="77777777" w:rsidR="00073874" w:rsidRDefault="00073874" w:rsidP="00073874">
      <w:pPr>
        <w:rPr>
          <w:rFonts w:ascii="Verdana" w:hAnsi="Verdana"/>
          <w:kern w:val="2"/>
          <w:sz w:val="18"/>
          <w:szCs w:val="18"/>
        </w:rPr>
      </w:pPr>
      <w:r>
        <w:rPr>
          <w:rFonts w:ascii="Verdana" w:hAnsi="Verdana"/>
          <w:sz w:val="18"/>
          <w:szCs w:val="18"/>
        </w:rPr>
        <w:t>I artikel 6, stk. 1, erstattes "anbefalet daglig tilførsel" af "referenceindtag".</w:t>
      </w:r>
    </w:p>
    <w:p w14:paraId="3DBCB335" w14:textId="77777777" w:rsidR="00073874" w:rsidRDefault="00073874" w:rsidP="00073874">
      <w:pPr>
        <w:rPr>
          <w:rFonts w:ascii="Verdana" w:hAnsi="Verdana"/>
          <w:kern w:val="2"/>
          <w:sz w:val="18"/>
          <w:szCs w:val="18"/>
        </w:rPr>
      </w:pPr>
    </w:p>
    <w:p w14:paraId="0B33DFE2" w14:textId="77777777" w:rsidR="00073874" w:rsidRDefault="00073874" w:rsidP="00073874">
      <w:pPr>
        <w:rPr>
          <w:rFonts w:ascii="Verdana" w:hAnsi="Verdana"/>
          <w:kern w:val="2"/>
          <w:sz w:val="18"/>
          <w:szCs w:val="18"/>
        </w:rPr>
      </w:pPr>
      <w:r>
        <w:rPr>
          <w:rFonts w:ascii="Verdana" w:hAnsi="Verdana"/>
          <w:sz w:val="18"/>
          <w:szCs w:val="18"/>
        </w:rPr>
        <w:t>C</w:t>
      </w:r>
    </w:p>
    <w:p w14:paraId="60209C98" w14:textId="77777777" w:rsidR="00073874" w:rsidRDefault="00073874" w:rsidP="00073874">
      <w:pPr>
        <w:rPr>
          <w:rFonts w:ascii="Verdana" w:hAnsi="Verdana"/>
          <w:kern w:val="2"/>
          <w:sz w:val="18"/>
          <w:szCs w:val="18"/>
        </w:rPr>
      </w:pPr>
    </w:p>
    <w:p w14:paraId="5E245599" w14:textId="77777777" w:rsidR="00073874" w:rsidRDefault="00073874" w:rsidP="00073874">
      <w:pPr>
        <w:rPr>
          <w:rFonts w:ascii="Verdana" w:hAnsi="Verdana"/>
          <w:kern w:val="2"/>
          <w:sz w:val="18"/>
          <w:szCs w:val="18"/>
        </w:rPr>
      </w:pPr>
      <w:r>
        <w:rPr>
          <w:rFonts w:ascii="Verdana" w:hAnsi="Verdana"/>
          <w:sz w:val="18"/>
          <w:szCs w:val="18"/>
        </w:rPr>
        <w:t>I Bilag 2 erstattes "anbefalet daglig tilførsel" af "referenceindtag".</w:t>
      </w:r>
    </w:p>
    <w:p w14:paraId="32F4BB61" w14:textId="77777777" w:rsidR="00073874" w:rsidRDefault="00073874" w:rsidP="00073874">
      <w:pPr>
        <w:rPr>
          <w:rFonts w:ascii="Verdana" w:hAnsi="Verdana"/>
          <w:kern w:val="2"/>
          <w:sz w:val="18"/>
          <w:szCs w:val="18"/>
        </w:rPr>
      </w:pPr>
    </w:p>
    <w:p w14:paraId="71C5482F" w14:textId="77777777" w:rsidR="00073874" w:rsidRDefault="00073874" w:rsidP="00037899">
      <w:pPr>
        <w:keepNext/>
        <w:keepLines/>
        <w:rPr>
          <w:rFonts w:ascii="Verdana" w:hAnsi="Verdana"/>
          <w:kern w:val="2"/>
          <w:sz w:val="18"/>
          <w:szCs w:val="18"/>
        </w:rPr>
      </w:pPr>
      <w:r>
        <w:rPr>
          <w:rFonts w:ascii="Verdana" w:hAnsi="Verdana"/>
          <w:sz w:val="18"/>
          <w:szCs w:val="18"/>
        </w:rPr>
        <w:t>D</w:t>
      </w:r>
    </w:p>
    <w:p w14:paraId="386F2C02" w14:textId="77777777" w:rsidR="00073874" w:rsidRDefault="00073874" w:rsidP="00037899">
      <w:pPr>
        <w:keepNext/>
        <w:keepLines/>
        <w:rPr>
          <w:rFonts w:ascii="Verdana" w:hAnsi="Verdana"/>
          <w:kern w:val="2"/>
          <w:sz w:val="18"/>
          <w:szCs w:val="18"/>
        </w:rPr>
      </w:pPr>
    </w:p>
    <w:p w14:paraId="1BF82929" w14:textId="77777777" w:rsidR="00073874" w:rsidRPr="00081924" w:rsidRDefault="00073874" w:rsidP="00073874">
      <w:pPr>
        <w:rPr>
          <w:rFonts w:ascii="Verdana" w:hAnsi="Verdana"/>
          <w:kern w:val="2"/>
          <w:sz w:val="18"/>
          <w:szCs w:val="18"/>
        </w:rPr>
      </w:pPr>
      <w:r>
        <w:rPr>
          <w:rFonts w:ascii="Verdana" w:hAnsi="Verdana"/>
          <w:sz w:val="18"/>
          <w:szCs w:val="18"/>
        </w:rPr>
        <w:t>I Bilag 3 erstattes "anbefalet daglig tilførsel" af "referenceindtag".</w:t>
      </w:r>
    </w:p>
    <w:p w14:paraId="1A4FDAF8" w14:textId="77777777" w:rsidR="00073874" w:rsidRDefault="00073874" w:rsidP="00073874">
      <w:pPr>
        <w:rPr>
          <w:rFonts w:ascii="Verdana" w:hAnsi="Verdana"/>
          <w:b/>
          <w:kern w:val="2"/>
          <w:sz w:val="18"/>
          <w:szCs w:val="18"/>
        </w:rPr>
      </w:pPr>
    </w:p>
    <w:p w14:paraId="28C5C247" w14:textId="718F8801" w:rsidR="00073874" w:rsidRDefault="00545ABF" w:rsidP="00037899">
      <w:pPr>
        <w:keepNext/>
        <w:keepLines/>
        <w:rPr>
          <w:rFonts w:ascii="Verdana" w:hAnsi="Verdana"/>
          <w:b/>
          <w:kern w:val="2"/>
          <w:sz w:val="18"/>
          <w:szCs w:val="18"/>
        </w:rPr>
      </w:pPr>
      <w:r>
        <w:rPr>
          <w:rFonts w:ascii="Verdana" w:hAnsi="Verdana"/>
          <w:b/>
          <w:sz w:val="18"/>
          <w:szCs w:val="18"/>
        </w:rPr>
        <w:t>Artikel 12</w:t>
      </w:r>
    </w:p>
    <w:p w14:paraId="45BAE68C" w14:textId="77777777" w:rsidR="00073874" w:rsidRPr="00CB0DBC" w:rsidRDefault="00073874" w:rsidP="00037899">
      <w:pPr>
        <w:keepNext/>
        <w:keepLines/>
        <w:rPr>
          <w:rFonts w:ascii="Verdana" w:hAnsi="Verdana"/>
          <w:b/>
          <w:kern w:val="2"/>
          <w:sz w:val="18"/>
          <w:szCs w:val="18"/>
        </w:rPr>
      </w:pPr>
      <w:r>
        <w:rPr>
          <w:rFonts w:ascii="Verdana" w:hAnsi="Verdana"/>
          <w:sz w:val="18"/>
          <w:szCs w:val="18"/>
        </w:rPr>
        <w:t xml:space="preserve">Bilaget til varelovdekretet om administrative sanktioner [Warenwetbesluit bestuurlijke boeten] ændres som følger: </w:t>
      </w:r>
    </w:p>
    <w:p w14:paraId="2E2B7103" w14:textId="77777777" w:rsidR="00073874" w:rsidRDefault="00073874" w:rsidP="00037899">
      <w:pPr>
        <w:keepNext/>
        <w:keepLines/>
        <w:rPr>
          <w:rFonts w:ascii="Verdana" w:hAnsi="Verdana"/>
          <w:kern w:val="2"/>
          <w:sz w:val="18"/>
          <w:szCs w:val="18"/>
        </w:rPr>
      </w:pPr>
    </w:p>
    <w:p w14:paraId="539B45FF" w14:textId="77777777" w:rsidR="00073874" w:rsidRPr="00927D2F" w:rsidRDefault="00073874" w:rsidP="00037899">
      <w:pPr>
        <w:keepNext/>
        <w:keepLines/>
        <w:rPr>
          <w:rFonts w:ascii="Verdana" w:hAnsi="Verdana"/>
          <w:kern w:val="2"/>
          <w:sz w:val="18"/>
          <w:szCs w:val="18"/>
        </w:rPr>
      </w:pPr>
      <w:r>
        <w:rPr>
          <w:rFonts w:ascii="Verdana" w:hAnsi="Verdana"/>
          <w:sz w:val="18"/>
          <w:szCs w:val="18"/>
        </w:rPr>
        <w:t xml:space="preserve">1. I indholdsfortegnelsen tilføjes et punkt efter punkt C-29 med følgende ordlyd: </w:t>
      </w:r>
    </w:p>
    <w:p w14:paraId="06D9338A" w14:textId="77777777" w:rsidR="00073874" w:rsidRDefault="00073874" w:rsidP="00037899">
      <w:pPr>
        <w:keepNext/>
        <w:keepLines/>
        <w:rPr>
          <w:rFonts w:ascii="Verdana" w:hAnsi="Verdana"/>
          <w:kern w:val="2"/>
          <w:sz w:val="18"/>
          <w:szCs w:val="18"/>
        </w:rPr>
      </w:pPr>
    </w:p>
    <w:p w14:paraId="559AD7D3" w14:textId="77777777" w:rsidR="00073874" w:rsidRDefault="00073874" w:rsidP="00073874">
      <w:pPr>
        <w:rPr>
          <w:rFonts w:ascii="Verdana" w:hAnsi="Verdana"/>
          <w:kern w:val="2"/>
          <w:sz w:val="18"/>
          <w:szCs w:val="18"/>
        </w:rPr>
      </w:pPr>
      <w:r>
        <w:rPr>
          <w:rFonts w:ascii="Verdana" w:hAnsi="Verdana"/>
          <w:sz w:val="18"/>
          <w:szCs w:val="18"/>
        </w:rPr>
        <w:t>C-30 varelovdekret om modermælkserstatning og mælk til småbørn</w:t>
      </w:r>
    </w:p>
    <w:p w14:paraId="30569750" w14:textId="77777777" w:rsidR="00073874" w:rsidRDefault="00073874" w:rsidP="00073874">
      <w:pPr>
        <w:rPr>
          <w:rFonts w:ascii="Verdana" w:hAnsi="Verdana"/>
          <w:kern w:val="2"/>
          <w:sz w:val="18"/>
          <w:szCs w:val="18"/>
        </w:rPr>
      </w:pPr>
    </w:p>
    <w:p w14:paraId="04F7B3DB" w14:textId="77777777" w:rsidR="00073874" w:rsidRDefault="00073874" w:rsidP="00037899">
      <w:pPr>
        <w:keepNext/>
        <w:keepLines/>
        <w:rPr>
          <w:rFonts w:ascii="Verdana" w:hAnsi="Verdana"/>
          <w:kern w:val="2"/>
          <w:sz w:val="18"/>
          <w:szCs w:val="18"/>
        </w:rPr>
      </w:pPr>
      <w:r>
        <w:rPr>
          <w:rFonts w:ascii="Verdana" w:hAnsi="Verdana"/>
          <w:sz w:val="18"/>
          <w:szCs w:val="18"/>
        </w:rPr>
        <w:lastRenderedPageBreak/>
        <w:t>2. Efter afsnit C-29 indsættes et nyt afsnit med den følgende ordlyd:</w:t>
      </w:r>
    </w:p>
    <w:p w14:paraId="2DBB793B" w14:textId="77777777" w:rsidR="00073874" w:rsidRDefault="00073874" w:rsidP="00037899">
      <w:pPr>
        <w:keepNext/>
        <w:keepLines/>
        <w:rPr>
          <w:rFonts w:ascii="Verdana" w:hAnsi="Verdana"/>
          <w:kern w:val="2"/>
          <w:sz w:val="18"/>
          <w:szCs w:val="18"/>
        </w:rPr>
      </w:pPr>
    </w:p>
    <w:p w14:paraId="0C268768" w14:textId="6E5A5207" w:rsidR="00073874" w:rsidRPr="00927D2F" w:rsidRDefault="00073874" w:rsidP="00037899">
      <w:pPr>
        <w:keepNext/>
        <w:keepLines/>
        <w:rPr>
          <w:rFonts w:ascii="Verdana" w:hAnsi="Verdana"/>
          <w:kern w:val="2"/>
          <w:sz w:val="18"/>
          <w:szCs w:val="18"/>
        </w:rPr>
      </w:pPr>
      <w:r>
        <w:rPr>
          <w:rFonts w:ascii="Verdana" w:hAnsi="Verdana"/>
          <w:sz w:val="18"/>
          <w:szCs w:val="18"/>
        </w:rPr>
        <w:t xml:space="preserve">C-30 varelovdekret om modermælkserstatning og mælk til småbørn </w:t>
      </w:r>
    </w:p>
    <w:p w14:paraId="3D255262" w14:textId="77777777" w:rsidR="00073874" w:rsidRDefault="00073874" w:rsidP="00037899">
      <w:pPr>
        <w:keepNext/>
        <w:keepLines/>
        <w:spacing w:line="240" w:lineRule="exact"/>
        <w:rPr>
          <w:rFonts w:ascii="Verdana" w:hAnsi="Verdana"/>
          <w:sz w:val="18"/>
          <w:szCs w:val="18"/>
        </w:rPr>
      </w:pPr>
    </w:p>
    <w:tbl>
      <w:tblPr>
        <w:tblStyle w:val="TableGrid"/>
        <w:tblW w:w="8261" w:type="dxa"/>
        <w:tblInd w:w="-5" w:type="dxa"/>
        <w:tblLook w:val="04A0" w:firstRow="1" w:lastRow="0" w:firstColumn="1" w:lastColumn="0" w:noHBand="0" w:noVBand="1"/>
      </w:tblPr>
      <w:tblGrid>
        <w:gridCol w:w="1153"/>
        <w:gridCol w:w="4493"/>
        <w:gridCol w:w="994"/>
        <w:gridCol w:w="1172"/>
        <w:gridCol w:w="449"/>
      </w:tblGrid>
      <w:tr w:rsidR="00073874" w14:paraId="52311ED4" w14:textId="77777777" w:rsidTr="006C4BDA">
        <w:tc>
          <w:tcPr>
            <w:tcW w:w="1170" w:type="dxa"/>
          </w:tcPr>
          <w:p w14:paraId="5BD65CE1" w14:textId="77777777" w:rsidR="00073874" w:rsidRDefault="00073874" w:rsidP="006C4BDA">
            <w:pPr>
              <w:spacing w:line="240" w:lineRule="exact"/>
              <w:rPr>
                <w:rFonts w:ascii="Verdana" w:hAnsi="Verdana"/>
                <w:sz w:val="18"/>
                <w:szCs w:val="18"/>
              </w:rPr>
            </w:pPr>
            <w:r>
              <w:rPr>
                <w:rFonts w:ascii="Verdana" w:hAnsi="Verdana"/>
                <w:sz w:val="18"/>
                <w:szCs w:val="18"/>
              </w:rPr>
              <w:t>C-30</w:t>
            </w:r>
          </w:p>
        </w:tc>
        <w:tc>
          <w:tcPr>
            <w:tcW w:w="4585" w:type="dxa"/>
          </w:tcPr>
          <w:p w14:paraId="49B6176D" w14:textId="77777777" w:rsidR="00073874" w:rsidRDefault="00073874" w:rsidP="006C4BDA">
            <w:pPr>
              <w:spacing w:line="240" w:lineRule="exact"/>
              <w:rPr>
                <w:rFonts w:ascii="Verdana" w:hAnsi="Verdana"/>
                <w:sz w:val="18"/>
                <w:szCs w:val="18"/>
              </w:rPr>
            </w:pPr>
            <w:r>
              <w:rPr>
                <w:rFonts w:ascii="Verdana" w:hAnsi="Verdana"/>
                <w:sz w:val="18"/>
                <w:szCs w:val="18"/>
              </w:rPr>
              <w:t>Varelovdekret om modermælkserstatning og mælk til småbørn</w:t>
            </w:r>
          </w:p>
        </w:tc>
        <w:tc>
          <w:tcPr>
            <w:tcW w:w="936" w:type="dxa"/>
          </w:tcPr>
          <w:p w14:paraId="69AD9BD1" w14:textId="77777777" w:rsidR="00073874" w:rsidRDefault="00073874" w:rsidP="006C4BDA">
            <w:pPr>
              <w:spacing w:line="240" w:lineRule="exact"/>
              <w:rPr>
                <w:rFonts w:ascii="Verdana" w:hAnsi="Verdana"/>
                <w:sz w:val="18"/>
                <w:szCs w:val="18"/>
              </w:rPr>
            </w:pPr>
          </w:p>
        </w:tc>
        <w:tc>
          <w:tcPr>
            <w:tcW w:w="1116" w:type="dxa"/>
          </w:tcPr>
          <w:p w14:paraId="443F9E5B" w14:textId="77777777" w:rsidR="00073874" w:rsidRDefault="00073874" w:rsidP="006C4BDA">
            <w:pPr>
              <w:spacing w:line="240" w:lineRule="exact"/>
              <w:rPr>
                <w:rFonts w:ascii="Verdana" w:hAnsi="Verdana"/>
                <w:sz w:val="18"/>
                <w:szCs w:val="18"/>
              </w:rPr>
            </w:pPr>
          </w:p>
        </w:tc>
        <w:tc>
          <w:tcPr>
            <w:tcW w:w="454" w:type="dxa"/>
          </w:tcPr>
          <w:p w14:paraId="57AAE572" w14:textId="77777777" w:rsidR="00073874" w:rsidRDefault="00073874" w:rsidP="006C4BDA">
            <w:pPr>
              <w:spacing w:line="240" w:lineRule="exact"/>
              <w:rPr>
                <w:rFonts w:ascii="Verdana" w:hAnsi="Verdana"/>
                <w:sz w:val="18"/>
                <w:szCs w:val="18"/>
              </w:rPr>
            </w:pPr>
          </w:p>
        </w:tc>
      </w:tr>
      <w:tr w:rsidR="00073874" w14:paraId="080EBBAA" w14:textId="77777777" w:rsidTr="006C4BDA">
        <w:tc>
          <w:tcPr>
            <w:tcW w:w="1170" w:type="dxa"/>
          </w:tcPr>
          <w:p w14:paraId="417891BE" w14:textId="77777777" w:rsidR="00073874" w:rsidRDefault="00073874" w:rsidP="006C4BDA">
            <w:pPr>
              <w:spacing w:line="240" w:lineRule="exact"/>
              <w:rPr>
                <w:rFonts w:ascii="Verdana" w:hAnsi="Verdana"/>
                <w:sz w:val="18"/>
                <w:szCs w:val="18"/>
              </w:rPr>
            </w:pPr>
            <w:r>
              <w:rPr>
                <w:rFonts w:ascii="Verdana" w:hAnsi="Verdana"/>
                <w:sz w:val="18"/>
                <w:szCs w:val="18"/>
              </w:rPr>
              <w:t>C-30.1</w:t>
            </w:r>
          </w:p>
        </w:tc>
        <w:tc>
          <w:tcPr>
            <w:tcW w:w="4585" w:type="dxa"/>
          </w:tcPr>
          <w:p w14:paraId="497C00FC" w14:textId="5F1DDF0F" w:rsidR="00073874" w:rsidRDefault="00073874" w:rsidP="006C4BDA">
            <w:pPr>
              <w:spacing w:line="240" w:lineRule="exact"/>
              <w:rPr>
                <w:rFonts w:ascii="Verdana" w:hAnsi="Verdana"/>
                <w:sz w:val="18"/>
                <w:szCs w:val="18"/>
              </w:rPr>
            </w:pPr>
            <w:r>
              <w:rPr>
                <w:rFonts w:ascii="Verdana" w:hAnsi="Verdana"/>
                <w:sz w:val="18"/>
                <w:szCs w:val="18"/>
              </w:rPr>
              <w:t>Artikel 2 sammenholdt med artikel 3, stk. 1</w:t>
            </w:r>
          </w:p>
        </w:tc>
        <w:tc>
          <w:tcPr>
            <w:tcW w:w="936" w:type="dxa"/>
          </w:tcPr>
          <w:p w14:paraId="353EB105" w14:textId="77777777" w:rsidR="00073874" w:rsidRDefault="00073874" w:rsidP="006C4BDA">
            <w:pPr>
              <w:spacing w:line="240" w:lineRule="exact"/>
              <w:rPr>
                <w:rFonts w:ascii="Verdana" w:hAnsi="Verdana"/>
                <w:sz w:val="18"/>
                <w:szCs w:val="18"/>
              </w:rPr>
            </w:pPr>
            <w:r>
              <w:rPr>
                <w:rFonts w:ascii="Verdana" w:hAnsi="Verdana"/>
                <w:sz w:val="18"/>
                <w:szCs w:val="18"/>
              </w:rPr>
              <w:t>525 EUR</w:t>
            </w:r>
          </w:p>
        </w:tc>
        <w:tc>
          <w:tcPr>
            <w:tcW w:w="1116" w:type="dxa"/>
          </w:tcPr>
          <w:p w14:paraId="4119CEC1" w14:textId="77777777" w:rsidR="00073874" w:rsidRDefault="00073874" w:rsidP="006C4BDA">
            <w:pPr>
              <w:spacing w:line="240" w:lineRule="exact"/>
              <w:rPr>
                <w:rFonts w:ascii="Verdana" w:hAnsi="Verdana"/>
                <w:sz w:val="18"/>
                <w:szCs w:val="18"/>
              </w:rPr>
            </w:pPr>
            <w:r>
              <w:rPr>
                <w:rFonts w:ascii="Verdana" w:hAnsi="Verdana"/>
                <w:sz w:val="18"/>
                <w:szCs w:val="18"/>
              </w:rPr>
              <w:t>1 050 EUR</w:t>
            </w:r>
          </w:p>
        </w:tc>
        <w:tc>
          <w:tcPr>
            <w:tcW w:w="454" w:type="dxa"/>
          </w:tcPr>
          <w:p w14:paraId="161D95F6" w14:textId="77777777" w:rsidR="00073874" w:rsidRDefault="00073874" w:rsidP="006C4BDA">
            <w:pPr>
              <w:spacing w:line="240" w:lineRule="exact"/>
              <w:rPr>
                <w:rFonts w:ascii="Verdana" w:hAnsi="Verdana"/>
                <w:sz w:val="18"/>
                <w:szCs w:val="18"/>
              </w:rPr>
            </w:pPr>
            <w:r>
              <w:rPr>
                <w:rFonts w:ascii="Verdana" w:hAnsi="Verdana"/>
                <w:sz w:val="18"/>
                <w:szCs w:val="18"/>
              </w:rPr>
              <w:t>X</w:t>
            </w:r>
          </w:p>
        </w:tc>
      </w:tr>
      <w:tr w:rsidR="00073874" w14:paraId="66983A92" w14:textId="77777777" w:rsidTr="006C4BDA">
        <w:tc>
          <w:tcPr>
            <w:tcW w:w="1170" w:type="dxa"/>
          </w:tcPr>
          <w:p w14:paraId="38420C33" w14:textId="2628389C" w:rsidR="00073874" w:rsidRDefault="00073874" w:rsidP="006C4BDA">
            <w:pPr>
              <w:spacing w:line="240" w:lineRule="exact"/>
              <w:rPr>
                <w:rFonts w:ascii="Verdana" w:hAnsi="Verdana"/>
                <w:sz w:val="18"/>
                <w:szCs w:val="18"/>
              </w:rPr>
            </w:pPr>
            <w:r>
              <w:rPr>
                <w:rFonts w:ascii="Verdana" w:hAnsi="Verdana"/>
                <w:sz w:val="18"/>
                <w:szCs w:val="18"/>
              </w:rPr>
              <w:t>C-30.2</w:t>
            </w:r>
          </w:p>
        </w:tc>
        <w:tc>
          <w:tcPr>
            <w:tcW w:w="4585" w:type="dxa"/>
          </w:tcPr>
          <w:p w14:paraId="58DAD725" w14:textId="5DF1C541" w:rsidR="00073874" w:rsidRDefault="00073874" w:rsidP="00DC7D23">
            <w:pPr>
              <w:spacing w:line="240" w:lineRule="exact"/>
              <w:rPr>
                <w:rFonts w:ascii="Verdana" w:hAnsi="Verdana"/>
                <w:sz w:val="18"/>
                <w:szCs w:val="18"/>
              </w:rPr>
            </w:pPr>
            <w:r>
              <w:rPr>
                <w:rFonts w:ascii="Verdana" w:hAnsi="Verdana"/>
                <w:sz w:val="18"/>
                <w:szCs w:val="18"/>
              </w:rPr>
              <w:t>Artikel 2 sammenholdt med artikel 3, stk. 4</w:t>
            </w:r>
          </w:p>
        </w:tc>
        <w:tc>
          <w:tcPr>
            <w:tcW w:w="936" w:type="dxa"/>
          </w:tcPr>
          <w:p w14:paraId="5E7C7F61" w14:textId="77777777" w:rsidR="00073874" w:rsidRDefault="00073874" w:rsidP="006C4BDA">
            <w:pPr>
              <w:spacing w:line="240" w:lineRule="exact"/>
              <w:rPr>
                <w:rFonts w:ascii="Verdana" w:hAnsi="Verdana"/>
                <w:sz w:val="18"/>
                <w:szCs w:val="18"/>
              </w:rPr>
            </w:pPr>
            <w:r>
              <w:rPr>
                <w:rFonts w:ascii="Verdana" w:hAnsi="Verdana"/>
                <w:sz w:val="18"/>
                <w:szCs w:val="18"/>
              </w:rPr>
              <w:t>525 EUR</w:t>
            </w:r>
          </w:p>
        </w:tc>
        <w:tc>
          <w:tcPr>
            <w:tcW w:w="1116" w:type="dxa"/>
          </w:tcPr>
          <w:p w14:paraId="692F9D61" w14:textId="77777777" w:rsidR="00073874" w:rsidRDefault="00073874" w:rsidP="006C4BDA">
            <w:pPr>
              <w:spacing w:line="240" w:lineRule="exact"/>
              <w:rPr>
                <w:rFonts w:ascii="Verdana" w:hAnsi="Verdana"/>
                <w:sz w:val="18"/>
                <w:szCs w:val="18"/>
              </w:rPr>
            </w:pPr>
            <w:r>
              <w:rPr>
                <w:rFonts w:ascii="Verdana" w:hAnsi="Verdana"/>
                <w:sz w:val="18"/>
                <w:szCs w:val="18"/>
              </w:rPr>
              <w:t>1 050 EUR</w:t>
            </w:r>
          </w:p>
        </w:tc>
        <w:tc>
          <w:tcPr>
            <w:tcW w:w="454" w:type="dxa"/>
          </w:tcPr>
          <w:p w14:paraId="62B576B7" w14:textId="77777777" w:rsidR="00073874" w:rsidRDefault="00073874" w:rsidP="006C4BDA">
            <w:pPr>
              <w:spacing w:line="240" w:lineRule="exact"/>
              <w:rPr>
                <w:rFonts w:ascii="Verdana" w:hAnsi="Verdana"/>
                <w:sz w:val="18"/>
                <w:szCs w:val="18"/>
              </w:rPr>
            </w:pPr>
            <w:r>
              <w:rPr>
                <w:rFonts w:ascii="Verdana" w:hAnsi="Verdana"/>
                <w:sz w:val="18"/>
                <w:szCs w:val="18"/>
              </w:rPr>
              <w:t>X</w:t>
            </w:r>
          </w:p>
        </w:tc>
      </w:tr>
      <w:tr w:rsidR="00073874" w14:paraId="5676C288" w14:textId="77777777" w:rsidTr="006C4BDA">
        <w:tc>
          <w:tcPr>
            <w:tcW w:w="1170" w:type="dxa"/>
          </w:tcPr>
          <w:p w14:paraId="790BE90C" w14:textId="77777777" w:rsidR="00073874" w:rsidRDefault="00073874" w:rsidP="006C4BDA">
            <w:pPr>
              <w:spacing w:line="240" w:lineRule="exact"/>
              <w:rPr>
                <w:rFonts w:ascii="Verdana" w:hAnsi="Verdana"/>
                <w:sz w:val="18"/>
                <w:szCs w:val="18"/>
              </w:rPr>
            </w:pPr>
            <w:r>
              <w:rPr>
                <w:rFonts w:ascii="Verdana" w:hAnsi="Verdana"/>
                <w:sz w:val="18"/>
                <w:szCs w:val="18"/>
              </w:rPr>
              <w:t>C-30.3</w:t>
            </w:r>
          </w:p>
        </w:tc>
        <w:tc>
          <w:tcPr>
            <w:tcW w:w="4585" w:type="dxa"/>
          </w:tcPr>
          <w:p w14:paraId="58F874C8" w14:textId="0C3C4B39" w:rsidR="00073874" w:rsidRDefault="00073874" w:rsidP="006C4BDA">
            <w:pPr>
              <w:spacing w:line="240" w:lineRule="exact"/>
              <w:rPr>
                <w:rFonts w:ascii="Verdana" w:hAnsi="Verdana"/>
                <w:sz w:val="18"/>
                <w:szCs w:val="18"/>
              </w:rPr>
            </w:pPr>
            <w:r>
              <w:rPr>
                <w:rFonts w:ascii="Verdana" w:hAnsi="Verdana"/>
                <w:sz w:val="18"/>
                <w:szCs w:val="18"/>
              </w:rPr>
              <w:t>Artikel 2 sammenholdt med artikel 4, stk. 1</w:t>
            </w:r>
          </w:p>
        </w:tc>
        <w:tc>
          <w:tcPr>
            <w:tcW w:w="936" w:type="dxa"/>
          </w:tcPr>
          <w:p w14:paraId="4EA50D93" w14:textId="573277CE" w:rsidR="00073874" w:rsidRDefault="00073874" w:rsidP="006C4BDA">
            <w:pPr>
              <w:spacing w:line="240" w:lineRule="exact"/>
              <w:rPr>
                <w:rFonts w:ascii="Verdana" w:hAnsi="Verdana"/>
                <w:sz w:val="18"/>
                <w:szCs w:val="18"/>
              </w:rPr>
            </w:pPr>
            <w:r>
              <w:rPr>
                <w:rFonts w:ascii="Verdana" w:hAnsi="Verdana"/>
                <w:sz w:val="18"/>
                <w:szCs w:val="18"/>
              </w:rPr>
              <w:t>525 EUR</w:t>
            </w:r>
          </w:p>
        </w:tc>
        <w:tc>
          <w:tcPr>
            <w:tcW w:w="1116" w:type="dxa"/>
          </w:tcPr>
          <w:p w14:paraId="2D068FFA" w14:textId="6E7D47A5" w:rsidR="00073874" w:rsidRDefault="00073874" w:rsidP="006C4BDA">
            <w:pPr>
              <w:spacing w:line="240" w:lineRule="exact"/>
              <w:rPr>
                <w:rFonts w:ascii="Verdana" w:hAnsi="Verdana"/>
                <w:sz w:val="18"/>
                <w:szCs w:val="18"/>
              </w:rPr>
            </w:pPr>
            <w:r>
              <w:rPr>
                <w:rFonts w:ascii="Verdana" w:hAnsi="Verdana"/>
                <w:sz w:val="18"/>
                <w:szCs w:val="18"/>
              </w:rPr>
              <w:t>1 050 EUR</w:t>
            </w:r>
          </w:p>
        </w:tc>
        <w:tc>
          <w:tcPr>
            <w:tcW w:w="454" w:type="dxa"/>
          </w:tcPr>
          <w:p w14:paraId="6FCE3FE9" w14:textId="77777777" w:rsidR="00073874" w:rsidRDefault="00073874" w:rsidP="006C4BDA">
            <w:pPr>
              <w:spacing w:line="240" w:lineRule="exact"/>
              <w:rPr>
                <w:rFonts w:ascii="Verdana" w:hAnsi="Verdana"/>
                <w:sz w:val="18"/>
                <w:szCs w:val="18"/>
              </w:rPr>
            </w:pPr>
            <w:r>
              <w:rPr>
                <w:rFonts w:ascii="Verdana" w:hAnsi="Verdana"/>
                <w:sz w:val="18"/>
                <w:szCs w:val="18"/>
              </w:rPr>
              <w:t>X</w:t>
            </w:r>
          </w:p>
        </w:tc>
      </w:tr>
      <w:tr w:rsidR="00DC7D23" w:rsidDel="00DC7D23" w14:paraId="24E42793" w14:textId="77777777" w:rsidTr="006C4BDA">
        <w:tc>
          <w:tcPr>
            <w:tcW w:w="1170" w:type="dxa"/>
          </w:tcPr>
          <w:p w14:paraId="12819E85" w14:textId="4D4D18DB" w:rsidR="00DC7D23" w:rsidDel="00DC7D23" w:rsidRDefault="00DC7D23" w:rsidP="00DC7D23">
            <w:pPr>
              <w:spacing w:line="240" w:lineRule="exact"/>
              <w:rPr>
                <w:rFonts w:ascii="Verdana" w:hAnsi="Verdana"/>
                <w:sz w:val="18"/>
                <w:szCs w:val="18"/>
              </w:rPr>
            </w:pPr>
            <w:r>
              <w:rPr>
                <w:rFonts w:ascii="Verdana" w:hAnsi="Verdana"/>
                <w:sz w:val="18"/>
                <w:szCs w:val="18"/>
              </w:rPr>
              <w:t>C-30.4</w:t>
            </w:r>
          </w:p>
        </w:tc>
        <w:tc>
          <w:tcPr>
            <w:tcW w:w="4585" w:type="dxa"/>
          </w:tcPr>
          <w:p w14:paraId="11AB05FF" w14:textId="3C553F38" w:rsidR="00DC7D23" w:rsidDel="00DC7D23" w:rsidRDefault="00DC7D23" w:rsidP="00DC7D23">
            <w:pPr>
              <w:spacing w:line="240" w:lineRule="exact"/>
              <w:rPr>
                <w:rFonts w:ascii="Verdana" w:hAnsi="Verdana"/>
                <w:sz w:val="18"/>
                <w:szCs w:val="18"/>
              </w:rPr>
            </w:pPr>
            <w:r>
              <w:rPr>
                <w:rFonts w:ascii="Verdana" w:hAnsi="Verdana"/>
                <w:sz w:val="18"/>
                <w:szCs w:val="18"/>
              </w:rPr>
              <w:t>Artikel 2 sammenholdt med artikel 6, stk. 1</w:t>
            </w:r>
          </w:p>
        </w:tc>
        <w:tc>
          <w:tcPr>
            <w:tcW w:w="936" w:type="dxa"/>
          </w:tcPr>
          <w:p w14:paraId="6911CB85" w14:textId="7B10AB2C" w:rsidR="00DC7D23" w:rsidDel="00DC7D23" w:rsidRDefault="00DC7D23" w:rsidP="00DC7D23">
            <w:pPr>
              <w:spacing w:line="240" w:lineRule="exact"/>
              <w:rPr>
                <w:rFonts w:ascii="Verdana" w:hAnsi="Verdana"/>
                <w:sz w:val="18"/>
                <w:szCs w:val="18"/>
              </w:rPr>
            </w:pPr>
            <w:r>
              <w:rPr>
                <w:rFonts w:ascii="Verdana" w:hAnsi="Verdana"/>
                <w:sz w:val="18"/>
                <w:szCs w:val="18"/>
              </w:rPr>
              <w:t>525 EUR</w:t>
            </w:r>
          </w:p>
        </w:tc>
        <w:tc>
          <w:tcPr>
            <w:tcW w:w="1116" w:type="dxa"/>
          </w:tcPr>
          <w:p w14:paraId="6AB99CE2" w14:textId="4983AB7F" w:rsidR="00DC7D23" w:rsidDel="00DC7D23" w:rsidRDefault="00DC7D23" w:rsidP="00DC7D23">
            <w:pPr>
              <w:spacing w:line="240" w:lineRule="exact"/>
              <w:rPr>
                <w:rFonts w:ascii="Verdana" w:hAnsi="Verdana"/>
                <w:sz w:val="18"/>
                <w:szCs w:val="18"/>
              </w:rPr>
            </w:pPr>
            <w:r>
              <w:rPr>
                <w:rFonts w:ascii="Verdana" w:hAnsi="Verdana"/>
                <w:sz w:val="18"/>
                <w:szCs w:val="18"/>
              </w:rPr>
              <w:t>1 050 EUR</w:t>
            </w:r>
          </w:p>
        </w:tc>
        <w:tc>
          <w:tcPr>
            <w:tcW w:w="454" w:type="dxa"/>
          </w:tcPr>
          <w:p w14:paraId="6DC475B2" w14:textId="5B57125C" w:rsidR="00DC7D23" w:rsidDel="00DC7D23" w:rsidRDefault="00DC7D23" w:rsidP="00DC7D23">
            <w:pPr>
              <w:spacing w:line="240" w:lineRule="exact"/>
              <w:rPr>
                <w:rFonts w:ascii="Verdana" w:hAnsi="Verdana"/>
                <w:sz w:val="18"/>
                <w:szCs w:val="18"/>
              </w:rPr>
            </w:pPr>
            <w:r>
              <w:rPr>
                <w:rFonts w:ascii="Verdana" w:hAnsi="Verdana"/>
                <w:sz w:val="18"/>
                <w:szCs w:val="18"/>
              </w:rPr>
              <w:t>X</w:t>
            </w:r>
          </w:p>
        </w:tc>
      </w:tr>
      <w:tr w:rsidR="00DC7D23" w14:paraId="431BB114" w14:textId="77777777" w:rsidTr="006C4BDA">
        <w:tc>
          <w:tcPr>
            <w:tcW w:w="1170" w:type="dxa"/>
          </w:tcPr>
          <w:p w14:paraId="6CF0162A" w14:textId="70834A9F" w:rsidR="00DC7D23" w:rsidRDefault="00DC7D23" w:rsidP="00DC7D23">
            <w:pPr>
              <w:spacing w:line="240" w:lineRule="exact"/>
              <w:rPr>
                <w:rFonts w:ascii="Verdana" w:hAnsi="Verdana"/>
                <w:sz w:val="18"/>
                <w:szCs w:val="18"/>
              </w:rPr>
            </w:pPr>
            <w:r>
              <w:rPr>
                <w:rFonts w:ascii="Verdana" w:hAnsi="Verdana"/>
                <w:sz w:val="18"/>
                <w:szCs w:val="18"/>
              </w:rPr>
              <w:t>C-30.5</w:t>
            </w:r>
          </w:p>
        </w:tc>
        <w:tc>
          <w:tcPr>
            <w:tcW w:w="4585" w:type="dxa"/>
          </w:tcPr>
          <w:p w14:paraId="518F41F7" w14:textId="161CAA92" w:rsidR="00DC7D23" w:rsidRDefault="00DC7D23" w:rsidP="00DC7D23">
            <w:pPr>
              <w:spacing w:line="240" w:lineRule="exact"/>
              <w:rPr>
                <w:rFonts w:ascii="Verdana" w:hAnsi="Verdana"/>
                <w:sz w:val="18"/>
                <w:szCs w:val="18"/>
              </w:rPr>
            </w:pPr>
            <w:r>
              <w:rPr>
                <w:rFonts w:ascii="Verdana" w:hAnsi="Verdana"/>
                <w:sz w:val="18"/>
                <w:szCs w:val="18"/>
              </w:rPr>
              <w:t>Artikel 2 sammenholdt med artikel 6, stk. 2</w:t>
            </w:r>
          </w:p>
        </w:tc>
        <w:tc>
          <w:tcPr>
            <w:tcW w:w="936" w:type="dxa"/>
          </w:tcPr>
          <w:p w14:paraId="7FE2928B" w14:textId="123816BF" w:rsidR="00DC7D23" w:rsidRDefault="00DC7D23" w:rsidP="00DC7D23">
            <w:pPr>
              <w:spacing w:line="240" w:lineRule="exact"/>
              <w:rPr>
                <w:rFonts w:ascii="Verdana" w:hAnsi="Verdana"/>
                <w:sz w:val="18"/>
                <w:szCs w:val="18"/>
              </w:rPr>
            </w:pPr>
            <w:r>
              <w:rPr>
                <w:rFonts w:ascii="Verdana" w:hAnsi="Verdana"/>
                <w:sz w:val="18"/>
                <w:szCs w:val="18"/>
              </w:rPr>
              <w:t>525 EUR</w:t>
            </w:r>
          </w:p>
        </w:tc>
        <w:tc>
          <w:tcPr>
            <w:tcW w:w="1116" w:type="dxa"/>
          </w:tcPr>
          <w:p w14:paraId="321CDB54" w14:textId="0CCD647F" w:rsidR="00DC7D23" w:rsidRDefault="00DC7D23" w:rsidP="00DC7D23">
            <w:pPr>
              <w:spacing w:line="240" w:lineRule="exact"/>
              <w:rPr>
                <w:rFonts w:ascii="Verdana" w:hAnsi="Verdana"/>
                <w:sz w:val="18"/>
                <w:szCs w:val="18"/>
              </w:rPr>
            </w:pPr>
            <w:r>
              <w:rPr>
                <w:rFonts w:ascii="Verdana" w:hAnsi="Verdana"/>
                <w:sz w:val="18"/>
                <w:szCs w:val="18"/>
              </w:rPr>
              <w:t>1 050 EUR</w:t>
            </w:r>
          </w:p>
        </w:tc>
        <w:tc>
          <w:tcPr>
            <w:tcW w:w="454" w:type="dxa"/>
          </w:tcPr>
          <w:p w14:paraId="1816F0AC" w14:textId="3E951E13" w:rsidR="00DC7D23" w:rsidRDefault="00DC7D23" w:rsidP="00DC7D23">
            <w:pPr>
              <w:spacing w:line="240" w:lineRule="exact"/>
              <w:rPr>
                <w:rFonts w:ascii="Verdana" w:hAnsi="Verdana"/>
                <w:sz w:val="18"/>
                <w:szCs w:val="18"/>
              </w:rPr>
            </w:pPr>
            <w:r>
              <w:rPr>
                <w:rFonts w:ascii="Verdana" w:hAnsi="Verdana"/>
                <w:sz w:val="18"/>
                <w:szCs w:val="18"/>
              </w:rPr>
              <w:t>X</w:t>
            </w:r>
          </w:p>
        </w:tc>
      </w:tr>
      <w:tr w:rsidR="00DC7D23" w14:paraId="30AD45DE" w14:textId="77777777" w:rsidTr="006C4BDA">
        <w:tc>
          <w:tcPr>
            <w:tcW w:w="1170" w:type="dxa"/>
          </w:tcPr>
          <w:p w14:paraId="027607F9" w14:textId="5E53B43F" w:rsidR="00DC7D23" w:rsidRDefault="00DC7D23" w:rsidP="00DC7D23">
            <w:pPr>
              <w:spacing w:line="240" w:lineRule="exact"/>
              <w:rPr>
                <w:rFonts w:ascii="Verdana" w:hAnsi="Verdana"/>
                <w:sz w:val="18"/>
                <w:szCs w:val="18"/>
              </w:rPr>
            </w:pPr>
            <w:r>
              <w:rPr>
                <w:rFonts w:ascii="Verdana" w:hAnsi="Verdana"/>
                <w:sz w:val="18"/>
                <w:szCs w:val="18"/>
              </w:rPr>
              <w:t>C-30.6</w:t>
            </w:r>
          </w:p>
        </w:tc>
        <w:tc>
          <w:tcPr>
            <w:tcW w:w="4585" w:type="dxa"/>
          </w:tcPr>
          <w:p w14:paraId="051C862C" w14:textId="635C06F7" w:rsidR="00DC7D23" w:rsidRDefault="00DC7D23" w:rsidP="00DC7D23">
            <w:pPr>
              <w:spacing w:line="240" w:lineRule="exact"/>
              <w:rPr>
                <w:rFonts w:ascii="Verdana" w:hAnsi="Verdana"/>
                <w:sz w:val="18"/>
                <w:szCs w:val="18"/>
              </w:rPr>
            </w:pPr>
            <w:r>
              <w:rPr>
                <w:rFonts w:ascii="Verdana" w:hAnsi="Verdana"/>
                <w:sz w:val="18"/>
                <w:szCs w:val="18"/>
              </w:rPr>
              <w:t>Artikel 2 sammenholdt med artikel 7</w:t>
            </w:r>
          </w:p>
        </w:tc>
        <w:tc>
          <w:tcPr>
            <w:tcW w:w="936" w:type="dxa"/>
          </w:tcPr>
          <w:p w14:paraId="3253E7A1" w14:textId="77777777" w:rsidR="00DC7D23" w:rsidRDefault="00DC7D23" w:rsidP="00DC7D23">
            <w:pPr>
              <w:spacing w:line="240" w:lineRule="exact"/>
              <w:rPr>
                <w:rFonts w:ascii="Verdana" w:hAnsi="Verdana"/>
                <w:sz w:val="18"/>
                <w:szCs w:val="18"/>
              </w:rPr>
            </w:pPr>
            <w:r>
              <w:rPr>
                <w:rFonts w:ascii="Verdana" w:hAnsi="Verdana"/>
                <w:sz w:val="18"/>
                <w:szCs w:val="18"/>
              </w:rPr>
              <w:t>525 EUR</w:t>
            </w:r>
          </w:p>
        </w:tc>
        <w:tc>
          <w:tcPr>
            <w:tcW w:w="1116" w:type="dxa"/>
          </w:tcPr>
          <w:p w14:paraId="57E9EB50" w14:textId="77777777" w:rsidR="00DC7D23" w:rsidRDefault="00DC7D23" w:rsidP="00DC7D23">
            <w:pPr>
              <w:spacing w:line="240" w:lineRule="exact"/>
              <w:rPr>
                <w:rFonts w:ascii="Verdana" w:hAnsi="Verdana"/>
                <w:sz w:val="18"/>
                <w:szCs w:val="18"/>
              </w:rPr>
            </w:pPr>
            <w:r>
              <w:rPr>
                <w:rFonts w:ascii="Verdana" w:hAnsi="Verdana"/>
                <w:sz w:val="18"/>
                <w:szCs w:val="18"/>
              </w:rPr>
              <w:t>1 050 EUR</w:t>
            </w:r>
          </w:p>
        </w:tc>
        <w:tc>
          <w:tcPr>
            <w:tcW w:w="454" w:type="dxa"/>
          </w:tcPr>
          <w:p w14:paraId="43F532DE" w14:textId="77777777" w:rsidR="00DC7D23" w:rsidRDefault="00DC7D23" w:rsidP="00DC7D23">
            <w:pPr>
              <w:spacing w:line="240" w:lineRule="exact"/>
              <w:rPr>
                <w:rFonts w:ascii="Verdana" w:hAnsi="Verdana"/>
                <w:sz w:val="18"/>
                <w:szCs w:val="18"/>
              </w:rPr>
            </w:pPr>
            <w:r>
              <w:rPr>
                <w:rFonts w:ascii="Verdana" w:hAnsi="Verdana"/>
                <w:sz w:val="18"/>
                <w:szCs w:val="18"/>
              </w:rPr>
              <w:t>X</w:t>
            </w:r>
          </w:p>
        </w:tc>
      </w:tr>
      <w:tr w:rsidR="00DC7D23" w14:paraId="0F3DFAB6" w14:textId="77777777" w:rsidTr="006C4BDA">
        <w:tc>
          <w:tcPr>
            <w:tcW w:w="1170" w:type="dxa"/>
          </w:tcPr>
          <w:p w14:paraId="46653C9A" w14:textId="77777777" w:rsidR="00DC7D23" w:rsidRDefault="00DC7D23" w:rsidP="00DC7D23">
            <w:pPr>
              <w:spacing w:line="240" w:lineRule="exact"/>
              <w:rPr>
                <w:rFonts w:ascii="Verdana" w:hAnsi="Verdana"/>
                <w:sz w:val="18"/>
                <w:szCs w:val="18"/>
              </w:rPr>
            </w:pPr>
            <w:r>
              <w:rPr>
                <w:rFonts w:ascii="Verdana" w:hAnsi="Verdana"/>
                <w:sz w:val="18"/>
                <w:szCs w:val="18"/>
              </w:rPr>
              <w:t>C-30.7</w:t>
            </w:r>
          </w:p>
        </w:tc>
        <w:tc>
          <w:tcPr>
            <w:tcW w:w="4585" w:type="dxa"/>
          </w:tcPr>
          <w:p w14:paraId="34D2AE65" w14:textId="56D915F7" w:rsidR="00DC7D23" w:rsidRDefault="00DC7D23" w:rsidP="00DC7D23">
            <w:pPr>
              <w:spacing w:line="240" w:lineRule="exact"/>
              <w:rPr>
                <w:rFonts w:ascii="Verdana" w:hAnsi="Verdana"/>
                <w:sz w:val="18"/>
                <w:szCs w:val="18"/>
              </w:rPr>
            </w:pPr>
            <w:r>
              <w:rPr>
                <w:rFonts w:ascii="Verdana" w:hAnsi="Verdana"/>
                <w:sz w:val="18"/>
                <w:szCs w:val="18"/>
              </w:rPr>
              <w:t>Artikel 2 sammenholdt med artikel 8</w:t>
            </w:r>
          </w:p>
        </w:tc>
        <w:tc>
          <w:tcPr>
            <w:tcW w:w="936" w:type="dxa"/>
          </w:tcPr>
          <w:p w14:paraId="1179395A" w14:textId="77777777" w:rsidR="00DC7D23" w:rsidRDefault="00DC7D23" w:rsidP="00DC7D23">
            <w:pPr>
              <w:spacing w:line="240" w:lineRule="exact"/>
              <w:rPr>
                <w:rFonts w:ascii="Verdana" w:hAnsi="Verdana"/>
                <w:sz w:val="18"/>
                <w:szCs w:val="18"/>
              </w:rPr>
            </w:pPr>
            <w:r>
              <w:rPr>
                <w:rFonts w:ascii="Verdana" w:hAnsi="Verdana"/>
                <w:sz w:val="18"/>
                <w:szCs w:val="18"/>
              </w:rPr>
              <w:t>525 EUR</w:t>
            </w:r>
          </w:p>
        </w:tc>
        <w:tc>
          <w:tcPr>
            <w:tcW w:w="1116" w:type="dxa"/>
          </w:tcPr>
          <w:p w14:paraId="7299F14F" w14:textId="77777777" w:rsidR="00DC7D23" w:rsidRDefault="00DC7D23" w:rsidP="00DC7D23">
            <w:pPr>
              <w:spacing w:line="240" w:lineRule="exact"/>
              <w:rPr>
                <w:rFonts w:ascii="Verdana" w:hAnsi="Verdana"/>
                <w:sz w:val="18"/>
                <w:szCs w:val="18"/>
              </w:rPr>
            </w:pPr>
            <w:r>
              <w:rPr>
                <w:rFonts w:ascii="Verdana" w:hAnsi="Verdana"/>
                <w:sz w:val="18"/>
                <w:szCs w:val="18"/>
              </w:rPr>
              <w:t>1 050 EUR</w:t>
            </w:r>
          </w:p>
        </w:tc>
        <w:tc>
          <w:tcPr>
            <w:tcW w:w="454" w:type="dxa"/>
          </w:tcPr>
          <w:p w14:paraId="16CB45B5" w14:textId="77777777" w:rsidR="00DC7D23" w:rsidRDefault="00DC7D23" w:rsidP="00DC7D23">
            <w:pPr>
              <w:spacing w:line="240" w:lineRule="exact"/>
              <w:rPr>
                <w:rFonts w:ascii="Verdana" w:hAnsi="Verdana"/>
                <w:sz w:val="18"/>
                <w:szCs w:val="18"/>
              </w:rPr>
            </w:pPr>
            <w:r>
              <w:rPr>
                <w:rFonts w:ascii="Verdana" w:hAnsi="Verdana"/>
                <w:sz w:val="18"/>
                <w:szCs w:val="18"/>
              </w:rPr>
              <w:t>X</w:t>
            </w:r>
          </w:p>
        </w:tc>
      </w:tr>
      <w:tr w:rsidR="00DC7D23" w14:paraId="45467058" w14:textId="77777777" w:rsidTr="006C4BDA">
        <w:tc>
          <w:tcPr>
            <w:tcW w:w="1170" w:type="dxa"/>
          </w:tcPr>
          <w:p w14:paraId="57C7D64E" w14:textId="77777777" w:rsidR="00DC7D23" w:rsidRDefault="00DC7D23" w:rsidP="00DC7D23">
            <w:pPr>
              <w:spacing w:line="240" w:lineRule="exact"/>
              <w:rPr>
                <w:rFonts w:ascii="Verdana" w:hAnsi="Verdana"/>
                <w:sz w:val="18"/>
                <w:szCs w:val="18"/>
              </w:rPr>
            </w:pPr>
            <w:r>
              <w:rPr>
                <w:rFonts w:ascii="Verdana" w:hAnsi="Verdana"/>
                <w:sz w:val="18"/>
                <w:szCs w:val="18"/>
              </w:rPr>
              <w:t>C-30.8</w:t>
            </w:r>
          </w:p>
        </w:tc>
        <w:tc>
          <w:tcPr>
            <w:tcW w:w="4585" w:type="dxa"/>
          </w:tcPr>
          <w:p w14:paraId="28756566" w14:textId="0D4490D4" w:rsidR="00DC7D23" w:rsidRDefault="00DC7D23" w:rsidP="00DC7D23">
            <w:pPr>
              <w:spacing w:line="240" w:lineRule="exact"/>
              <w:rPr>
                <w:rFonts w:ascii="Verdana" w:hAnsi="Verdana"/>
                <w:sz w:val="18"/>
                <w:szCs w:val="18"/>
              </w:rPr>
            </w:pPr>
            <w:r>
              <w:rPr>
                <w:rFonts w:ascii="Verdana" w:hAnsi="Verdana"/>
                <w:sz w:val="18"/>
                <w:szCs w:val="18"/>
              </w:rPr>
              <w:t>Artikel 2 sammenholdt med artikel 9, stk. 1</w:t>
            </w:r>
          </w:p>
        </w:tc>
        <w:tc>
          <w:tcPr>
            <w:tcW w:w="936" w:type="dxa"/>
          </w:tcPr>
          <w:p w14:paraId="3ABFC595" w14:textId="77777777" w:rsidR="00DC7D23" w:rsidRDefault="00DC7D23" w:rsidP="00DC7D23">
            <w:pPr>
              <w:spacing w:line="240" w:lineRule="exact"/>
              <w:rPr>
                <w:rFonts w:ascii="Verdana" w:hAnsi="Verdana"/>
                <w:sz w:val="18"/>
                <w:szCs w:val="18"/>
              </w:rPr>
            </w:pPr>
            <w:r>
              <w:rPr>
                <w:rFonts w:ascii="Verdana" w:hAnsi="Verdana"/>
                <w:sz w:val="18"/>
                <w:szCs w:val="18"/>
              </w:rPr>
              <w:t>525 EUR</w:t>
            </w:r>
          </w:p>
        </w:tc>
        <w:tc>
          <w:tcPr>
            <w:tcW w:w="1116" w:type="dxa"/>
          </w:tcPr>
          <w:p w14:paraId="6A0BC290" w14:textId="77777777" w:rsidR="00DC7D23" w:rsidRDefault="00DC7D23" w:rsidP="00DC7D23">
            <w:pPr>
              <w:spacing w:line="240" w:lineRule="exact"/>
              <w:rPr>
                <w:rFonts w:ascii="Verdana" w:hAnsi="Verdana"/>
                <w:sz w:val="18"/>
                <w:szCs w:val="18"/>
              </w:rPr>
            </w:pPr>
            <w:r>
              <w:rPr>
                <w:rFonts w:ascii="Verdana" w:hAnsi="Verdana"/>
                <w:sz w:val="18"/>
                <w:szCs w:val="18"/>
              </w:rPr>
              <w:t>1 050 EUR</w:t>
            </w:r>
          </w:p>
        </w:tc>
        <w:tc>
          <w:tcPr>
            <w:tcW w:w="454" w:type="dxa"/>
          </w:tcPr>
          <w:p w14:paraId="6033FB8E" w14:textId="77777777" w:rsidR="00DC7D23" w:rsidRDefault="00DC7D23" w:rsidP="00DC7D23">
            <w:pPr>
              <w:spacing w:line="240" w:lineRule="exact"/>
              <w:rPr>
                <w:rFonts w:ascii="Verdana" w:hAnsi="Verdana"/>
                <w:sz w:val="18"/>
                <w:szCs w:val="18"/>
              </w:rPr>
            </w:pPr>
            <w:r>
              <w:rPr>
                <w:rFonts w:ascii="Verdana" w:hAnsi="Verdana"/>
                <w:sz w:val="18"/>
                <w:szCs w:val="18"/>
              </w:rPr>
              <w:t>X</w:t>
            </w:r>
          </w:p>
        </w:tc>
      </w:tr>
      <w:tr w:rsidR="00DC7D23" w14:paraId="5C78BBCC" w14:textId="77777777" w:rsidTr="00576482">
        <w:tc>
          <w:tcPr>
            <w:tcW w:w="1170" w:type="dxa"/>
          </w:tcPr>
          <w:p w14:paraId="04B9FEBC" w14:textId="01A07084" w:rsidR="00DC7D23" w:rsidRDefault="00DC7D23" w:rsidP="00576482">
            <w:pPr>
              <w:spacing w:line="240" w:lineRule="exact"/>
              <w:rPr>
                <w:rFonts w:ascii="Verdana" w:hAnsi="Verdana"/>
                <w:sz w:val="18"/>
                <w:szCs w:val="18"/>
              </w:rPr>
            </w:pPr>
            <w:r>
              <w:rPr>
                <w:rFonts w:ascii="Verdana" w:hAnsi="Verdana"/>
                <w:sz w:val="18"/>
                <w:szCs w:val="18"/>
              </w:rPr>
              <w:t>C-30.9</w:t>
            </w:r>
          </w:p>
        </w:tc>
        <w:tc>
          <w:tcPr>
            <w:tcW w:w="4585" w:type="dxa"/>
          </w:tcPr>
          <w:p w14:paraId="6E6E319C" w14:textId="4234E061" w:rsidR="00DC7D23" w:rsidRDefault="00DC7D23" w:rsidP="00576482">
            <w:pPr>
              <w:spacing w:line="240" w:lineRule="exact"/>
              <w:rPr>
                <w:rFonts w:ascii="Verdana" w:hAnsi="Verdana"/>
                <w:sz w:val="18"/>
                <w:szCs w:val="18"/>
              </w:rPr>
            </w:pPr>
            <w:r>
              <w:rPr>
                <w:rFonts w:ascii="Verdana" w:hAnsi="Verdana"/>
                <w:sz w:val="18"/>
                <w:szCs w:val="18"/>
              </w:rPr>
              <w:t>Artikel 2 sammenholdt med artikel 9, stk. 2</w:t>
            </w:r>
          </w:p>
        </w:tc>
        <w:tc>
          <w:tcPr>
            <w:tcW w:w="936" w:type="dxa"/>
          </w:tcPr>
          <w:p w14:paraId="14721A2C" w14:textId="77777777" w:rsidR="00DC7D23" w:rsidRDefault="00DC7D23" w:rsidP="00576482">
            <w:pPr>
              <w:spacing w:line="240" w:lineRule="exact"/>
              <w:rPr>
                <w:rFonts w:ascii="Verdana" w:hAnsi="Verdana"/>
                <w:sz w:val="18"/>
                <w:szCs w:val="18"/>
              </w:rPr>
            </w:pPr>
            <w:r>
              <w:rPr>
                <w:rFonts w:ascii="Verdana" w:hAnsi="Verdana"/>
                <w:sz w:val="18"/>
                <w:szCs w:val="18"/>
              </w:rPr>
              <w:t>525 EUR</w:t>
            </w:r>
          </w:p>
        </w:tc>
        <w:tc>
          <w:tcPr>
            <w:tcW w:w="1116" w:type="dxa"/>
          </w:tcPr>
          <w:p w14:paraId="7862BE0E" w14:textId="77777777" w:rsidR="00DC7D23" w:rsidRDefault="00DC7D23" w:rsidP="00576482">
            <w:pPr>
              <w:spacing w:line="240" w:lineRule="exact"/>
              <w:rPr>
                <w:rFonts w:ascii="Verdana" w:hAnsi="Verdana"/>
                <w:sz w:val="18"/>
                <w:szCs w:val="18"/>
              </w:rPr>
            </w:pPr>
            <w:r>
              <w:rPr>
                <w:rFonts w:ascii="Verdana" w:hAnsi="Verdana"/>
                <w:sz w:val="18"/>
                <w:szCs w:val="18"/>
              </w:rPr>
              <w:t>1 050 EUR</w:t>
            </w:r>
          </w:p>
        </w:tc>
        <w:tc>
          <w:tcPr>
            <w:tcW w:w="454" w:type="dxa"/>
          </w:tcPr>
          <w:p w14:paraId="7F222880" w14:textId="77777777" w:rsidR="00DC7D23" w:rsidRDefault="00DC7D23" w:rsidP="00576482">
            <w:pPr>
              <w:spacing w:line="240" w:lineRule="exact"/>
              <w:rPr>
                <w:rFonts w:ascii="Verdana" w:hAnsi="Verdana"/>
                <w:sz w:val="18"/>
                <w:szCs w:val="18"/>
              </w:rPr>
            </w:pPr>
            <w:r>
              <w:rPr>
                <w:rFonts w:ascii="Verdana" w:hAnsi="Verdana"/>
                <w:sz w:val="18"/>
                <w:szCs w:val="18"/>
              </w:rPr>
              <w:t>X</w:t>
            </w:r>
          </w:p>
        </w:tc>
      </w:tr>
      <w:tr w:rsidR="00DC7D23" w14:paraId="06324BC5" w14:textId="77777777" w:rsidTr="006C4BDA">
        <w:tc>
          <w:tcPr>
            <w:tcW w:w="1170" w:type="dxa"/>
          </w:tcPr>
          <w:p w14:paraId="3A50C02D" w14:textId="5C842D70" w:rsidR="00DC7D23" w:rsidRDefault="00DC7D23" w:rsidP="00DC7D23">
            <w:pPr>
              <w:spacing w:line="240" w:lineRule="exact"/>
              <w:rPr>
                <w:rFonts w:ascii="Verdana" w:hAnsi="Verdana"/>
                <w:sz w:val="18"/>
                <w:szCs w:val="18"/>
              </w:rPr>
            </w:pPr>
            <w:r>
              <w:rPr>
                <w:rFonts w:ascii="Verdana" w:hAnsi="Verdana"/>
                <w:sz w:val="18"/>
                <w:szCs w:val="18"/>
              </w:rPr>
              <w:t>C-30.10</w:t>
            </w:r>
          </w:p>
        </w:tc>
        <w:tc>
          <w:tcPr>
            <w:tcW w:w="4585" w:type="dxa"/>
          </w:tcPr>
          <w:p w14:paraId="46E960E1" w14:textId="01DF211B" w:rsidR="00DC7D23" w:rsidRDefault="00DC7D23" w:rsidP="00DC7D23">
            <w:pPr>
              <w:spacing w:line="240" w:lineRule="exact"/>
              <w:rPr>
                <w:rFonts w:ascii="Verdana" w:hAnsi="Verdana"/>
                <w:sz w:val="18"/>
                <w:szCs w:val="18"/>
              </w:rPr>
            </w:pPr>
            <w:r>
              <w:rPr>
                <w:rFonts w:ascii="Verdana" w:hAnsi="Verdana"/>
                <w:sz w:val="18"/>
                <w:szCs w:val="18"/>
              </w:rPr>
              <w:t>Artikel 2 sammenholdt med artikel 10</w:t>
            </w:r>
          </w:p>
        </w:tc>
        <w:tc>
          <w:tcPr>
            <w:tcW w:w="936" w:type="dxa"/>
          </w:tcPr>
          <w:p w14:paraId="02366C1D" w14:textId="77777777" w:rsidR="00DC7D23" w:rsidRDefault="00DC7D23" w:rsidP="00DC7D23">
            <w:pPr>
              <w:spacing w:line="240" w:lineRule="exact"/>
              <w:rPr>
                <w:rFonts w:ascii="Verdana" w:hAnsi="Verdana"/>
                <w:sz w:val="18"/>
                <w:szCs w:val="18"/>
              </w:rPr>
            </w:pPr>
            <w:r>
              <w:rPr>
                <w:rFonts w:ascii="Verdana" w:hAnsi="Verdana"/>
                <w:sz w:val="18"/>
                <w:szCs w:val="18"/>
              </w:rPr>
              <w:t>525 EUR</w:t>
            </w:r>
          </w:p>
        </w:tc>
        <w:tc>
          <w:tcPr>
            <w:tcW w:w="1116" w:type="dxa"/>
          </w:tcPr>
          <w:p w14:paraId="7CDE35E0" w14:textId="77777777" w:rsidR="00DC7D23" w:rsidRDefault="00DC7D23" w:rsidP="00DC7D23">
            <w:pPr>
              <w:spacing w:line="240" w:lineRule="exact"/>
              <w:rPr>
                <w:rFonts w:ascii="Verdana" w:hAnsi="Verdana"/>
                <w:sz w:val="18"/>
                <w:szCs w:val="18"/>
              </w:rPr>
            </w:pPr>
            <w:r>
              <w:rPr>
                <w:rFonts w:ascii="Verdana" w:hAnsi="Verdana"/>
                <w:sz w:val="18"/>
                <w:szCs w:val="18"/>
              </w:rPr>
              <w:t>1 050 EUR</w:t>
            </w:r>
          </w:p>
        </w:tc>
        <w:tc>
          <w:tcPr>
            <w:tcW w:w="454" w:type="dxa"/>
          </w:tcPr>
          <w:p w14:paraId="73C5CC0F" w14:textId="77777777" w:rsidR="00DC7D23" w:rsidRDefault="00DC7D23" w:rsidP="00DC7D23">
            <w:pPr>
              <w:spacing w:line="240" w:lineRule="exact"/>
              <w:rPr>
                <w:rFonts w:ascii="Verdana" w:hAnsi="Verdana"/>
                <w:sz w:val="18"/>
                <w:szCs w:val="18"/>
              </w:rPr>
            </w:pPr>
            <w:r>
              <w:rPr>
                <w:rFonts w:ascii="Verdana" w:hAnsi="Verdana"/>
                <w:sz w:val="18"/>
                <w:szCs w:val="18"/>
              </w:rPr>
              <w:t>X</w:t>
            </w:r>
          </w:p>
        </w:tc>
      </w:tr>
    </w:tbl>
    <w:p w14:paraId="2997E83F" w14:textId="77777777" w:rsidR="00073874" w:rsidRDefault="00073874" w:rsidP="00073874">
      <w:pPr>
        <w:rPr>
          <w:rFonts w:ascii="Verdana" w:hAnsi="Verdana"/>
          <w:b/>
          <w:kern w:val="2"/>
          <w:sz w:val="18"/>
          <w:szCs w:val="18"/>
        </w:rPr>
      </w:pPr>
    </w:p>
    <w:p w14:paraId="43B57AAD" w14:textId="378B2365" w:rsidR="00073874" w:rsidRDefault="00545ABF" w:rsidP="00037899">
      <w:pPr>
        <w:keepNext/>
        <w:keepLines/>
        <w:rPr>
          <w:rFonts w:ascii="Verdana" w:hAnsi="Verdana"/>
          <w:b/>
          <w:kern w:val="2"/>
          <w:sz w:val="18"/>
          <w:szCs w:val="18"/>
        </w:rPr>
      </w:pPr>
      <w:r>
        <w:rPr>
          <w:rFonts w:ascii="Verdana" w:hAnsi="Verdana"/>
          <w:b/>
          <w:sz w:val="18"/>
          <w:szCs w:val="18"/>
        </w:rPr>
        <w:t>Artikel 13</w:t>
      </w:r>
    </w:p>
    <w:p w14:paraId="243004C2" w14:textId="50E4418C" w:rsidR="00073874" w:rsidRPr="008277F6" w:rsidRDefault="00073874" w:rsidP="00073874">
      <w:pPr>
        <w:rPr>
          <w:rFonts w:ascii="Verdana" w:hAnsi="Verdana"/>
          <w:kern w:val="2"/>
          <w:sz w:val="18"/>
          <w:szCs w:val="18"/>
        </w:rPr>
      </w:pPr>
      <w:r>
        <w:rPr>
          <w:rFonts w:ascii="Verdana" w:hAnsi="Verdana"/>
          <w:sz w:val="18"/>
          <w:szCs w:val="18"/>
        </w:rPr>
        <w:t xml:space="preserve">Modermælkserstatning og mælk til småbørn, der er markedsført eller mærket før 1. juli 2024, må fortsat markedsføres efter denne dato, indtil lagrene er tømte. </w:t>
      </w:r>
    </w:p>
    <w:p w14:paraId="61334C02" w14:textId="77777777" w:rsidR="00073874" w:rsidRDefault="00073874" w:rsidP="00073874">
      <w:pPr>
        <w:rPr>
          <w:rFonts w:ascii="Verdana" w:hAnsi="Verdana"/>
          <w:b/>
          <w:kern w:val="2"/>
          <w:sz w:val="18"/>
          <w:szCs w:val="18"/>
        </w:rPr>
      </w:pPr>
    </w:p>
    <w:p w14:paraId="07F7D826" w14:textId="13D96285" w:rsidR="00073874" w:rsidRDefault="00545ABF" w:rsidP="00037899">
      <w:pPr>
        <w:keepNext/>
        <w:keepLines/>
        <w:rPr>
          <w:rFonts w:ascii="Verdana" w:hAnsi="Verdana"/>
          <w:b/>
          <w:kern w:val="2"/>
          <w:sz w:val="18"/>
          <w:szCs w:val="18"/>
        </w:rPr>
      </w:pPr>
      <w:r>
        <w:rPr>
          <w:rFonts w:ascii="Verdana" w:hAnsi="Verdana"/>
          <w:b/>
          <w:sz w:val="18"/>
          <w:szCs w:val="18"/>
        </w:rPr>
        <w:t>Artikel 14</w:t>
      </w:r>
    </w:p>
    <w:p w14:paraId="4A2BE11A" w14:textId="6E189D18" w:rsidR="00073874" w:rsidRDefault="00073874" w:rsidP="00073874">
      <w:pPr>
        <w:rPr>
          <w:rFonts w:ascii="Verdana" w:hAnsi="Verdana"/>
          <w:kern w:val="2"/>
          <w:sz w:val="18"/>
          <w:szCs w:val="18"/>
        </w:rPr>
      </w:pPr>
      <w:r>
        <w:rPr>
          <w:rFonts w:ascii="Verdana" w:hAnsi="Verdana"/>
          <w:sz w:val="18"/>
          <w:szCs w:val="18"/>
        </w:rPr>
        <w:t>Dette dekret træder i kraft den 1. juli 2024.</w:t>
      </w:r>
    </w:p>
    <w:p w14:paraId="10677E3C" w14:textId="77777777" w:rsidR="00073874" w:rsidRDefault="00073874" w:rsidP="00073874">
      <w:pPr>
        <w:rPr>
          <w:rFonts w:ascii="Verdana" w:hAnsi="Verdana"/>
          <w:kern w:val="2"/>
          <w:sz w:val="18"/>
          <w:szCs w:val="18"/>
        </w:rPr>
      </w:pPr>
    </w:p>
    <w:p w14:paraId="6D628AD4" w14:textId="15A54649" w:rsidR="00073874" w:rsidRDefault="00545ABF" w:rsidP="00037899">
      <w:pPr>
        <w:keepNext/>
        <w:keepLines/>
        <w:rPr>
          <w:rFonts w:ascii="Verdana" w:hAnsi="Verdana"/>
          <w:b/>
          <w:kern w:val="2"/>
          <w:sz w:val="18"/>
          <w:szCs w:val="18"/>
        </w:rPr>
      </w:pPr>
      <w:r>
        <w:rPr>
          <w:rFonts w:ascii="Verdana" w:hAnsi="Verdana"/>
          <w:b/>
          <w:sz w:val="18"/>
          <w:szCs w:val="18"/>
        </w:rPr>
        <w:t>Artikel 15</w:t>
      </w:r>
    </w:p>
    <w:p w14:paraId="7874C858" w14:textId="614E47BD" w:rsidR="00073874" w:rsidRDefault="00073874" w:rsidP="00073874">
      <w:pPr>
        <w:rPr>
          <w:rFonts w:ascii="Verdana" w:hAnsi="Verdana"/>
          <w:kern w:val="2"/>
          <w:sz w:val="18"/>
          <w:szCs w:val="18"/>
        </w:rPr>
      </w:pPr>
      <w:r>
        <w:rPr>
          <w:rFonts w:ascii="Verdana" w:hAnsi="Verdana"/>
          <w:sz w:val="18"/>
          <w:szCs w:val="18"/>
        </w:rPr>
        <w:t>Dette dekret benævnes som: varelovdekret om modermælkserstatning og mælk til småbørn [Warenwetbesluit peuterdrank en peutermelk].</w:t>
      </w:r>
    </w:p>
    <w:p w14:paraId="3336D660" w14:textId="77777777" w:rsidR="00073874" w:rsidRDefault="00073874" w:rsidP="00073874">
      <w:pPr>
        <w:rPr>
          <w:rFonts w:ascii="Verdana" w:hAnsi="Verdana"/>
          <w:kern w:val="2"/>
          <w:sz w:val="18"/>
          <w:szCs w:val="18"/>
        </w:rPr>
      </w:pPr>
    </w:p>
    <w:p w14:paraId="59CAE4D5" w14:textId="77777777" w:rsidR="00073874" w:rsidRDefault="00073874" w:rsidP="00073874">
      <w:pPr>
        <w:rPr>
          <w:rFonts w:ascii="Verdana" w:hAnsi="Verdana"/>
          <w:kern w:val="2"/>
          <w:sz w:val="18"/>
          <w:szCs w:val="18"/>
        </w:rPr>
      </w:pPr>
    </w:p>
    <w:p w14:paraId="57B9B5EA" w14:textId="77777777" w:rsidR="00073874" w:rsidRPr="00CB0DBC" w:rsidRDefault="00073874" w:rsidP="00073874">
      <w:pPr>
        <w:rPr>
          <w:rFonts w:ascii="Verdana" w:hAnsi="Verdana"/>
          <w:snapToGrid w:val="0"/>
          <w:sz w:val="18"/>
          <w:szCs w:val="18"/>
        </w:rPr>
      </w:pPr>
      <w:r>
        <w:rPr>
          <w:rFonts w:ascii="Verdana" w:hAnsi="Verdana"/>
          <w:snapToGrid w:val="0"/>
          <w:sz w:val="18"/>
          <w:szCs w:val="18"/>
        </w:rPr>
        <w:t>De nederlandske myndighed befaler, at dette dekret offentliggøres i den officielle statstidende [Staatsblad] sammen med dets tilhørende forklarende bemærkninger.</w:t>
      </w:r>
    </w:p>
    <w:p w14:paraId="0A84B97D" w14:textId="77777777" w:rsidR="00073874" w:rsidRPr="008E3BDA" w:rsidRDefault="00073874" w:rsidP="00073874">
      <w:pPr>
        <w:rPr>
          <w:rFonts w:ascii="Verdana" w:hAnsi="Verdana"/>
          <w:sz w:val="18"/>
          <w:szCs w:val="18"/>
        </w:rPr>
      </w:pPr>
    </w:p>
    <w:p w14:paraId="20CC9DF8" w14:textId="77777777" w:rsidR="00073874" w:rsidRPr="008E3BDA" w:rsidRDefault="00073874" w:rsidP="00073874">
      <w:pPr>
        <w:rPr>
          <w:rFonts w:ascii="Verdana" w:hAnsi="Verdana"/>
          <w:sz w:val="18"/>
          <w:szCs w:val="18"/>
        </w:rPr>
      </w:pPr>
      <w:r>
        <w:rPr>
          <w:rFonts w:ascii="Verdana" w:hAnsi="Verdana"/>
          <w:sz w:val="18"/>
          <w:szCs w:val="18"/>
        </w:rPr>
        <w:t>Ministeren for lægebehandling,</w:t>
      </w:r>
    </w:p>
    <w:p w14:paraId="64D4F75A" w14:textId="77777777" w:rsidR="00073874" w:rsidRPr="008E3BDA" w:rsidRDefault="00073874" w:rsidP="00073874">
      <w:pPr>
        <w:rPr>
          <w:rFonts w:ascii="Verdana" w:hAnsi="Verdana"/>
          <w:sz w:val="18"/>
          <w:szCs w:val="18"/>
        </w:rPr>
      </w:pPr>
    </w:p>
    <w:sectPr w:rsidR="00073874" w:rsidRPr="008E3BDA" w:rsidSect="001E6A24">
      <w:footerReference w:type="default" r:id="rId8"/>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FD829F" w14:textId="77777777" w:rsidR="00956955" w:rsidRDefault="00956955" w:rsidP="00073874">
      <w:pPr>
        <w:spacing w:line="240" w:lineRule="auto"/>
      </w:pPr>
      <w:r>
        <w:separator/>
      </w:r>
    </w:p>
  </w:endnote>
  <w:endnote w:type="continuationSeparator" w:id="0">
    <w:p w14:paraId="0257CE8D" w14:textId="77777777" w:rsidR="00956955" w:rsidRDefault="00956955" w:rsidP="000738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Univers">
    <w:altName w:val="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9065913"/>
      <w:docPartObj>
        <w:docPartGallery w:val="Page Numbers (Bottom of Page)"/>
        <w:docPartUnique/>
      </w:docPartObj>
    </w:sdtPr>
    <w:sdtEndPr/>
    <w:sdtContent>
      <w:p w14:paraId="37526F64" w14:textId="607172AA" w:rsidR="00257DAB" w:rsidRDefault="00257DAB">
        <w:pPr>
          <w:pStyle w:val="Footer"/>
          <w:jc w:val="right"/>
        </w:pPr>
        <w:r>
          <w:fldChar w:fldCharType="begin"/>
        </w:r>
        <w:r>
          <w:instrText>PAGE   \* MERGEFORMAT</w:instrText>
        </w:r>
        <w:r>
          <w:fldChar w:fldCharType="separate"/>
        </w:r>
        <w:r w:rsidR="0023452F">
          <w:rPr>
            <w:noProof/>
          </w:rPr>
          <w:t>3</w:t>
        </w:r>
        <w:r>
          <w:fldChar w:fldCharType="end"/>
        </w:r>
      </w:p>
    </w:sdtContent>
  </w:sdt>
  <w:p w14:paraId="5BBA4C94" w14:textId="77777777" w:rsidR="00257DAB" w:rsidRDefault="00257D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F9E7E3" w14:textId="77777777" w:rsidR="00956955" w:rsidRDefault="00956955" w:rsidP="00073874">
      <w:pPr>
        <w:spacing w:line="240" w:lineRule="auto"/>
      </w:pPr>
      <w:r>
        <w:separator/>
      </w:r>
    </w:p>
  </w:footnote>
  <w:footnote w:type="continuationSeparator" w:id="0">
    <w:p w14:paraId="046A2BCC" w14:textId="77777777" w:rsidR="00956955" w:rsidRDefault="00956955" w:rsidP="0007387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4D20CD"/>
    <w:multiLevelType w:val="hybridMultilevel"/>
    <w:tmpl w:val="E81C314C"/>
    <w:lvl w:ilvl="0" w:tplc="7ACA220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8604FCF"/>
    <w:multiLevelType w:val="hybridMultilevel"/>
    <w:tmpl w:val="1A069D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874"/>
    <w:rsid w:val="00000E03"/>
    <w:rsid w:val="0002112D"/>
    <w:rsid w:val="0003013B"/>
    <w:rsid w:val="00031260"/>
    <w:rsid w:val="000375C7"/>
    <w:rsid w:val="00037899"/>
    <w:rsid w:val="0004633C"/>
    <w:rsid w:val="00047386"/>
    <w:rsid w:val="000546B4"/>
    <w:rsid w:val="0005538C"/>
    <w:rsid w:val="00073874"/>
    <w:rsid w:val="00095032"/>
    <w:rsid w:val="000A0F4A"/>
    <w:rsid w:val="000A198F"/>
    <w:rsid w:val="000A5D03"/>
    <w:rsid w:val="000B0ACB"/>
    <w:rsid w:val="000C009E"/>
    <w:rsid w:val="000D4E45"/>
    <w:rsid w:val="000D62C5"/>
    <w:rsid w:val="000E2585"/>
    <w:rsid w:val="000E2D0F"/>
    <w:rsid w:val="000E4D4F"/>
    <w:rsid w:val="00100BB1"/>
    <w:rsid w:val="001124E1"/>
    <w:rsid w:val="001244A8"/>
    <w:rsid w:val="00154838"/>
    <w:rsid w:val="0016276C"/>
    <w:rsid w:val="00166C03"/>
    <w:rsid w:val="0017049C"/>
    <w:rsid w:val="00191C94"/>
    <w:rsid w:val="001A73D8"/>
    <w:rsid w:val="001B3D5C"/>
    <w:rsid w:val="001D379C"/>
    <w:rsid w:val="001E6A24"/>
    <w:rsid w:val="001E7E1A"/>
    <w:rsid w:val="00211C35"/>
    <w:rsid w:val="002203DD"/>
    <w:rsid w:val="00225C33"/>
    <w:rsid w:val="0023452F"/>
    <w:rsid w:val="00234B63"/>
    <w:rsid w:val="00234D7C"/>
    <w:rsid w:val="0023526F"/>
    <w:rsid w:val="00237DA4"/>
    <w:rsid w:val="0024253C"/>
    <w:rsid w:val="002456DA"/>
    <w:rsid w:val="0025344E"/>
    <w:rsid w:val="002579E1"/>
    <w:rsid w:val="00257DAB"/>
    <w:rsid w:val="002621D1"/>
    <w:rsid w:val="00266767"/>
    <w:rsid w:val="0027028F"/>
    <w:rsid w:val="00270B6F"/>
    <w:rsid w:val="0027267D"/>
    <w:rsid w:val="002768BA"/>
    <w:rsid w:val="0028451C"/>
    <w:rsid w:val="00286416"/>
    <w:rsid w:val="00290255"/>
    <w:rsid w:val="002A37C3"/>
    <w:rsid w:val="002A6B53"/>
    <w:rsid w:val="002C5A51"/>
    <w:rsid w:val="002C6EFA"/>
    <w:rsid w:val="002F6BAD"/>
    <w:rsid w:val="003021DC"/>
    <w:rsid w:val="0031402C"/>
    <w:rsid w:val="00325747"/>
    <w:rsid w:val="00334A91"/>
    <w:rsid w:val="00371B72"/>
    <w:rsid w:val="003801DD"/>
    <w:rsid w:val="00380913"/>
    <w:rsid w:val="00392F3B"/>
    <w:rsid w:val="003972F7"/>
    <w:rsid w:val="003B61C5"/>
    <w:rsid w:val="003C4B64"/>
    <w:rsid w:val="003E3E7E"/>
    <w:rsid w:val="00400B32"/>
    <w:rsid w:val="00400B7F"/>
    <w:rsid w:val="004141E8"/>
    <w:rsid w:val="00414875"/>
    <w:rsid w:val="00422163"/>
    <w:rsid w:val="004238EE"/>
    <w:rsid w:val="004329C1"/>
    <w:rsid w:val="0043686E"/>
    <w:rsid w:val="00454516"/>
    <w:rsid w:val="00457D0F"/>
    <w:rsid w:val="00462A18"/>
    <w:rsid w:val="00475347"/>
    <w:rsid w:val="004809C5"/>
    <w:rsid w:val="00482383"/>
    <w:rsid w:val="004A18E2"/>
    <w:rsid w:val="004B4EE4"/>
    <w:rsid w:val="004B593D"/>
    <w:rsid w:val="004D0283"/>
    <w:rsid w:val="004D7AA0"/>
    <w:rsid w:val="004F4889"/>
    <w:rsid w:val="004F5B65"/>
    <w:rsid w:val="005027EB"/>
    <w:rsid w:val="00505260"/>
    <w:rsid w:val="005072C3"/>
    <w:rsid w:val="0051441C"/>
    <w:rsid w:val="00521A04"/>
    <w:rsid w:val="005303EC"/>
    <w:rsid w:val="00532AC5"/>
    <w:rsid w:val="00540C1F"/>
    <w:rsid w:val="00545ABF"/>
    <w:rsid w:val="00565299"/>
    <w:rsid w:val="00577318"/>
    <w:rsid w:val="00581300"/>
    <w:rsid w:val="00584CAA"/>
    <w:rsid w:val="005877D0"/>
    <w:rsid w:val="0059594E"/>
    <w:rsid w:val="0059787D"/>
    <w:rsid w:val="005B0663"/>
    <w:rsid w:val="005B0DC1"/>
    <w:rsid w:val="005C0E3B"/>
    <w:rsid w:val="005D0963"/>
    <w:rsid w:val="006102DF"/>
    <w:rsid w:val="00631ED3"/>
    <w:rsid w:val="006331C0"/>
    <w:rsid w:val="006335F5"/>
    <w:rsid w:val="00660C7E"/>
    <w:rsid w:val="00676B7C"/>
    <w:rsid w:val="006807DD"/>
    <w:rsid w:val="006840FC"/>
    <w:rsid w:val="006B7FCA"/>
    <w:rsid w:val="006C4BDA"/>
    <w:rsid w:val="006D389E"/>
    <w:rsid w:val="006E077E"/>
    <w:rsid w:val="006E48AA"/>
    <w:rsid w:val="006E7F1E"/>
    <w:rsid w:val="0072212E"/>
    <w:rsid w:val="00724F51"/>
    <w:rsid w:val="0073041E"/>
    <w:rsid w:val="00730E63"/>
    <w:rsid w:val="0073634C"/>
    <w:rsid w:val="00737339"/>
    <w:rsid w:val="00746D48"/>
    <w:rsid w:val="00747B9B"/>
    <w:rsid w:val="0075403D"/>
    <w:rsid w:val="007627C8"/>
    <w:rsid w:val="00764204"/>
    <w:rsid w:val="0076701E"/>
    <w:rsid w:val="007B00E7"/>
    <w:rsid w:val="007B3D83"/>
    <w:rsid w:val="007B7B80"/>
    <w:rsid w:val="007C3FD0"/>
    <w:rsid w:val="007E5A21"/>
    <w:rsid w:val="007E5BD3"/>
    <w:rsid w:val="007E7386"/>
    <w:rsid w:val="007E7C74"/>
    <w:rsid w:val="007F7F81"/>
    <w:rsid w:val="00834842"/>
    <w:rsid w:val="00841B95"/>
    <w:rsid w:val="00854ACF"/>
    <w:rsid w:val="00870DEE"/>
    <w:rsid w:val="00876EE8"/>
    <w:rsid w:val="008819DA"/>
    <w:rsid w:val="00883613"/>
    <w:rsid w:val="00896EB5"/>
    <w:rsid w:val="00897739"/>
    <w:rsid w:val="008D7371"/>
    <w:rsid w:val="008E0733"/>
    <w:rsid w:val="008F2647"/>
    <w:rsid w:val="009070C5"/>
    <w:rsid w:val="009150ED"/>
    <w:rsid w:val="009156A4"/>
    <w:rsid w:val="0092246A"/>
    <w:rsid w:val="0092347D"/>
    <w:rsid w:val="00944236"/>
    <w:rsid w:val="00956955"/>
    <w:rsid w:val="00957AB1"/>
    <w:rsid w:val="00964D0F"/>
    <w:rsid w:val="00965F6C"/>
    <w:rsid w:val="009713F8"/>
    <w:rsid w:val="00971F3D"/>
    <w:rsid w:val="009730E5"/>
    <w:rsid w:val="0098580F"/>
    <w:rsid w:val="009866E2"/>
    <w:rsid w:val="009C4F74"/>
    <w:rsid w:val="009D3657"/>
    <w:rsid w:val="009F334D"/>
    <w:rsid w:val="00A00174"/>
    <w:rsid w:val="00A008A6"/>
    <w:rsid w:val="00A14688"/>
    <w:rsid w:val="00A563C1"/>
    <w:rsid w:val="00A73D5F"/>
    <w:rsid w:val="00A83879"/>
    <w:rsid w:val="00A85E04"/>
    <w:rsid w:val="00AA6A46"/>
    <w:rsid w:val="00AC2E65"/>
    <w:rsid w:val="00AF401F"/>
    <w:rsid w:val="00AF4BA3"/>
    <w:rsid w:val="00B04265"/>
    <w:rsid w:val="00B06701"/>
    <w:rsid w:val="00B164DB"/>
    <w:rsid w:val="00B24196"/>
    <w:rsid w:val="00B322D3"/>
    <w:rsid w:val="00B34DD2"/>
    <w:rsid w:val="00B35C84"/>
    <w:rsid w:val="00B36EFB"/>
    <w:rsid w:val="00B41848"/>
    <w:rsid w:val="00B41F02"/>
    <w:rsid w:val="00B44F89"/>
    <w:rsid w:val="00B52804"/>
    <w:rsid w:val="00B55A8F"/>
    <w:rsid w:val="00B5685B"/>
    <w:rsid w:val="00B60796"/>
    <w:rsid w:val="00B64DAB"/>
    <w:rsid w:val="00B7435C"/>
    <w:rsid w:val="00B8309A"/>
    <w:rsid w:val="00B933E5"/>
    <w:rsid w:val="00B93A20"/>
    <w:rsid w:val="00B95EBE"/>
    <w:rsid w:val="00BA4FA0"/>
    <w:rsid w:val="00BB4633"/>
    <w:rsid w:val="00BB5EAC"/>
    <w:rsid w:val="00BB705A"/>
    <w:rsid w:val="00BC2B82"/>
    <w:rsid w:val="00BC5175"/>
    <w:rsid w:val="00BE3067"/>
    <w:rsid w:val="00BE3126"/>
    <w:rsid w:val="00BF20C8"/>
    <w:rsid w:val="00BF2F00"/>
    <w:rsid w:val="00C06C6D"/>
    <w:rsid w:val="00C12CF7"/>
    <w:rsid w:val="00C44179"/>
    <w:rsid w:val="00C515D0"/>
    <w:rsid w:val="00C52319"/>
    <w:rsid w:val="00C535E4"/>
    <w:rsid w:val="00C66D63"/>
    <w:rsid w:val="00C66F73"/>
    <w:rsid w:val="00C74AF5"/>
    <w:rsid w:val="00C822BC"/>
    <w:rsid w:val="00C900A8"/>
    <w:rsid w:val="00CA426F"/>
    <w:rsid w:val="00CA5F2B"/>
    <w:rsid w:val="00CB26A0"/>
    <w:rsid w:val="00CB2CC1"/>
    <w:rsid w:val="00CB36D9"/>
    <w:rsid w:val="00CD036B"/>
    <w:rsid w:val="00CE5201"/>
    <w:rsid w:val="00D06C41"/>
    <w:rsid w:val="00D22269"/>
    <w:rsid w:val="00D25FDC"/>
    <w:rsid w:val="00D34187"/>
    <w:rsid w:val="00D347C8"/>
    <w:rsid w:val="00D42469"/>
    <w:rsid w:val="00D44514"/>
    <w:rsid w:val="00D51B0B"/>
    <w:rsid w:val="00D51EA2"/>
    <w:rsid w:val="00D51F71"/>
    <w:rsid w:val="00D66CE4"/>
    <w:rsid w:val="00D80BBA"/>
    <w:rsid w:val="00D9307A"/>
    <w:rsid w:val="00D94A3C"/>
    <w:rsid w:val="00D97071"/>
    <w:rsid w:val="00DA004C"/>
    <w:rsid w:val="00DA6796"/>
    <w:rsid w:val="00DC2C76"/>
    <w:rsid w:val="00DC407B"/>
    <w:rsid w:val="00DC7D23"/>
    <w:rsid w:val="00DD1F68"/>
    <w:rsid w:val="00DD2B92"/>
    <w:rsid w:val="00DE1209"/>
    <w:rsid w:val="00DE18C7"/>
    <w:rsid w:val="00DE5592"/>
    <w:rsid w:val="00DE779A"/>
    <w:rsid w:val="00E04C7B"/>
    <w:rsid w:val="00E05592"/>
    <w:rsid w:val="00E14DFC"/>
    <w:rsid w:val="00E1525F"/>
    <w:rsid w:val="00E36E79"/>
    <w:rsid w:val="00E378D0"/>
    <w:rsid w:val="00E54640"/>
    <w:rsid w:val="00E576A4"/>
    <w:rsid w:val="00E70C0C"/>
    <w:rsid w:val="00E71653"/>
    <w:rsid w:val="00E80149"/>
    <w:rsid w:val="00E80720"/>
    <w:rsid w:val="00E836B5"/>
    <w:rsid w:val="00E85F3B"/>
    <w:rsid w:val="00E93B99"/>
    <w:rsid w:val="00EA37B3"/>
    <w:rsid w:val="00EA4831"/>
    <w:rsid w:val="00ED52D0"/>
    <w:rsid w:val="00EE1775"/>
    <w:rsid w:val="00F02BEB"/>
    <w:rsid w:val="00F05EA7"/>
    <w:rsid w:val="00F14888"/>
    <w:rsid w:val="00F170DF"/>
    <w:rsid w:val="00F62098"/>
    <w:rsid w:val="00F7506D"/>
    <w:rsid w:val="00F7612A"/>
    <w:rsid w:val="00F84BCA"/>
    <w:rsid w:val="00F85F83"/>
    <w:rsid w:val="00FB1C65"/>
    <w:rsid w:val="00FD5826"/>
    <w:rsid w:val="00FD59CB"/>
    <w:rsid w:val="00FD5CF9"/>
    <w:rsid w:val="00FE7010"/>
    <w:rsid w:val="00FF2584"/>
    <w:rsid w:val="00FF5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DA27F"/>
  <w15:chartTrackingRefBased/>
  <w15:docId w15:val="{E4A0EE8F-BA77-4E07-93FC-232D284DE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heme="minorBidi"/>
        <w:sz w:val="18"/>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874"/>
    <w:pPr>
      <w:spacing w:after="0" w:line="260" w:lineRule="exact"/>
    </w:pPr>
    <w:rPr>
      <w:rFonts w:ascii="Univers" w:eastAsia="Times New Roman" w:hAnsi="Univers" w:cs="Times New Roman"/>
      <w:sz w:val="20"/>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073874"/>
    <w:pPr>
      <w:spacing w:line="240" w:lineRule="auto"/>
    </w:pPr>
  </w:style>
  <w:style w:type="character" w:customStyle="1" w:styleId="CommentTextChar">
    <w:name w:val="Comment Text Char"/>
    <w:basedOn w:val="DefaultParagraphFont"/>
    <w:link w:val="CommentText"/>
    <w:uiPriority w:val="99"/>
    <w:semiHidden/>
    <w:rsid w:val="00073874"/>
    <w:rPr>
      <w:rFonts w:ascii="Univers" w:eastAsia="Times New Roman" w:hAnsi="Univers" w:cs="Times New Roman"/>
      <w:sz w:val="20"/>
      <w:szCs w:val="20"/>
      <w:lang w:val="da-DK" w:eastAsia="nl-NL"/>
    </w:rPr>
  </w:style>
  <w:style w:type="paragraph" w:styleId="FootnoteText">
    <w:name w:val="footnote text"/>
    <w:basedOn w:val="Normal"/>
    <w:link w:val="FootnoteTextChar"/>
    <w:semiHidden/>
    <w:rsid w:val="00073874"/>
    <w:pPr>
      <w:spacing w:line="240" w:lineRule="auto"/>
    </w:pPr>
  </w:style>
  <w:style w:type="character" w:customStyle="1" w:styleId="FootnoteTextChar">
    <w:name w:val="Footnote Text Char"/>
    <w:basedOn w:val="DefaultParagraphFont"/>
    <w:link w:val="FootnoteText"/>
    <w:semiHidden/>
    <w:rsid w:val="00073874"/>
    <w:rPr>
      <w:rFonts w:ascii="Univers" w:eastAsia="Times New Roman" w:hAnsi="Univers" w:cs="Times New Roman"/>
      <w:sz w:val="20"/>
      <w:szCs w:val="20"/>
      <w:lang w:val="da-DK" w:eastAsia="nl-NL"/>
    </w:rPr>
  </w:style>
  <w:style w:type="character" w:styleId="FootnoteReference">
    <w:name w:val="footnote reference"/>
    <w:basedOn w:val="DefaultParagraphFont"/>
    <w:uiPriority w:val="99"/>
    <w:semiHidden/>
    <w:rsid w:val="00073874"/>
    <w:rPr>
      <w:vertAlign w:val="superscript"/>
    </w:rPr>
  </w:style>
  <w:style w:type="paragraph" w:styleId="ListParagraph">
    <w:name w:val="List Paragraph"/>
    <w:basedOn w:val="Normal"/>
    <w:uiPriority w:val="34"/>
    <w:qFormat/>
    <w:rsid w:val="00073874"/>
    <w:pPr>
      <w:ind w:left="720"/>
      <w:contextualSpacing/>
    </w:pPr>
  </w:style>
  <w:style w:type="character" w:styleId="CommentReference">
    <w:name w:val="annotation reference"/>
    <w:basedOn w:val="DefaultParagraphFont"/>
    <w:uiPriority w:val="99"/>
    <w:rsid w:val="00073874"/>
    <w:rPr>
      <w:sz w:val="16"/>
      <w:szCs w:val="16"/>
    </w:rPr>
  </w:style>
  <w:style w:type="table" w:styleId="TableGrid">
    <w:name w:val="Table Grid"/>
    <w:basedOn w:val="TableNormal"/>
    <w:uiPriority w:val="59"/>
    <w:rsid w:val="0007387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73874"/>
    <w:rPr>
      <w:b w:val="0"/>
      <w:bCs w:val="0"/>
      <w:i/>
      <w:iCs/>
    </w:rPr>
  </w:style>
  <w:style w:type="paragraph" w:styleId="BalloonText">
    <w:name w:val="Balloon Text"/>
    <w:basedOn w:val="Normal"/>
    <w:link w:val="BalloonTextChar"/>
    <w:uiPriority w:val="99"/>
    <w:semiHidden/>
    <w:unhideWhenUsed/>
    <w:rsid w:val="0007387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874"/>
    <w:rPr>
      <w:rFonts w:ascii="Segoe UI" w:eastAsia="Times New Roman" w:hAnsi="Segoe UI" w:cs="Segoe UI"/>
      <w:szCs w:val="18"/>
      <w:lang w:val="da-DK" w:eastAsia="nl-NL"/>
    </w:rPr>
  </w:style>
  <w:style w:type="paragraph" w:styleId="CommentSubject">
    <w:name w:val="annotation subject"/>
    <w:basedOn w:val="CommentText"/>
    <w:next w:val="CommentText"/>
    <w:link w:val="CommentSubjectChar"/>
    <w:uiPriority w:val="99"/>
    <w:semiHidden/>
    <w:unhideWhenUsed/>
    <w:rsid w:val="00073874"/>
    <w:rPr>
      <w:b/>
      <w:bCs/>
    </w:rPr>
  </w:style>
  <w:style w:type="character" w:customStyle="1" w:styleId="CommentSubjectChar">
    <w:name w:val="Comment Subject Char"/>
    <w:basedOn w:val="CommentTextChar"/>
    <w:link w:val="CommentSubject"/>
    <w:uiPriority w:val="99"/>
    <w:semiHidden/>
    <w:rsid w:val="00073874"/>
    <w:rPr>
      <w:rFonts w:ascii="Univers" w:eastAsia="Times New Roman" w:hAnsi="Univers" w:cs="Times New Roman"/>
      <w:b/>
      <w:bCs/>
      <w:sz w:val="20"/>
      <w:szCs w:val="20"/>
      <w:lang w:val="da-DK" w:eastAsia="nl-NL"/>
    </w:rPr>
  </w:style>
  <w:style w:type="character" w:styleId="Hyperlink">
    <w:name w:val="Hyperlink"/>
    <w:basedOn w:val="DefaultParagraphFont"/>
    <w:uiPriority w:val="99"/>
    <w:semiHidden/>
    <w:unhideWhenUsed/>
    <w:rsid w:val="006E48AA"/>
    <w:rPr>
      <w:strike w:val="0"/>
      <w:dstrike w:val="0"/>
      <w:color w:val="0065A2"/>
      <w:u w:val="none"/>
      <w:effect w:val="none"/>
      <w:shd w:val="clear" w:color="auto" w:fill="auto"/>
    </w:rPr>
  </w:style>
  <w:style w:type="character" w:styleId="Strong">
    <w:name w:val="Strong"/>
    <w:basedOn w:val="DefaultParagraphFont"/>
    <w:uiPriority w:val="22"/>
    <w:qFormat/>
    <w:rsid w:val="006E48AA"/>
    <w:rPr>
      <w:b/>
      <w:bCs/>
    </w:rPr>
  </w:style>
  <w:style w:type="paragraph" w:styleId="Header">
    <w:name w:val="header"/>
    <w:basedOn w:val="Normal"/>
    <w:link w:val="HeaderChar"/>
    <w:uiPriority w:val="99"/>
    <w:unhideWhenUsed/>
    <w:rsid w:val="00257DAB"/>
    <w:pPr>
      <w:tabs>
        <w:tab w:val="center" w:pos="4536"/>
        <w:tab w:val="right" w:pos="9072"/>
      </w:tabs>
      <w:spacing w:line="240" w:lineRule="auto"/>
    </w:pPr>
  </w:style>
  <w:style w:type="character" w:customStyle="1" w:styleId="HeaderChar">
    <w:name w:val="Header Char"/>
    <w:basedOn w:val="DefaultParagraphFont"/>
    <w:link w:val="Header"/>
    <w:uiPriority w:val="99"/>
    <w:rsid w:val="00257DAB"/>
    <w:rPr>
      <w:rFonts w:ascii="Univers" w:eastAsia="Times New Roman" w:hAnsi="Univers" w:cs="Times New Roman"/>
      <w:sz w:val="20"/>
      <w:szCs w:val="20"/>
      <w:lang w:val="da-DK" w:eastAsia="nl-NL"/>
    </w:rPr>
  </w:style>
  <w:style w:type="paragraph" w:styleId="Footer">
    <w:name w:val="footer"/>
    <w:basedOn w:val="Normal"/>
    <w:link w:val="FooterChar"/>
    <w:uiPriority w:val="99"/>
    <w:unhideWhenUsed/>
    <w:rsid w:val="00257DAB"/>
    <w:pPr>
      <w:tabs>
        <w:tab w:val="center" w:pos="4536"/>
        <w:tab w:val="right" w:pos="9072"/>
      </w:tabs>
      <w:spacing w:line="240" w:lineRule="auto"/>
    </w:pPr>
  </w:style>
  <w:style w:type="character" w:customStyle="1" w:styleId="FooterChar">
    <w:name w:val="Footer Char"/>
    <w:basedOn w:val="DefaultParagraphFont"/>
    <w:link w:val="Footer"/>
    <w:uiPriority w:val="99"/>
    <w:rsid w:val="00257DAB"/>
    <w:rPr>
      <w:rFonts w:ascii="Univers" w:eastAsia="Times New Roman" w:hAnsi="Univers" w:cs="Times New Roman"/>
      <w:sz w:val="20"/>
      <w:szCs w:val="20"/>
      <w:lang w:val="da-DK"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628285">
      <w:bodyDiv w:val="1"/>
      <w:marLeft w:val="0"/>
      <w:marRight w:val="0"/>
      <w:marTop w:val="0"/>
      <w:marBottom w:val="0"/>
      <w:divBdr>
        <w:top w:val="none" w:sz="0" w:space="0" w:color="auto"/>
        <w:left w:val="none" w:sz="0" w:space="0" w:color="auto"/>
        <w:bottom w:val="none" w:sz="0" w:space="0" w:color="auto"/>
        <w:right w:val="none" w:sz="0" w:space="0" w:color="auto"/>
      </w:divBdr>
    </w:div>
    <w:div w:id="496271005">
      <w:bodyDiv w:val="1"/>
      <w:marLeft w:val="0"/>
      <w:marRight w:val="0"/>
      <w:marTop w:val="0"/>
      <w:marBottom w:val="0"/>
      <w:divBdr>
        <w:top w:val="none" w:sz="0" w:space="0" w:color="auto"/>
        <w:left w:val="none" w:sz="0" w:space="0" w:color="auto"/>
        <w:bottom w:val="none" w:sz="0" w:space="0" w:color="auto"/>
        <w:right w:val="none" w:sz="0" w:space="0" w:color="auto"/>
      </w:divBdr>
    </w:div>
    <w:div w:id="981958580">
      <w:bodyDiv w:val="1"/>
      <w:marLeft w:val="0"/>
      <w:marRight w:val="0"/>
      <w:marTop w:val="0"/>
      <w:marBottom w:val="0"/>
      <w:divBdr>
        <w:top w:val="none" w:sz="0" w:space="0" w:color="auto"/>
        <w:left w:val="none" w:sz="0" w:space="0" w:color="auto"/>
        <w:bottom w:val="none" w:sz="0" w:space="0" w:color="auto"/>
        <w:right w:val="none" w:sz="0" w:space="0" w:color="auto"/>
      </w:divBdr>
    </w:div>
    <w:div w:id="212469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E7423-8B51-4465-8297-E81B8DD28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1376</Words>
  <Characters>7848</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Kortstam, E.A.G. (Elouise)</dc:creator>
  <cp:keywords/>
  <dc:description/>
  <cp:lastModifiedBy>Diana STOICA</cp:lastModifiedBy>
  <cp:revision>3</cp:revision>
  <dcterms:created xsi:type="dcterms:W3CDTF">2020-08-03T08:24:00Z</dcterms:created>
  <dcterms:modified xsi:type="dcterms:W3CDTF">2020-08-03T12:38:00Z</dcterms:modified>
</cp:coreProperties>
</file>