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24378" w14:textId="77777777" w:rsidR="000A62E1" w:rsidRPr="004E0DAC"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4E0DAC" w14:paraId="1E324DC9" w14:textId="77777777">
        <w:trPr>
          <w:trHeight w:hRule="exact" w:val="1739"/>
        </w:trPr>
        <w:tc>
          <w:tcPr>
            <w:tcW w:w="1795" w:type="dxa"/>
            <w:tcBorders>
              <w:top w:val="none" w:sz="0" w:space="0" w:color="000000"/>
              <w:left w:val="none" w:sz="0" w:space="0" w:color="000000"/>
              <w:bottom w:val="none" w:sz="0" w:space="0" w:color="000000"/>
              <w:right w:val="none" w:sz="0" w:space="0" w:color="000000"/>
            </w:tcBorders>
          </w:tcPr>
          <w:p w14:paraId="0EF31D4D" w14:textId="77777777" w:rsidR="000A62E1" w:rsidRPr="004E0DAC" w:rsidRDefault="00AC5F6A">
            <w:pPr>
              <w:spacing w:before="11"/>
              <w:ind w:left="76" w:right="245"/>
              <w:textAlignment w:val="baseline"/>
              <w:rPr>
                <w:rFonts w:asciiTheme="majorBidi" w:hAnsiTheme="majorBidi" w:cstheme="majorBidi"/>
              </w:rPr>
            </w:pPr>
            <w:r w:rsidRPr="004E0DAC">
              <w:rPr>
                <w:rFonts w:asciiTheme="majorBidi" w:hAnsiTheme="majorBidi"/>
                <w:noProof/>
                <w:lang w:val="en-US"/>
              </w:rPr>
              <w:drawing>
                <wp:inline distT="0" distB="0" distL="0" distR="0" wp14:anchorId="2E255D78" wp14:editId="6A7F9511">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14:paraId="1FB7CA1F" w14:textId="77777777" w:rsidR="00AA66E7" w:rsidRPr="004E0DAC" w:rsidRDefault="00AA66E7" w:rsidP="00AA66E7">
            <w:pPr>
              <w:spacing w:before="20" w:after="20"/>
              <w:jc w:val="center"/>
              <w:textAlignment w:val="baseline"/>
              <w:rPr>
                <w:rFonts w:eastAsia="Times New Roman"/>
                <w:color w:val="000000"/>
                <w:sz w:val="72"/>
                <w:szCs w:val="72"/>
              </w:rPr>
            </w:pPr>
            <w:r w:rsidRPr="004E0DAC">
              <w:rPr>
                <w:color w:val="000000"/>
                <w:sz w:val="72"/>
                <w:szCs w:val="72"/>
              </w:rPr>
              <w:t>POOLA VABARIIGI</w:t>
            </w:r>
          </w:p>
          <w:p w14:paraId="68D1D51C" w14:textId="77777777" w:rsidR="000A62E1" w:rsidRPr="004E0DAC" w:rsidRDefault="00AA66E7" w:rsidP="00AA66E7">
            <w:pPr>
              <w:spacing w:line="900" w:lineRule="exact"/>
              <w:jc w:val="center"/>
              <w:textAlignment w:val="baseline"/>
              <w:rPr>
                <w:rFonts w:asciiTheme="majorBidi" w:eastAsia="Times New Roman" w:hAnsiTheme="majorBidi" w:cstheme="majorBidi"/>
                <w:color w:val="000000"/>
                <w:sz w:val="93"/>
              </w:rPr>
            </w:pPr>
            <w:r w:rsidRPr="004E0DAC">
              <w:rPr>
                <w:color w:val="000000"/>
                <w:sz w:val="56"/>
              </w:rPr>
              <w:t>SEADUSTE KOGU</w:t>
            </w:r>
          </w:p>
          <w:p w14:paraId="54E988CF" w14:textId="77777777" w:rsidR="000A62E1" w:rsidRPr="004E0DAC" w:rsidRDefault="00AC5F6A">
            <w:pPr>
              <w:spacing w:before="121" w:after="96" w:line="607" w:lineRule="exact"/>
              <w:jc w:val="center"/>
              <w:textAlignment w:val="baseline"/>
              <w:rPr>
                <w:rFonts w:asciiTheme="majorBidi" w:eastAsia="Times New Roman" w:hAnsiTheme="majorBidi" w:cstheme="majorBidi"/>
                <w:color w:val="000000"/>
                <w:sz w:val="53"/>
              </w:rPr>
            </w:pPr>
            <w:r w:rsidRPr="004E0DAC">
              <w:rPr>
                <w:rFonts w:asciiTheme="majorBidi" w:hAnsiTheme="majorBidi"/>
                <w:color w:val="000000"/>
                <w:sz w:val="53"/>
              </w:rPr>
              <w:t>SEADUSTE KOGU</w:t>
            </w:r>
          </w:p>
        </w:tc>
      </w:tr>
      <w:tr w:rsidR="000A62E1" w:rsidRPr="004E0DAC" w14:paraId="62BAA10B" w14:textId="77777777">
        <w:trPr>
          <w:trHeight w:hRule="exact" w:val="36"/>
        </w:trPr>
        <w:tc>
          <w:tcPr>
            <w:tcW w:w="1795" w:type="dxa"/>
            <w:tcBorders>
              <w:top w:val="none" w:sz="0" w:space="0" w:color="000000"/>
              <w:left w:val="none" w:sz="0" w:space="0" w:color="000000"/>
              <w:bottom w:val="none" w:sz="0" w:space="0" w:color="000000"/>
              <w:right w:val="none" w:sz="0" w:space="0" w:color="000000"/>
            </w:tcBorders>
          </w:tcPr>
          <w:p w14:paraId="0ADED0AB" w14:textId="77777777" w:rsidR="000A62E1" w:rsidRPr="004E0DAC"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14:paraId="20F7EFE3" w14:textId="77777777" w:rsidR="000A62E1" w:rsidRPr="004E0DAC" w:rsidRDefault="000A62E1">
            <w:pPr>
              <w:rPr>
                <w:rFonts w:asciiTheme="majorBidi" w:hAnsiTheme="majorBidi" w:cstheme="majorBidi"/>
              </w:rPr>
            </w:pPr>
          </w:p>
        </w:tc>
      </w:tr>
    </w:tbl>
    <w:p w14:paraId="2CC10B13" w14:textId="77777777" w:rsidR="000A62E1" w:rsidRPr="004E0DAC" w:rsidRDefault="000A62E1">
      <w:pPr>
        <w:spacing w:after="448" w:line="20" w:lineRule="exact"/>
        <w:rPr>
          <w:rFonts w:asciiTheme="majorBidi" w:hAnsiTheme="majorBidi" w:cstheme="majorBidi"/>
        </w:rPr>
      </w:pPr>
    </w:p>
    <w:p w14:paraId="04D296D9" w14:textId="68BCB5E2" w:rsidR="00911BBF" w:rsidRPr="004E0DAC" w:rsidRDefault="00911BBF" w:rsidP="00911BBF">
      <w:pPr>
        <w:pStyle w:val="PlainText"/>
        <w:rPr>
          <w:rFonts w:ascii="Courier New" w:hAnsi="Courier New" w:cs="Courier New"/>
          <w:sz w:val="20"/>
          <w:szCs w:val="20"/>
        </w:rPr>
      </w:pPr>
      <w:r w:rsidRPr="004E0DAC">
        <w:rPr>
          <w:rFonts w:ascii="Courier New" w:hAnsi="Courier New"/>
          <w:sz w:val="20"/>
          <w:szCs w:val="20"/>
        </w:rPr>
        <w:t>1. ------IND- 2018 0186 PL- ET</w:t>
      </w:r>
      <w:r w:rsidR="000B20D0">
        <w:rPr>
          <w:rFonts w:ascii="Courier New" w:hAnsi="Courier New"/>
          <w:sz w:val="20"/>
          <w:szCs w:val="20"/>
        </w:rPr>
        <w:t>-</w:t>
      </w:r>
      <w:bookmarkStart w:id="0" w:name="_GoBack"/>
      <w:bookmarkEnd w:id="0"/>
      <w:r w:rsidRPr="004E0DAC">
        <w:rPr>
          <w:rFonts w:ascii="Courier New" w:hAnsi="Courier New"/>
          <w:sz w:val="20"/>
          <w:szCs w:val="20"/>
        </w:rPr>
        <w:t xml:space="preserve"> ------ 20200930 --- --- </w:t>
      </w:r>
      <w:r w:rsidR="000B20D0">
        <w:rPr>
          <w:rFonts w:ascii="Courier New" w:hAnsi="Courier New"/>
          <w:sz w:val="20"/>
          <w:szCs w:val="20"/>
        </w:rPr>
        <w:t>FINAL</w:t>
      </w:r>
      <w:r w:rsidRPr="004E0DAC">
        <w:rPr>
          <w:rFonts w:ascii="Courier New" w:hAnsi="Courier New"/>
          <w:sz w:val="20"/>
          <w:szCs w:val="20"/>
        </w:rPr>
        <w:t xml:space="preserve"> </w:t>
      </w:r>
    </w:p>
    <w:p w14:paraId="1DF1A620" w14:textId="77777777" w:rsidR="000A62E1" w:rsidRPr="004E0DAC" w:rsidRDefault="00AC5F6A">
      <w:pPr>
        <w:spacing w:line="441" w:lineRule="exact"/>
        <w:jc w:val="center"/>
        <w:textAlignment w:val="baseline"/>
        <w:rPr>
          <w:rFonts w:asciiTheme="majorBidi" w:eastAsia="Times New Roman" w:hAnsiTheme="majorBidi" w:cstheme="majorBidi"/>
          <w:color w:val="000000"/>
          <w:sz w:val="28"/>
        </w:rPr>
      </w:pPr>
      <w:r w:rsidRPr="004E0DAC">
        <w:rPr>
          <w:rFonts w:asciiTheme="majorBidi" w:hAnsiTheme="majorBidi"/>
          <w:color w:val="000000"/>
          <w:sz w:val="28"/>
        </w:rPr>
        <w:t>Varssavi, 29. november 2018</w:t>
      </w:r>
      <w:r w:rsidRPr="004E0DAC">
        <w:rPr>
          <w:rFonts w:asciiTheme="majorBidi" w:hAnsiTheme="majorBidi"/>
          <w:color w:val="000000"/>
          <w:sz w:val="28"/>
        </w:rPr>
        <w:br/>
        <w:t>Punkt 2227</w:t>
      </w:r>
    </w:p>
    <w:p w14:paraId="5A7EE24E" w14:textId="77777777" w:rsidR="000A62E1" w:rsidRPr="004E0DAC"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sidRPr="004E0DAC">
        <w:rPr>
          <w:rFonts w:asciiTheme="majorBidi" w:hAnsiTheme="majorBidi"/>
          <w:color w:val="000000"/>
          <w:sz w:val="19"/>
        </w:rPr>
        <w:t>SEADUS</w:t>
      </w:r>
    </w:p>
    <w:p w14:paraId="50BCAB84" w14:textId="77777777" w:rsidR="000A62E1" w:rsidRPr="004E0DAC"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sidRPr="004E0DAC">
        <w:rPr>
          <w:rFonts w:asciiTheme="majorBidi" w:hAnsiTheme="majorBidi"/>
          <w:color w:val="000000"/>
          <w:sz w:val="19"/>
        </w:rPr>
        <w:t>4. oktoober 2018</w:t>
      </w:r>
    </w:p>
    <w:p w14:paraId="710CD758" w14:textId="77777777" w:rsidR="000A62E1" w:rsidRPr="004E0DAC"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sidRPr="004E0DAC">
        <w:rPr>
          <w:rFonts w:asciiTheme="majorBidi" w:hAnsiTheme="majorBidi"/>
          <w:color w:val="000000"/>
          <w:sz w:val="19"/>
        </w:rPr>
        <w:t>kosmeetikatoodete kohta</w:t>
      </w:r>
      <w:r w:rsidRPr="004E0DAC">
        <w:rPr>
          <w:rFonts w:asciiTheme="majorBidi" w:hAnsiTheme="majorBidi"/>
          <w:color w:val="000000"/>
          <w:sz w:val="13"/>
        </w:rPr>
        <w:t>1</w:t>
      </w:r>
      <w:r w:rsidR="00247C0C" w:rsidRPr="004E0DAC">
        <w:rPr>
          <w:rStyle w:val="FootnoteReference"/>
          <w:rFonts w:asciiTheme="majorBidi" w:eastAsia="Times New Roman" w:hAnsiTheme="majorBidi" w:cstheme="majorBidi"/>
          <w:color w:val="000000"/>
          <w:sz w:val="13"/>
        </w:rPr>
        <w:footnoteReference w:id="1"/>
      </w:r>
      <w:r w:rsidRPr="004E0DAC">
        <w:rPr>
          <w:rFonts w:asciiTheme="majorBidi" w:hAnsiTheme="majorBidi"/>
          <w:color w:val="000000"/>
          <w:sz w:val="13"/>
          <w:vertAlign w:val="superscript"/>
        </w:rPr>
        <w:t>)</w:t>
      </w:r>
      <w:r w:rsidRPr="004E0DAC">
        <w:rPr>
          <w:rFonts w:asciiTheme="majorBidi" w:hAnsiTheme="majorBidi"/>
          <w:color w:val="000000"/>
          <w:sz w:val="13"/>
        </w:rPr>
        <w:t>,</w:t>
      </w:r>
      <w:r w:rsidR="00247C0C" w:rsidRPr="004E0DAC">
        <w:rPr>
          <w:rStyle w:val="FootnoteReference"/>
          <w:rFonts w:asciiTheme="majorBidi" w:eastAsia="Times New Roman" w:hAnsiTheme="majorBidi" w:cstheme="majorBidi"/>
          <w:color w:val="000000"/>
          <w:sz w:val="13"/>
        </w:rPr>
        <w:footnoteReference w:id="2"/>
      </w:r>
      <w:r w:rsidRPr="004E0DAC">
        <w:rPr>
          <w:rFonts w:asciiTheme="majorBidi" w:hAnsiTheme="majorBidi"/>
          <w:color w:val="000000"/>
          <w:sz w:val="13"/>
        </w:rPr>
        <w:t xml:space="preserve"> </w:t>
      </w:r>
      <w:r w:rsidRPr="004E0DAC">
        <w:rPr>
          <w:rFonts w:asciiTheme="majorBidi" w:hAnsiTheme="majorBidi"/>
          <w:color w:val="000000"/>
          <w:sz w:val="13"/>
          <w:vertAlign w:val="superscript"/>
        </w:rPr>
        <w:t>)</w:t>
      </w:r>
      <w:r w:rsidRPr="004E0DAC">
        <w:rPr>
          <w:rFonts w:asciiTheme="majorBidi" w:hAnsiTheme="majorBidi"/>
          <w:color w:val="000000"/>
          <w:sz w:val="13"/>
        </w:rPr>
        <w:t xml:space="preserve">, </w:t>
      </w:r>
      <w:r w:rsidR="00247C0C" w:rsidRPr="004E0DAC">
        <w:rPr>
          <w:rStyle w:val="FootnoteReference"/>
          <w:rFonts w:asciiTheme="majorBidi" w:eastAsia="Times New Roman" w:hAnsiTheme="majorBidi" w:cstheme="majorBidi"/>
          <w:color w:val="000000"/>
          <w:sz w:val="13"/>
        </w:rPr>
        <w:footnoteReference w:id="3"/>
      </w:r>
      <w:r w:rsidRPr="004E0DAC">
        <w:rPr>
          <w:rFonts w:asciiTheme="majorBidi" w:hAnsiTheme="majorBidi"/>
          <w:color w:val="000000"/>
          <w:sz w:val="13"/>
          <w:vertAlign w:val="superscript"/>
        </w:rPr>
        <w:t>)</w:t>
      </w:r>
    </w:p>
    <w:p w14:paraId="14AE367E" w14:textId="77777777" w:rsidR="000A62E1" w:rsidRPr="004E0DAC"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sidRPr="004E0DAC">
        <w:rPr>
          <w:rFonts w:asciiTheme="majorBidi" w:hAnsiTheme="majorBidi"/>
          <w:color w:val="000000"/>
          <w:sz w:val="19"/>
        </w:rPr>
        <w:t>1. peatükk</w:t>
      </w:r>
    </w:p>
    <w:p w14:paraId="7A6D4C6C" w14:textId="77777777" w:rsidR="000A62E1" w:rsidRPr="004E0DAC"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sidRPr="004E0DAC">
        <w:rPr>
          <w:rFonts w:asciiTheme="majorBidi" w:hAnsiTheme="majorBidi"/>
          <w:b/>
          <w:color w:val="000000"/>
          <w:sz w:val="20"/>
        </w:rPr>
        <w:t>Üldsätted</w:t>
      </w:r>
    </w:p>
    <w:p w14:paraId="4E19C478"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w:t>
      </w:r>
      <w:r w:rsidRPr="004E0DAC">
        <w:rPr>
          <w:rFonts w:asciiTheme="majorBidi" w:hAnsiTheme="majorBidi"/>
          <w:color w:val="000000"/>
          <w:sz w:val="20"/>
          <w:szCs w:val="20"/>
        </w:rPr>
        <w:t xml:space="preserve"> Selles seaduses määratakse kindlaks ettevõtjate kohustused ja ametiasutuste pädevusalad seoses Euroopa Parlamendi ja nõukogu 30. novembri 2009. aasta määrusega (EÜ) nr 1223/2009 kosmeetikatoodete kohta (uuesti sõnastatud) (ELT L 342, 22.12.2009, lk 59) (muudetud kujul)</w:t>
      </w:r>
      <w:r w:rsidR="00247C0C" w:rsidRPr="004E0DAC">
        <w:rPr>
          <w:rStyle w:val="FootnoteReference"/>
          <w:rFonts w:asciiTheme="majorBidi" w:eastAsia="Times New Roman" w:hAnsiTheme="majorBidi" w:cstheme="majorBidi"/>
          <w:color w:val="000000"/>
          <w:sz w:val="20"/>
          <w:szCs w:val="20"/>
        </w:rPr>
        <w:footnoteReference w:id="4"/>
      </w:r>
      <w:r w:rsidRPr="004E0DAC">
        <w:rPr>
          <w:rFonts w:asciiTheme="majorBidi" w:hAnsiTheme="majorBidi"/>
          <w:color w:val="000000"/>
          <w:sz w:val="20"/>
          <w:szCs w:val="20"/>
          <w:vertAlign w:val="superscript"/>
        </w:rPr>
        <w:t>)</w:t>
      </w:r>
      <w:r w:rsidRPr="004E0DAC">
        <w:rPr>
          <w:rFonts w:asciiTheme="majorBidi" w:hAnsiTheme="majorBidi"/>
          <w:color w:val="000000"/>
          <w:sz w:val="20"/>
          <w:szCs w:val="20"/>
        </w:rPr>
        <w:t xml:space="preserve"> (edaspidi „määrus (EÜ) nr 1223/2009“).</w:t>
      </w:r>
    </w:p>
    <w:p w14:paraId="4D930589"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w:t>
      </w:r>
      <w:r w:rsidRPr="004E0DAC">
        <w:rPr>
          <w:rFonts w:asciiTheme="majorBidi" w:hAnsiTheme="majorBidi"/>
          <w:color w:val="000000"/>
          <w:sz w:val="20"/>
          <w:szCs w:val="20"/>
        </w:rPr>
        <w:t xml:space="preserve"> Käesolevas seaduses kasutatakse järgmisi mõisteid:</w:t>
      </w:r>
    </w:p>
    <w:p w14:paraId="1C483FB9"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„tõsine soovimatu mõju“ – määruse (EÜ) nr 1223/2009 artikli 2 lõike 1 punktis p kirjeldatud tõsine soovimatu mõju.;</w:t>
      </w:r>
    </w:p>
    <w:p w14:paraId="1AC165B7"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„hea tootmistava“ – määruse (EÜ) nr 1223/2009 artiklis 8 kirjeldatud hea tootmistava;</w:t>
      </w:r>
    </w:p>
    <w:p w14:paraId="0867D83A"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„levitaja“ – määruse (EÜ) nr 1223/2009 artikli 2 lõike 1 punktis e kirjeldatud levitaja;</w:t>
      </w:r>
    </w:p>
    <w:p w14:paraId="12DEEC22"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„soovimatu mõju“ – määruse (EÜ) nr 1223/2009 artikli 2 lõike 1 punktis o kirjeldatud soovimatu mõju;</w:t>
      </w:r>
    </w:p>
    <w:p w14:paraId="0D159DA3"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lastRenderedPageBreak/>
        <w:t>5)</w:t>
      </w:r>
      <w:r w:rsidRPr="004E0DAC">
        <w:rPr>
          <w:rFonts w:asciiTheme="majorBidi" w:hAnsiTheme="majorBidi"/>
          <w:color w:val="000000"/>
          <w:sz w:val="20"/>
          <w:szCs w:val="20"/>
        </w:rPr>
        <w:tab/>
        <w:t>„pakendamine“ – toimingud, sealhulgas täitmine ja märgistamine, mis on vajalikud tootemassist valmistoote saamiseks;</w:t>
      </w:r>
    </w:p>
    <w:p w14:paraId="114D1C0F"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6)</w:t>
      </w:r>
      <w:r w:rsidRPr="004E0DAC">
        <w:rPr>
          <w:rFonts w:asciiTheme="majorBidi" w:hAnsiTheme="majorBidi"/>
          <w:color w:val="000000"/>
          <w:sz w:val="20"/>
          <w:szCs w:val="20"/>
        </w:rPr>
        <w:tab/>
        <w:t>„tootemass“ – kosmeetikatoode, mis on läbinud kõik tootmisetapid kuni pakendamise viimase etapini (nimetatud etapp välja arvatud);</w:t>
      </w:r>
    </w:p>
    <w:p w14:paraId="563A1482"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7)</w:t>
      </w:r>
      <w:r w:rsidRPr="004E0DAC">
        <w:rPr>
          <w:rFonts w:asciiTheme="majorBidi" w:hAnsiTheme="majorBidi"/>
          <w:color w:val="000000"/>
          <w:sz w:val="20"/>
          <w:szCs w:val="20"/>
        </w:rPr>
        <w:tab/>
        <w:t>„vastutav isik“ – määruse (EÜ) nr 1223/2009 artiklis 4 kirjeldatud vastutav isik;</w:t>
      </w:r>
    </w:p>
    <w:p w14:paraId="0D31ADC0"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8)</w:t>
      </w:r>
      <w:r w:rsidRPr="004E0DAC">
        <w:rPr>
          <w:rFonts w:asciiTheme="majorBidi" w:hAnsiTheme="majorBidi"/>
          <w:color w:val="000000"/>
          <w:sz w:val="20"/>
          <w:szCs w:val="20"/>
        </w:rPr>
        <w:tab/>
        <w:t>„valmistoode“ – kosmeetikatoode, mis on läbinud kõik tootmisetapid, kaasa arvatud saadetise jaoks pakendamise;</w:t>
      </w:r>
    </w:p>
    <w:p w14:paraId="45E34F27"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9)</w:t>
      </w:r>
      <w:r w:rsidRPr="004E0DAC">
        <w:rPr>
          <w:rFonts w:asciiTheme="majorBidi" w:hAnsiTheme="majorBidi"/>
          <w:color w:val="000000"/>
          <w:sz w:val="20"/>
          <w:szCs w:val="20"/>
        </w:rPr>
        <w:tab/>
        <w:t>„kosmeetikatoode“ – määruse (EÜ) nr 1223/2009 artikli 2 lõike 1 punktis a kirjeldatud kosmeetikatoode;</w:t>
      </w:r>
    </w:p>
    <w:p w14:paraId="3C60720C"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10)</w:t>
      </w:r>
      <w:r w:rsidRPr="004E0DAC">
        <w:rPr>
          <w:rFonts w:asciiTheme="majorBidi" w:hAnsiTheme="majorBidi"/>
          <w:color w:val="000000"/>
          <w:sz w:val="20"/>
          <w:szCs w:val="20"/>
        </w:rPr>
        <w:tab/>
        <w:t>„turul kättesaadavaks tegemine“ – turul kättesaadavaks tegemine, nagu kirjeldatud määruse (EÜ) nr 1223/2009 artikli 2 lõike 1 punktis g;</w:t>
      </w:r>
    </w:p>
    <w:p w14:paraId="5B03F8E5"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11)</w:t>
      </w:r>
      <w:r w:rsidRPr="004E0DAC">
        <w:rPr>
          <w:rFonts w:asciiTheme="majorBidi" w:hAnsiTheme="majorBidi"/>
          <w:color w:val="000000"/>
          <w:sz w:val="20"/>
          <w:szCs w:val="20"/>
        </w:rPr>
        <w:tab/>
        <w:t>„lõppkasutaja“ – määruse (EÜ) nr 1223/2009 artikli 2 lõike 1 punktis f kirjeldatud lõppkasutaja;</w:t>
      </w:r>
    </w:p>
    <w:p w14:paraId="42704E6B"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12)</w:t>
      </w:r>
      <w:r w:rsidRPr="004E0DAC">
        <w:rPr>
          <w:rFonts w:asciiTheme="majorBidi" w:hAnsiTheme="majorBidi"/>
          <w:color w:val="000000"/>
          <w:sz w:val="20"/>
          <w:szCs w:val="20"/>
        </w:rPr>
        <w:tab/>
        <w:t>„turulelaskmine“ – määruse (EÜ) nr 1223/2009 artikli 2 lõike 1 punktis h kirjeldatud turulelaskmine;</w:t>
      </w:r>
    </w:p>
    <w:p w14:paraId="697D47EB"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13)</w:t>
      </w:r>
      <w:r w:rsidRPr="004E0DAC">
        <w:rPr>
          <w:rFonts w:asciiTheme="majorBidi" w:hAnsiTheme="majorBidi"/>
          <w:color w:val="000000"/>
          <w:sz w:val="20"/>
          <w:szCs w:val="20"/>
        </w:rPr>
        <w:tab/>
        <w:t>„kosmeetikatoote tootmine“ – protsessid, sh pakendamine, mille tulemusena saadakse valmistoode, isegi kui need protsessid ei toimu tootemassi tootmisega samas kohas;</w:t>
      </w:r>
    </w:p>
    <w:p w14:paraId="063CF58A"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14)</w:t>
      </w:r>
      <w:r w:rsidRPr="004E0DAC">
        <w:rPr>
          <w:rFonts w:asciiTheme="majorBidi" w:hAnsiTheme="majorBidi"/>
          <w:color w:val="000000"/>
          <w:sz w:val="20"/>
          <w:szCs w:val="20"/>
        </w:rPr>
        <w:tab/>
        <w:t>„tootja“ – kosmeetikatoote tootmisega tegelev füüsiline isik, juriidiline isik ning mis tahes isikute ühendus, mis pole juriidiline isik.</w:t>
      </w:r>
    </w:p>
    <w:p w14:paraId="6BA46993" w14:textId="77777777" w:rsidR="000A62E1" w:rsidRPr="004E0DAC"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 peatükk</w:t>
      </w:r>
    </w:p>
    <w:p w14:paraId="1D732052" w14:textId="77777777" w:rsidR="000A62E1" w:rsidRPr="004E0DAC"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4E0DAC">
        <w:rPr>
          <w:rFonts w:asciiTheme="majorBidi" w:hAnsiTheme="majorBidi"/>
          <w:b/>
          <w:bCs/>
          <w:color w:val="000000"/>
          <w:sz w:val="20"/>
          <w:szCs w:val="20"/>
        </w:rPr>
        <w:t>Kosmeetikatoodete turul kättesaadavaks tegemine ja tootmine</w:t>
      </w:r>
    </w:p>
    <w:p w14:paraId="64AB9D43"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w:t>
      </w:r>
      <w:r w:rsidRPr="004E0DAC">
        <w:rPr>
          <w:rFonts w:asciiTheme="majorBidi" w:hAnsiTheme="majorBidi"/>
          <w:color w:val="000000"/>
          <w:sz w:val="20"/>
          <w:szCs w:val="20"/>
        </w:rPr>
        <w:t xml:space="preserve"> 1. Määruse (EÜ) nr 1223/2009 artikli 11 lõikes 1 nimetatud toote andmik, mis tehakse kättesaadavaks nimetatud määruse artikli 11 lõike 3 kohaselt, koostatakse poola keeles ja inglise keeles.</w:t>
      </w:r>
    </w:p>
    <w:p w14:paraId="26BD0B60"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Määruse (EÜ) nr 1223/2009 artikli 10 lõikes 1 osutatud ohutusaruande B osa, mis tehakse kättesaadavaks selle määruse artikli 11 lõike 3 kohaselt, koostatakse poola keeles.</w:t>
      </w:r>
    </w:p>
    <w:p w14:paraId="3D6A3B44"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4.</w:t>
      </w:r>
      <w:r w:rsidRPr="004E0DAC">
        <w:rPr>
          <w:rFonts w:asciiTheme="majorBidi" w:hAnsiTheme="majorBidi"/>
          <w:color w:val="000000"/>
          <w:sz w:val="20"/>
          <w:szCs w:val="20"/>
        </w:rPr>
        <w:t xml:space="preserve"> 1. Poola Vabariigi territooriumil kättesaadavaks tehtud kosmeetikatooted märgistatakse poola keeles.</w:t>
      </w:r>
    </w:p>
    <w:p w14:paraId="2F706DEE"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Kui kosmeetikatoode ei ole varem pakendatud, vaid see pakendatakse müügikohas ostja soovil või see on eelnevalt pakendatud koheseks müügiks, tuleb määruse (EÜ) nr 1223/2009 artikli 19 lõikes 1 nimetatud teave lisada mahutile või pakendile, mida kosmeetikatoote müümisel kasutati.</w:t>
      </w:r>
    </w:p>
    <w:p w14:paraId="07360F38"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5.</w:t>
      </w:r>
      <w:r w:rsidRPr="004E0DAC">
        <w:rPr>
          <w:rFonts w:asciiTheme="majorBidi" w:hAnsiTheme="majorBidi"/>
          <w:color w:val="000000"/>
          <w:sz w:val="20"/>
          <w:szCs w:val="20"/>
        </w:rPr>
        <w:t xml:space="preserve"> Kosmeetikatooted lastakse turule ja tehakse turul kättesaadavaks kuni nende minimaalse säilimistähtaja päevani.</w:t>
      </w:r>
    </w:p>
    <w:p w14:paraId="3FF27CF5"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6.</w:t>
      </w:r>
      <w:r w:rsidRPr="004E0DAC">
        <w:rPr>
          <w:rFonts w:asciiTheme="majorBidi" w:hAnsiTheme="majorBidi"/>
          <w:color w:val="000000"/>
          <w:sz w:val="20"/>
          <w:szCs w:val="20"/>
        </w:rPr>
        <w:t xml:space="preserve"> 1. Kosmeetikatooteid tootvate tehaste nimekirja (edaspidi „tehaste nimekiri“) haldab riiklik sanitaarinspektsioon maakonna tasandil sõltuvalt sellest, kus on kosmeetikatooteid tootva tehase peakorter.</w:t>
      </w:r>
    </w:p>
    <w:p w14:paraId="54B0A3E3"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Tootja esitab lõikes 1 osutatud asutusele taotluse kosmeetikatooteid tootva tehase kandmiseks tehaste nimekirja.</w:t>
      </w:r>
    </w:p>
    <w:p w14:paraId="178C0FFD"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Tehaste nimekirja kasutatakse määruse (EÜ) nr 1223/2009 artikli 22 kohaselt hea tootmistava põhimõtete järgimise järelevalveks ning seda ei tehta 6. septembri 2001. aasta seaduse (avaliku teabe kättesaadavuse kohta) (Poola 2018. aasta seaduste kogu punktid 1330 ja 1669) kohaselt kättesaadavaks.</w:t>
      </w:r>
    </w:p>
    <w:p w14:paraId="734E0C30" w14:textId="77777777" w:rsidR="000A62E1" w:rsidRPr="004E0DAC"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Tootja peab tehaste nimekirja kandmiseks esitama paberil või elektrooniliselt taotluse 30 päeva jooksul alates sellest, kui kosmeetikatooteid tootev tehas tööd alustab.</w:t>
      </w:r>
    </w:p>
    <w:p w14:paraId="14367EE2"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5.</w:t>
      </w:r>
      <w:r w:rsidRPr="004E0DAC">
        <w:rPr>
          <w:rFonts w:asciiTheme="majorBidi" w:hAnsiTheme="majorBidi"/>
          <w:color w:val="000000"/>
          <w:sz w:val="20"/>
          <w:szCs w:val="20"/>
        </w:rPr>
        <w:tab/>
        <w:t>Tehaste nimekirja kandmise taotlus peab sisaldama järgmist:</w:t>
      </w:r>
    </w:p>
    <w:p w14:paraId="09AE57E1"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tootja eesnimi ja perekonnanimi või tootja ettevõtte nimi ja aadress;</w:t>
      </w:r>
    </w:p>
    <w:p w14:paraId="006E19ED"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kosmeetikatooteid tootva tehase nimi ja aadress;</w:t>
      </w:r>
    </w:p>
    <w:p w14:paraId="1AE53BA4" w14:textId="77777777" w:rsidR="000A62E1" w:rsidRPr="004E0DAC"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kosmeetikatooteid tootvas tehases toimuva tegevuse tüüp ja ulatus.</w:t>
      </w:r>
    </w:p>
    <w:p w14:paraId="672DD24D"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6.</w:t>
      </w:r>
      <w:r w:rsidRPr="004E0DAC">
        <w:rPr>
          <w:rFonts w:asciiTheme="majorBidi" w:hAnsiTheme="majorBidi"/>
          <w:color w:val="000000"/>
          <w:sz w:val="20"/>
          <w:szCs w:val="20"/>
        </w:rPr>
        <w:tab/>
        <w:t>Tootjale tuleb väljastada nimekirja kandmise sertifikaat, mis sisaldab nimekirja kandmise kuupäeva ning kosmeetikatooteid tootva tehase nime ja aadressi.</w:t>
      </w:r>
    </w:p>
    <w:p w14:paraId="63E9C380"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7.</w:t>
      </w:r>
      <w:r w:rsidRPr="004E0DAC">
        <w:rPr>
          <w:rFonts w:asciiTheme="majorBidi" w:hAnsiTheme="majorBidi"/>
          <w:color w:val="000000"/>
          <w:sz w:val="20"/>
          <w:szCs w:val="20"/>
        </w:rPr>
        <w:tab/>
        <w:t>Lõikes 5 nimetatud teabe muutmise korral peab tootja taotlema seda, et need muudatused tehaste nimekirja sisse viidaks, esitades selleks 30 päeva jooksul pärast muudatuse toimumist paberil või elektrooniliselt vastava taotluse. Taotlus peab sisaldama lõikes 5 nimetatud teavet, mida on muudetud.</w:t>
      </w:r>
    </w:p>
    <w:p w14:paraId="19FE00D6"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8.</w:t>
      </w:r>
      <w:r w:rsidRPr="004E0DAC">
        <w:rPr>
          <w:rFonts w:asciiTheme="majorBidi" w:hAnsiTheme="majorBidi"/>
          <w:color w:val="000000"/>
          <w:sz w:val="20"/>
          <w:szCs w:val="20"/>
        </w:rPr>
        <w:tab/>
        <w:t>Tehaste nimekirjast kustutamine toimub järgmise alusel:</w:t>
      </w:r>
    </w:p>
    <w:p w14:paraId="4072C478"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tootja paberil või elektrooniliselt esitatud vorm, milles taotletakse tehase nimekirjast kustutamist ning mis sisaldab lõikes 5 nimetatud teavet;</w:t>
      </w:r>
    </w:p>
    <w:p w14:paraId="0DE80850"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lastRenderedPageBreak/>
        <w:t>2)</w:t>
      </w:r>
      <w:r w:rsidRPr="004E0DAC">
        <w:rPr>
          <w:rFonts w:asciiTheme="majorBidi" w:hAnsiTheme="majorBidi"/>
          <w:color w:val="000000"/>
          <w:sz w:val="20"/>
          <w:szCs w:val="20"/>
        </w:rPr>
        <w:tab/>
        <w:t>asjakohase maakonna tasandi sanitaarinspektori otsus, kui tootja on lõpetanud nimekirja kantud tegevuse ja pole esitanud punktis 1 nimetatud taotluse vormi.</w:t>
      </w:r>
    </w:p>
    <w:p w14:paraId="19939AF0"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7.</w:t>
      </w:r>
      <w:r w:rsidRPr="004E0DAC">
        <w:rPr>
          <w:rFonts w:asciiTheme="majorBidi" w:hAnsiTheme="majorBidi"/>
          <w:color w:val="000000"/>
          <w:sz w:val="20"/>
          <w:szCs w:val="20"/>
        </w:rPr>
        <w:t xml:space="preserve"> 1. Tehaste nimekiri peab sisaldama artikli 6 lõikes 5 nimetatud teavet ja</w:t>
      </w:r>
    </w:p>
    <w:p w14:paraId="4EABB3AA"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tehaste nimekirja kandmise kuupäeva;</w:t>
      </w:r>
    </w:p>
    <w:p w14:paraId="2C186FBA"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teavet kosmeetikatooteid tootvas tehases asjakohase maakonna tasandi sanitaarinspektori tehtud ametlike kontrollide kohta;</w:t>
      </w:r>
    </w:p>
    <w:p w14:paraId="40830CC9"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teavet artikli 6 lõikes 5 nimetatud andmete muutmise või selle kohta, et kosmeetikatooteid tootev tehas on tehaste nimekirjast kustutatud.</w:t>
      </w:r>
    </w:p>
    <w:p w14:paraId="7E8E492B"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Tervishoiuminister peab määruse kujul sätestama järgmised mallid:</w:t>
      </w:r>
    </w:p>
    <w:p w14:paraId="3399E1C5"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tehaste nimekirja kandmise taotluse vorm;</w:t>
      </w:r>
    </w:p>
    <w:p w14:paraId="317712D1"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tehaste nimekirja muutmise taotluse vorm;</w:t>
      </w:r>
    </w:p>
    <w:p w14:paraId="4019A402"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tehaste nimekirjast kustutamise taotluse vorm;</w:t>
      </w:r>
    </w:p>
    <w:p w14:paraId="32B5B087"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tehaste nimekirja kandmise sertifikaat,</w:t>
      </w:r>
    </w:p>
    <w:p w14:paraId="7F41EFAC"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võttes arvesse tehaste nimekirjas olevate andmete ulatust ja vajadust tagada väljastatud sertifikaatide järjepidevus.</w:t>
      </w:r>
    </w:p>
    <w:p w14:paraId="1F94A860" w14:textId="77777777" w:rsidR="000A62E1" w:rsidRPr="004E0DAC"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 peatükk</w:t>
      </w:r>
    </w:p>
    <w:p w14:paraId="250C2D57" w14:textId="77777777" w:rsidR="000A62E1" w:rsidRPr="004E0DAC"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sidRPr="004E0DAC">
        <w:rPr>
          <w:rFonts w:asciiTheme="majorBidi" w:hAnsiTheme="majorBidi"/>
          <w:b/>
          <w:color w:val="000000"/>
          <w:sz w:val="20"/>
          <w:szCs w:val="20"/>
        </w:rPr>
        <w:t>Tõsise soovimatu mõjuga seotud teabevahetus</w:t>
      </w:r>
    </w:p>
    <w:p w14:paraId="5F341A80"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8.</w:t>
      </w:r>
      <w:r w:rsidRPr="004E0DAC">
        <w:rPr>
          <w:rFonts w:asciiTheme="majorBidi" w:hAnsiTheme="majorBidi"/>
          <w:color w:val="000000"/>
          <w:sz w:val="20"/>
          <w:szCs w:val="20"/>
        </w:rPr>
        <w:t xml:space="preserve"> 1. Luuakse kosmeetikatoodete kasutamisest põhjustatud tõsise soovimatu mõjuga seotud teabevahetuse süsteem (edaspidi „süsteem“).</w:t>
      </w:r>
    </w:p>
    <w:p w14:paraId="6CE98DA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Süsteemi kasutatakse määruse (EÜ) nr 1223/2009 artikli 23 kohaselt teavitatud tõsise soovimatu mõju kohta andmete töötlemiseks.</w:t>
      </w:r>
    </w:p>
    <w:p w14:paraId="56ECCBE9"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Isikuandmeid ja süsteemi haldab peasanitaarinspektor.</w:t>
      </w:r>
    </w:p>
    <w:p w14:paraId="55578DF9"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Süsteemi toimimise ajal andmeturbe tagamiseks annab peasanitaarinspektor süsteemis sisalduvate andmete töötlemise artiklile 13 vastavates sätetes nimetatud halduskeskuse (edaspidi „halduskeskus“) hoolde.</w:t>
      </w:r>
    </w:p>
    <w:p w14:paraId="1AEE6B9E"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5.</w:t>
      </w:r>
      <w:r w:rsidRPr="004E0DAC">
        <w:rPr>
          <w:rFonts w:asciiTheme="majorBidi" w:hAnsiTheme="majorBidi"/>
          <w:color w:val="000000"/>
          <w:sz w:val="20"/>
          <w:szCs w:val="20"/>
        </w:rPr>
        <w:tab/>
        <w:t>Halduskeskus peab vastama järgmistele nõuetele:</w:t>
      </w:r>
    </w:p>
    <w:p w14:paraId="47A33DED"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vähemalt 5 aasta jagu kogemusi tõsise soovimatu mõju hindamise ja liigitamise protsessiga seotud asjus;</w:t>
      </w:r>
    </w:p>
    <w:p w14:paraId="5C8B8968"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kogemused keemiliste ainete ja segude toksilise mõjuga seotud asjus;</w:t>
      </w:r>
    </w:p>
    <w:p w14:paraId="70235297"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kogemused kosmeetikatoodete ning keemiliste ainete ja segudega kokkupuutumisega seotud asjus;</w:t>
      </w:r>
    </w:p>
    <w:p w14:paraId="162455B5"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selle heaks töötab töötajaid, kes on tõsise soovimatu mõju hindamiseks ja liigitamiseks kvalifitseeritud;</w:t>
      </w:r>
    </w:p>
    <w:p w14:paraId="0AF8B522"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5)</w:t>
      </w:r>
      <w:r w:rsidRPr="004E0DAC">
        <w:rPr>
          <w:rFonts w:asciiTheme="majorBidi" w:hAnsiTheme="majorBidi"/>
          <w:color w:val="000000"/>
          <w:sz w:val="20"/>
          <w:szCs w:val="20"/>
        </w:rPr>
        <w:tab/>
        <w:t>see loob korralduslikud ja tehnilised tingimused, millega tagada töödeldavate andmete kaitse loata juurdepääsu, ebaseadusliku avalikustamise või omandamise eest, samuti andmete muutmise, rikkumise, hävitamise või kaotamise eest.</w:t>
      </w:r>
    </w:p>
    <w:p w14:paraId="02498B8F" w14:textId="07FE5C4A"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6.</w:t>
      </w:r>
      <w:r w:rsidRPr="004E0DAC">
        <w:rPr>
          <w:rFonts w:asciiTheme="majorBidi" w:hAnsiTheme="majorBidi"/>
          <w:color w:val="000000"/>
          <w:sz w:val="20"/>
          <w:szCs w:val="20"/>
        </w:rPr>
        <w:tab/>
        <w:t xml:space="preserve">Peasanitaarinspektor võib kontrollida, kas halduskeskus täidab </w:t>
      </w:r>
      <w:r w:rsidR="00F50E5F">
        <w:rPr>
          <w:rFonts w:asciiTheme="majorBidi" w:hAnsiTheme="majorBidi"/>
          <w:color w:val="000000"/>
          <w:sz w:val="20"/>
          <w:szCs w:val="20"/>
        </w:rPr>
        <w:t>lõike</w:t>
      </w:r>
      <w:r w:rsidRPr="004E0DAC">
        <w:rPr>
          <w:rFonts w:asciiTheme="majorBidi" w:hAnsiTheme="majorBidi"/>
          <w:color w:val="000000"/>
          <w:sz w:val="20"/>
          <w:szCs w:val="20"/>
        </w:rPr>
        <w:t xml:space="preserve"> 5 </w:t>
      </w:r>
      <w:r w:rsidR="00F50E5F">
        <w:rPr>
          <w:rFonts w:asciiTheme="majorBidi" w:hAnsiTheme="majorBidi"/>
          <w:color w:val="000000"/>
          <w:sz w:val="20"/>
          <w:szCs w:val="20"/>
        </w:rPr>
        <w:t>punkti</w:t>
      </w:r>
      <w:r w:rsidRPr="004E0DAC">
        <w:rPr>
          <w:rFonts w:asciiTheme="majorBidi" w:hAnsiTheme="majorBidi"/>
          <w:color w:val="000000"/>
          <w:sz w:val="20"/>
          <w:szCs w:val="20"/>
        </w:rPr>
        <w:t>s 5 nimetatud tingimusi ning mil viisil saavutatakse eesmärgid keskuse hoolde usaldatud süsteemis töödeldavate andmete vallas.</w:t>
      </w:r>
    </w:p>
    <w:p w14:paraId="5A7B94E2"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7.</w:t>
      </w:r>
      <w:r w:rsidRPr="004E0DAC">
        <w:rPr>
          <w:rFonts w:asciiTheme="majorBidi" w:hAnsiTheme="majorBidi"/>
          <w:color w:val="000000"/>
          <w:sz w:val="20"/>
          <w:szCs w:val="20"/>
        </w:rPr>
        <w:tab/>
        <w:t>Halduskeskus ei tohi süsteemis sisalduvate andmete töötlemist teisele üksusele edasi anda.</w:t>
      </w:r>
    </w:p>
    <w:p w14:paraId="520B9B30"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8.</w:t>
      </w:r>
      <w:r w:rsidRPr="004E0DAC">
        <w:rPr>
          <w:rFonts w:asciiTheme="majorBidi" w:hAnsiTheme="majorBidi"/>
          <w:color w:val="000000"/>
          <w:sz w:val="20"/>
          <w:szCs w:val="20"/>
        </w:rPr>
        <w:tab/>
        <w:t>Halduskeskuse ülesannete rahastamine toimub tervishoiuministeeriumi hallatava riigi eelarve osa kaudu.</w:t>
      </w:r>
    </w:p>
    <w:p w14:paraId="224D5F4D" w14:textId="77777777" w:rsidR="000A62E1" w:rsidRPr="004E0DAC"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bCs/>
          <w:color w:val="000000"/>
          <w:sz w:val="20"/>
          <w:szCs w:val="20"/>
        </w:rPr>
        <w:t>Artikkel 9.</w:t>
      </w:r>
      <w:r w:rsidRPr="004E0DAC">
        <w:rPr>
          <w:rFonts w:asciiTheme="majorBidi" w:hAnsiTheme="majorBidi"/>
          <w:color w:val="000000"/>
          <w:sz w:val="20"/>
          <w:szCs w:val="20"/>
        </w:rPr>
        <w:t xml:space="preserve"> 1. Tõsisest soovimatust mõjust tuleb teatada halduskeskusele.</w:t>
      </w:r>
    </w:p>
    <w:p w14:paraId="0D4DBECE"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Kui teate tõsise soovimatu mõju kohta esitab halduskeskusele lõppkasutaja, peab see sisaldama järgmist:</w:t>
      </w:r>
    </w:p>
    <w:p w14:paraId="7A9D904B"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selle kosmeetikatoote nimi, mille kasutamine võis tekitada soovimatu mõju, ning kosmeetikatoote partiinumber;</w:t>
      </w:r>
    </w:p>
    <w:p w14:paraId="09B57493" w14:textId="77777777" w:rsidR="000A62E1" w:rsidRPr="004E0DAC"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kasutaja isikuandmed:</w:t>
      </w:r>
    </w:p>
    <w:p w14:paraId="1145F177" w14:textId="77777777" w:rsidR="000A62E1" w:rsidRPr="004E0DAC"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a)</w:t>
      </w:r>
      <w:r w:rsidRPr="004E0DAC">
        <w:rPr>
          <w:rFonts w:asciiTheme="majorBidi" w:hAnsiTheme="majorBidi"/>
          <w:color w:val="000000"/>
          <w:sz w:val="20"/>
          <w:szCs w:val="20"/>
        </w:rPr>
        <w:tab/>
        <w:t>eesnimi ja perekonnanimi;</w:t>
      </w:r>
    </w:p>
    <w:p w14:paraId="434D0F56" w14:textId="77777777" w:rsidR="000A62E1" w:rsidRPr="004E0DAC"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b)</w:t>
      </w:r>
      <w:r w:rsidRPr="004E0DAC">
        <w:rPr>
          <w:rFonts w:asciiTheme="majorBidi" w:hAnsiTheme="majorBidi"/>
          <w:color w:val="000000"/>
          <w:sz w:val="20"/>
          <w:szCs w:val="20"/>
        </w:rPr>
        <w:tab/>
        <w:t>vanus;</w:t>
      </w:r>
    </w:p>
    <w:p w14:paraId="7E523D6A" w14:textId="77777777" w:rsidR="000A62E1" w:rsidRPr="004E0DAC"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c)</w:t>
      </w:r>
      <w:r w:rsidRPr="004E0DAC">
        <w:rPr>
          <w:rFonts w:asciiTheme="majorBidi" w:hAnsiTheme="majorBidi"/>
          <w:color w:val="000000"/>
          <w:sz w:val="20"/>
          <w:szCs w:val="20"/>
        </w:rPr>
        <w:tab/>
        <w:t>amet, kui see on seotud kosmeetikatoote kasutamisega;</w:t>
      </w:r>
    </w:p>
    <w:p w14:paraId="340B1048" w14:textId="77777777" w:rsidR="000A62E1" w:rsidRPr="004E0DAC"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d)</w:t>
      </w:r>
      <w:r w:rsidRPr="004E0DAC">
        <w:rPr>
          <w:rFonts w:asciiTheme="majorBidi" w:hAnsiTheme="majorBidi"/>
          <w:color w:val="000000"/>
          <w:sz w:val="20"/>
          <w:szCs w:val="20"/>
        </w:rPr>
        <w:tab/>
        <w:t>elukoht või postiaadress;</w:t>
      </w:r>
    </w:p>
    <w:p w14:paraId="277C6EE7" w14:textId="77777777" w:rsidR="000A62E1" w:rsidRPr="004E0DAC"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e)</w:t>
      </w:r>
      <w:r w:rsidRPr="004E0DAC">
        <w:rPr>
          <w:rFonts w:asciiTheme="majorBidi" w:hAnsiTheme="majorBidi"/>
          <w:color w:val="000000"/>
          <w:sz w:val="20"/>
          <w:szCs w:val="20"/>
        </w:rPr>
        <w:tab/>
        <w:t>e-posti aadress, telefoninumber (kui on);</w:t>
      </w:r>
    </w:p>
    <w:p w14:paraId="6BB7581A"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muud andmed, mille lõppkasutaja teatega seoses esitas;</w:t>
      </w:r>
    </w:p>
    <w:p w14:paraId="73BBC285"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lastRenderedPageBreak/>
        <w:t>4)</w:t>
      </w:r>
      <w:r w:rsidRPr="004E0DAC">
        <w:rPr>
          <w:rFonts w:asciiTheme="majorBidi" w:hAnsiTheme="majorBidi"/>
          <w:color w:val="000000"/>
          <w:sz w:val="20"/>
          <w:szCs w:val="20"/>
        </w:rPr>
        <w:tab/>
        <w:t>tõsise soovimatu mõju kirjeldus ning vajaduse korral muu lõppkasutajat käsitlev tervisealane teave.</w:t>
      </w:r>
    </w:p>
    <w:p w14:paraId="052269DF"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Halduskeskus kontrollib lõike 2 punktis 1 ning lõigetes 3 ja 4 esitatud andmeid, et selgitada välja, kas teade hõlmab määruse (EÜ) nr 1223/2009 artikli 2 lõike 1 punktis p kirjeldatud tõsist soovimatut mõju.</w:t>
      </w:r>
    </w:p>
    <w:p w14:paraId="144445BD"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Kui teate tõsise soovimatu mõju kohta esitab halduskeskusele raviga tegelev pool või selle poole heaks töötav meditsiinispetsialist, peab see sisaldama järgmist:</w:t>
      </w:r>
    </w:p>
    <w:p w14:paraId="1A342034"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selle kosmeetikatoote nimi, mille kasutamine võis tekitada soovimatu mõju, ning kosmeetikatoote partiinumber;</w:t>
      </w:r>
    </w:p>
    <w:p w14:paraId="5CC43BBD"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tõsise soovimatu mõju kirjeldus;</w:t>
      </w:r>
    </w:p>
    <w:p w14:paraId="6F349B1F"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lõppkasutaja vanus ja amet, kui see on kosmeetikatoote kasutamisega seotud (kui see esitatakse).</w:t>
      </w:r>
    </w:p>
    <w:p w14:paraId="502FEFD1"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10.</w:t>
      </w:r>
      <w:r w:rsidRPr="004E0DAC">
        <w:rPr>
          <w:rFonts w:asciiTheme="majorBidi" w:hAnsiTheme="majorBidi"/>
          <w:color w:val="000000"/>
          <w:sz w:val="20"/>
          <w:szCs w:val="20"/>
        </w:rPr>
        <w:t xml:space="preserve"> 1. Halduskeskus töötleb isikuandmeid selleks, et täita määruse (EÜ) nr 1223/2009 artikli 23 lõigetele 2–4 vastavaid kohustusi.</w:t>
      </w:r>
    </w:p>
    <w:p w14:paraId="5A1012FF"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Isikuandmeid hoitakse halduskeskuses sellistes tingimustes, mis takistavad isikutel (välja arvatud volitatud isikud) nendele ligi pääsemist.</w:t>
      </w:r>
    </w:p>
    <w:p w14:paraId="35B593F5"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Isikuandmeid hoitakse halduskeskuses mitte kauem kui 1 aasta pärast soovimatu mõju teate kinnitamise lõpuleviimist.</w:t>
      </w:r>
    </w:p>
    <w:p w14:paraId="11F9F73F"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Pärast andmete töötlemise lõpetamist esitab halduskeskus kõnealused andmed peasanitaarinspektorile.</w:t>
      </w:r>
    </w:p>
    <w:p w14:paraId="3D8EEC2D"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5.</w:t>
      </w:r>
      <w:r w:rsidRPr="004E0DAC">
        <w:rPr>
          <w:rFonts w:asciiTheme="majorBidi" w:hAnsiTheme="majorBidi"/>
          <w:color w:val="000000"/>
          <w:sz w:val="20"/>
          <w:szCs w:val="20"/>
        </w:rPr>
        <w:tab/>
        <w:t>Halduskeskus ja süsteemis olevate andmete töötlemiseks volitatud isikud hoiavad kogu süsteemis olevate andmetega seotud teabe konfidentsiaalsena.</w:t>
      </w:r>
    </w:p>
    <w:p w14:paraId="2F074E58"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11.</w:t>
      </w:r>
      <w:r w:rsidRPr="004E0DAC">
        <w:rPr>
          <w:rFonts w:asciiTheme="majorBidi" w:hAnsiTheme="majorBidi"/>
          <w:color w:val="000000"/>
          <w:sz w:val="20"/>
          <w:szCs w:val="20"/>
        </w:rPr>
        <w:t xml:space="preserve"> 1. Kui lõppkasutaja teatab vastutavale isikule või levitajale soovimatust mõjust, peab see isik või levitaja töötlema artikli 9 lõike 2 punktides 2–4 kirjeldatud isikuandmeid ning neid haldama.</w:t>
      </w:r>
    </w:p>
    <w:p w14:paraId="46555132"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Vastutav isik või levitaja peab isikuandmeid töötlema selleks, et täita määruse (EÜ) nr 1223/2009 artikli 10 lõike 1, artikli 11 lõike 2 punkti b, artikli 21 ja artikli 23 lõike 1 kohaseid kohustusi.</w:t>
      </w:r>
    </w:p>
    <w:p w14:paraId="5218D317"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Vastutav isik või levitaja hoiab isikuandmeid sellistes tingimustes, mis takistavad isikutel (välja arvatud volitatud isikud) nendele ligi pääsemist.</w:t>
      </w:r>
    </w:p>
    <w:p w14:paraId="1D66F0B9"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Vastutav isik või levitaja hoiab isikuandmeid mitte kauem kui 1 aasta pärast soovimatu mõju teate kinnitamise lõpuleviimist.</w:t>
      </w:r>
    </w:p>
    <w:p w14:paraId="112DBB1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5.</w:t>
      </w:r>
      <w:r w:rsidRPr="004E0DAC">
        <w:rPr>
          <w:rFonts w:asciiTheme="majorBidi" w:hAnsiTheme="majorBidi"/>
          <w:color w:val="000000"/>
          <w:sz w:val="20"/>
          <w:szCs w:val="20"/>
        </w:rPr>
        <w:tab/>
        <w:t>Vastutav isik või levitaja loob korralduslikud ja tehnilised tingimused, millega tagada töödeldavate andmete kaitse loata juurdepääsu, ebaseadusliku avalikustamise või omandamise eest, samuti andmete muutmise, rikkumise, hävitamise või kaotamise eest.</w:t>
      </w:r>
    </w:p>
    <w:p w14:paraId="226FC2BE"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6.</w:t>
      </w:r>
      <w:r w:rsidRPr="004E0DAC">
        <w:rPr>
          <w:rFonts w:asciiTheme="majorBidi" w:hAnsiTheme="majorBidi"/>
          <w:color w:val="000000"/>
          <w:sz w:val="20"/>
          <w:szCs w:val="20"/>
        </w:rPr>
        <w:tab/>
        <w:t>Vastutav isik või levitaja ja süsteemis olevate andmete töötlemiseks volitatud isikud hoiavad kogu süsteemis olevate andmetega seotud teabe konfidentsiaalsena.</w:t>
      </w:r>
    </w:p>
    <w:p w14:paraId="348EB4E3"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12.</w:t>
      </w:r>
      <w:r w:rsidRPr="004E0DAC">
        <w:rPr>
          <w:rFonts w:asciiTheme="majorBidi" w:hAnsiTheme="majorBidi"/>
          <w:color w:val="000000"/>
          <w:sz w:val="20"/>
          <w:szCs w:val="20"/>
        </w:rPr>
        <w:t xml:space="preserve"> 1. Halduskeskus peab peasanitaarinspektorit teavitama igast teatest tõsise soovimatu mõju kohta. Asjakohane teave peab sisaldama artikli 9 lõikes 4 sätestatud andmeid ning kui vastutav isik või levitaja teatab tõsisest soovimatust mõjust, peab see sisaldama määruse (EÜ) nr 1223/2009 artikli 23 lõike 1 punktis c nimetatud andmeid.</w:t>
      </w:r>
    </w:p>
    <w:p w14:paraId="61BE3557"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Määruse (EÜ) nr 1223/2009 artikli 23 lõigetes 2–4 viidatud küsimuste puhul on pädevaks asutuseks peasanitaarinspektor.</w:t>
      </w:r>
    </w:p>
    <w:p w14:paraId="59113261"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13.</w:t>
      </w:r>
      <w:r w:rsidRPr="004E0DAC">
        <w:rPr>
          <w:rFonts w:asciiTheme="majorBidi" w:hAnsiTheme="majorBidi"/>
          <w:color w:val="000000"/>
          <w:sz w:val="20"/>
          <w:szCs w:val="20"/>
        </w:rPr>
        <w:t xml:space="preserve"> Tervishoiuminister nimetab 20. juuli 2018. aasta seaduse (kõrghariduse ja teaduse kohta) (seaduste kogu punktid 1668 ja 2024) artikli 7 lõikes 1 loetletud teadusasutuste hulgast vastava määruse abil ametisse halduskeskuse, võttes arvesse määruse (EÜ) nr 1223/2009 artikli 23 kohaste ülesannete täitmise tagamist.</w:t>
      </w:r>
    </w:p>
    <w:p w14:paraId="03C6A309" w14:textId="77777777" w:rsidR="000A62E1" w:rsidRPr="004E0DAC"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 peatükk</w:t>
      </w:r>
    </w:p>
    <w:p w14:paraId="7669440B" w14:textId="77777777" w:rsidR="000A62E1" w:rsidRPr="004E0DAC"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4E0DAC">
        <w:rPr>
          <w:rFonts w:asciiTheme="majorBidi" w:hAnsiTheme="majorBidi"/>
          <w:b/>
          <w:bCs/>
          <w:color w:val="000000"/>
          <w:sz w:val="20"/>
          <w:szCs w:val="20"/>
        </w:rPr>
        <w:t>Kosmeetikatoodete järelevalve</w:t>
      </w:r>
    </w:p>
    <w:p w14:paraId="3F64478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14.</w:t>
      </w:r>
      <w:r w:rsidRPr="004E0DAC">
        <w:rPr>
          <w:rFonts w:asciiTheme="majorBidi" w:hAnsiTheme="majorBidi"/>
          <w:color w:val="000000"/>
          <w:sz w:val="20"/>
          <w:szCs w:val="20"/>
        </w:rPr>
        <w:t xml:space="preserve"> Määruse (EÜ) nr 1223/2009 ja seaduse sätetele vastamise järelevalvet teevad oma pädevuse piires riikliku sanitaarinspektsiooni ja kaubandusinspektsiooni asutused.</w:t>
      </w:r>
    </w:p>
    <w:p w14:paraId="0519688E"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15.</w:t>
      </w:r>
      <w:r w:rsidRPr="004E0DAC">
        <w:rPr>
          <w:rFonts w:asciiTheme="majorBidi" w:hAnsiTheme="majorBidi"/>
          <w:color w:val="000000"/>
          <w:sz w:val="20"/>
          <w:szCs w:val="20"/>
        </w:rPr>
        <w:t xml:space="preserve"> 1. Määruse (EÜ) nr 1223/2009 artiklites 5–7 viidatud küsimuste puhul on pädevateks asutusteks riikliku sanitaarinspektsiooni asutused.</w:t>
      </w:r>
    </w:p>
    <w:p w14:paraId="3ACCC6E2"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Määruse (EÜ) nr 1223/2009 artiklites 6 ja 7 viidatud küsimuste puhul on pädevateks asutusteks kaubandusinspektsiooni asutused (oma pädevuse piires).</w:t>
      </w:r>
    </w:p>
    <w:p w14:paraId="5CF6A7E3"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16.</w:t>
      </w:r>
      <w:r w:rsidRPr="004E0DAC">
        <w:rPr>
          <w:rFonts w:asciiTheme="majorBidi" w:hAnsiTheme="majorBidi"/>
          <w:color w:val="000000"/>
          <w:sz w:val="20"/>
          <w:szCs w:val="20"/>
        </w:rPr>
        <w:t xml:space="preserve"> 1. Määruse (EÜ) nr 1223/2009 artikli 11 lõikes 2 nimetatud teabe ja andmete juurdepääsu vallas on pädevateks asutusteks riikliku sanitaarinspektsiooni asutused.</w:t>
      </w:r>
    </w:p>
    <w:p w14:paraId="7D939CD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Määruse (EÜ) nr 1223/2009 artikli 11 lõike 2 punktis d nimetatud teabe ja andmete juurdepääsu vallas on pädevateks asutusteks kaubandusinspektsiooni asutused (oma pädevuse piires).</w:t>
      </w:r>
    </w:p>
    <w:p w14:paraId="22F58541"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lastRenderedPageBreak/>
        <w:t>Artikkel 17.</w:t>
      </w:r>
      <w:r w:rsidRPr="004E0DAC">
        <w:rPr>
          <w:rFonts w:asciiTheme="majorBidi" w:hAnsiTheme="majorBidi"/>
          <w:color w:val="000000"/>
          <w:sz w:val="20"/>
          <w:szCs w:val="20"/>
        </w:rPr>
        <w:t xml:space="preserve"> Määruse (EÜ) nr 1223/2009 artikli 13 lõikes 5 viidatud pädevad asutused on</w:t>
      </w:r>
    </w:p>
    <w:p w14:paraId="4005E6A8"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peasanitaarinspektor,</w:t>
      </w:r>
    </w:p>
    <w:p w14:paraId="3D6E7EEB"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konkurentsi- ja tarbijakaitse ameti peadirektor,</w:t>
      </w:r>
    </w:p>
    <w:p w14:paraId="5307C693"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riiklik vojevoodkonna sanitaarinspektor,</w:t>
      </w:r>
    </w:p>
    <w:p w14:paraId="6C59E0FF"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riiklik piirisanitaarinspektor.</w:t>
      </w:r>
    </w:p>
    <w:p w14:paraId="4F19908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18.</w:t>
      </w:r>
      <w:r w:rsidRPr="004E0DAC">
        <w:rPr>
          <w:rFonts w:asciiTheme="majorBidi" w:hAnsiTheme="majorBidi"/>
          <w:color w:val="000000"/>
          <w:sz w:val="20"/>
          <w:szCs w:val="20"/>
        </w:rPr>
        <w:t xml:space="preserve"> 1. Juurdepääs määruse (EÜ) nr 1223/2009 artikli 13 lõigetes 1–3 nimetatud kosmeetilist toodet käsitlevale teabele (mille on avaldanud Euroopa Komisjon nimetatud määruse artikli 13 lõike 6 kohaselt) tuleb anda arstidele ja hambaarstidele, kelle eesmärk on pakkuda ravi. Juurdepääsu annab keskus, millel on luba sellele teabele juurde pääsemiseks.</w:t>
      </w:r>
    </w:p>
    <w:p w14:paraId="22CB12B8"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Keskus peab vastama järgmistele nõuetele:</w:t>
      </w:r>
    </w:p>
    <w:p w14:paraId="6399D7BC"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pakub meditsiinispetsialistidele toksikoloogilisi konsultatsioone;</w:t>
      </w:r>
    </w:p>
    <w:p w14:paraId="1FF63EA9"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analüüsib mürgistuste põhjuseid;</w:t>
      </w:r>
    </w:p>
    <w:p w14:paraId="44CE9A6F"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pääseb ligi ainete toksikoloogiliste omadustega seotud teaduslikele andmebaasidele;</w:t>
      </w:r>
    </w:p>
    <w:p w14:paraId="45076147"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omab telefoni ja elektroonilisi erakorralisi sidevahendeid.</w:t>
      </w:r>
    </w:p>
    <w:p w14:paraId="472BA92C"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Lõikes 1 nimetatud ülesannete rahastamine toimub tervishoiuministeeriumi hallatava riigi eelarve osa kaudu.</w:t>
      </w:r>
    </w:p>
    <w:p w14:paraId="7105E8A7"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Tervishoiuminister nimetab 20. juuli 2018. aasta seaduse (kõrghariduse ja teaduse kohta) artikli 7 lõikes 1 loetletud teadusasutuste hulgast või muude asutuste hulgast vastava määruse abil ametisse keskuse, võttes arvesse määruse (EÜ) nr 1223/2009 artikli 13 lõike 6 kohaste ülesannete täitmise tagamist.</w:t>
      </w:r>
    </w:p>
    <w:p w14:paraId="0ABB4F8C"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19.</w:t>
      </w:r>
      <w:r w:rsidRPr="004E0DAC">
        <w:rPr>
          <w:rFonts w:asciiTheme="majorBidi" w:hAnsiTheme="majorBidi"/>
          <w:color w:val="000000"/>
          <w:sz w:val="20"/>
          <w:szCs w:val="20"/>
        </w:rPr>
        <w:t xml:space="preserve"> Määruse (EÜ) nr 1223/2009 artikli 18 lõikes 2 viidatud erandi puhul on pädevaks asutuseks Euroopa Komisjon.</w:t>
      </w:r>
    </w:p>
    <w:p w14:paraId="4EE77185"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20.</w:t>
      </w:r>
      <w:r w:rsidRPr="004E0DAC">
        <w:rPr>
          <w:rFonts w:asciiTheme="majorBidi" w:hAnsiTheme="majorBidi"/>
          <w:color w:val="000000"/>
          <w:sz w:val="20"/>
          <w:szCs w:val="20"/>
        </w:rPr>
        <w:t xml:space="preserve"> 1. Peasanitaarinspektor koostab koostöös konkurentsi- ja tarbijakaitse ameti peadirektoriga aruande, mis hõlmab määruse (EÜ) nr 1223/2009 artiklis 22 viidatud järelevalvetegevuste korrapäraste ülevaatuste ja hindamiste tulemusi, ning esitab selle Euroopa Komisjonile ja Euroopa Liidu liikmesriikidele või Euroopa Vabakaubanduse Assotsiatsiooni (EFTA) riikidele, mis on Euroopa Majanduspiirkonna lepingu osalised.</w:t>
      </w:r>
    </w:p>
    <w:p w14:paraId="1FFAD5F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Peasanitaarinspektor peab lõikes 1 nimetatud aruande tegema kättesaadavaks oma veebisaidil avaliku teabe bülletäänis.</w:t>
      </w:r>
    </w:p>
    <w:p w14:paraId="74EFCFC7"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21.</w:t>
      </w:r>
      <w:r w:rsidRPr="004E0DAC">
        <w:rPr>
          <w:rFonts w:asciiTheme="majorBidi" w:hAnsiTheme="majorBidi"/>
          <w:color w:val="000000"/>
          <w:sz w:val="20"/>
          <w:szCs w:val="20"/>
        </w:rPr>
        <w:t xml:space="preserve"> 1. Määruse (EÜ) nr 1223/2009 artiklites 24, 27 ja 30 viidatud pädevaks asutuseks on peasanitaarinspektor.</w:t>
      </w:r>
    </w:p>
    <w:p w14:paraId="2F02FE14"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Peasanitaarinspektor võib nõuda, et vojevoodkonna, maakonna või piirisanitaarinspektor viiks määruse (EÜ) nr 1223/2009 artiklites 24, 27 ja 30 viidatud ulatuses ellu uurimise, mis on seotud Euroopa Liidu liikmesriikide või Euroopa Majanduspiirkonna lepingu allkirjastanud EFTA riikide pädevate asutuste vahelise koostööga.</w:t>
      </w:r>
    </w:p>
    <w:p w14:paraId="20DA179D"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22.</w:t>
      </w:r>
      <w:r w:rsidRPr="004E0DAC">
        <w:rPr>
          <w:rFonts w:asciiTheme="majorBidi" w:hAnsiTheme="majorBidi"/>
          <w:color w:val="000000"/>
          <w:sz w:val="20"/>
          <w:szCs w:val="20"/>
        </w:rPr>
        <w:t xml:space="preserve"> Määruse (EÜ) nr 1223/2009 artikli 25 lõigete 2 ja 4–6 sätete rakendamiseks peab maakonna sanitaarinspektorit võetud meetmetest teavitama peasanitaarinspektorit, kes teavitab omakorda Euroopa Komisjoni ja Euroopa Liidu liikmesriike või EFTA riike, mis on EMP lepingu osalisriigid.</w:t>
      </w:r>
    </w:p>
    <w:p w14:paraId="69C8AD69"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23.</w:t>
      </w:r>
      <w:r w:rsidRPr="004E0DAC">
        <w:rPr>
          <w:rFonts w:asciiTheme="majorBidi" w:hAnsiTheme="majorBidi"/>
          <w:color w:val="000000"/>
          <w:sz w:val="20"/>
          <w:szCs w:val="20"/>
        </w:rPr>
        <w:t xml:space="preserve"> Määruse (EÜ) nr 1223/2009 artikli 36 lõikes 1 viidatud harmoneeritud standarditele vastuväidete esitamise puhul on pädev asutus peasanitaarinspektor.</w:t>
      </w:r>
    </w:p>
    <w:p w14:paraId="52B18B02"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24.</w:t>
      </w:r>
      <w:r w:rsidRPr="004E0DAC">
        <w:rPr>
          <w:rFonts w:asciiTheme="majorBidi" w:hAnsiTheme="majorBidi"/>
          <w:color w:val="000000"/>
          <w:sz w:val="20"/>
          <w:szCs w:val="20"/>
        </w:rPr>
        <w:t xml:space="preserve"> 1. Riikliku sanitaarinspektsiooni asutused on pädevad täitma määruse (EÜ) nr 1223/2009 artiklites 25 ja 26 nimetatud ülesandeid.</w:t>
      </w:r>
    </w:p>
    <w:p w14:paraId="002E9AD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Kaubandusinspektsiooni asutused on oma pädevusala piires pädevad täitma määruse (EÜ) nr 1223/2009 artiklis 26 nimetatud ülesandeid.</w:t>
      </w:r>
    </w:p>
    <w:p w14:paraId="16F76FD8"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25.</w:t>
      </w:r>
      <w:r w:rsidRPr="004E0DAC">
        <w:rPr>
          <w:rFonts w:asciiTheme="majorBidi" w:hAnsiTheme="majorBidi"/>
          <w:color w:val="000000"/>
          <w:sz w:val="20"/>
          <w:szCs w:val="20"/>
        </w:rPr>
        <w:t xml:space="preserve"> 1. Järelevalve, millele artiklis 14 viidatakse, hõlmab määruses (EÜ) nr 1223/2009 ja seaduses sätestatud meetmete rakendamist ja tegevuste elluviimist, eeskätt kontrollimist, kosmeetikatoodetest proovide võtmist ning laboratoorsete kontrollide tegemist.</w:t>
      </w:r>
    </w:p>
    <w:p w14:paraId="2D8A725C"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Kosmeetikatoodetest võetakse katsete jaoks proove tasuta.</w:t>
      </w:r>
    </w:p>
    <w:p w14:paraId="335200CE"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Tervishoiuminister peab määruse abil sätestama kosmeetikatoodete ohutuse kontrollimise jaoks vajalikud kosmeetikatoodete näidiste märgistamise meetodid, võttes arvesse vajadust tagada tarbijate tervishoid ja ohutus, samuti teaduslikke ja tehnilisi teadmisi.</w:t>
      </w:r>
    </w:p>
    <w:p w14:paraId="6BF5B287" w14:textId="77777777" w:rsidR="000A62E1" w:rsidRPr="004E0DAC"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lastRenderedPageBreak/>
        <w:t>5. peatükk</w:t>
      </w:r>
    </w:p>
    <w:p w14:paraId="4BCEE120" w14:textId="77777777" w:rsidR="000A62E1" w:rsidRPr="004E0DAC"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4E0DAC">
        <w:rPr>
          <w:rFonts w:asciiTheme="majorBidi" w:hAnsiTheme="majorBidi"/>
          <w:b/>
          <w:bCs/>
          <w:color w:val="000000"/>
          <w:sz w:val="20"/>
          <w:szCs w:val="20"/>
        </w:rPr>
        <w:t>Rahatrahvid</w:t>
      </w:r>
    </w:p>
    <w:p w14:paraId="5A9F5AAC"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26.</w:t>
      </w:r>
      <w:r w:rsidRPr="004E0DAC">
        <w:rPr>
          <w:rFonts w:asciiTheme="majorBidi" w:hAnsiTheme="majorBidi"/>
          <w:color w:val="000000"/>
          <w:sz w:val="20"/>
          <w:szCs w:val="20"/>
        </w:rPr>
        <w:t xml:space="preserve"> 1. Heade tootmistavade põhimõtteid eirates kosmeetikatooteid tootnud poole suhtes kohaldatakse rahatrahvi, mille summa on kuni 50 000 Poola zlotti.</w:t>
      </w:r>
    </w:p>
    <w:p w14:paraId="2E664E5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Sellise vastutava isiku suhtes, kes ei taga, et kosmeetikatoode toodetakse heade tootmistavade põhimõtete kohaselt, kohaldatakse samasugust trahvi.</w:t>
      </w:r>
    </w:p>
    <w:p w14:paraId="25D8B2AE"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27.</w:t>
      </w:r>
      <w:r w:rsidRPr="004E0DAC">
        <w:rPr>
          <w:rFonts w:asciiTheme="majorBidi" w:hAnsiTheme="majorBidi"/>
          <w:color w:val="000000"/>
          <w:sz w:val="20"/>
          <w:szCs w:val="20"/>
        </w:rPr>
        <w:t xml:space="preserve"> Sellise poole suhtes, kes laseb turule kosmeetikatoote, mis ei vasta määruse (EÜ) nr 1223/2009 artiklis 10 nimetatud ohutushinnangu nõuetele, kohaldatakse rahatrahvi, mille summa on kuni 100 000 Poola zlotti.</w:t>
      </w:r>
    </w:p>
    <w:p w14:paraId="054B8AD7" w14:textId="77777777" w:rsidR="00ED6ABA" w:rsidRPr="004E0DAC" w:rsidRDefault="00ED6AB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28.</w:t>
      </w:r>
      <w:r w:rsidRPr="004E0DAC">
        <w:rPr>
          <w:rFonts w:asciiTheme="majorBidi" w:hAnsiTheme="majorBidi"/>
          <w:color w:val="000000"/>
          <w:sz w:val="20"/>
          <w:szCs w:val="20"/>
        </w:rPr>
        <w:t xml:space="preserve"> Sellise poole suhtes, kes ei täida määruse (EÜ) nr 1223/2009 artikli 5 lõigetes 2 ja 3 ning artikli 6 lõigetes 3–5 nimetatud kohustusi, kohaldatakse rahatrahvi, mille summa on kuni 50 000 Poola zlotti.</w:t>
      </w:r>
    </w:p>
    <w:p w14:paraId="3E1A147A"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29.</w:t>
      </w:r>
      <w:r w:rsidRPr="004E0DAC">
        <w:rPr>
          <w:rFonts w:asciiTheme="majorBidi" w:hAnsiTheme="majorBidi"/>
          <w:color w:val="000000"/>
          <w:sz w:val="20"/>
          <w:szCs w:val="20"/>
        </w:rPr>
        <w:t xml:space="preserve"> Sellise poole suhtes, kes ei täida määruse (EÜ) nr 1223/2009 artikli 11 lõikes 1 nimetatud toote andmiku säilitamise ajaga seotud kohustust, kohaldatakse rahatrahvi, mille summa on kuni 30 000 Poola zlotti.</w:t>
      </w:r>
    </w:p>
    <w:p w14:paraId="099052E8"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30.</w:t>
      </w:r>
      <w:r w:rsidRPr="004E0DAC">
        <w:rPr>
          <w:rFonts w:asciiTheme="majorBidi" w:hAnsiTheme="majorBidi"/>
          <w:color w:val="000000"/>
          <w:sz w:val="20"/>
          <w:szCs w:val="20"/>
        </w:rPr>
        <w:t xml:space="preserve"> Sellise poole suhtes, kes laseb turule kosmeetikatoote, mis ei vasta määruse (EÜ) nr 1223/2009 artikli 11 lõigetes 2–4 nimetatud toote andmiku nõuetele, kohaldatakse rahatrahvi, mille summa on kuni 100 000 Poola zlotti.</w:t>
      </w:r>
    </w:p>
    <w:p w14:paraId="00C945CF"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31.</w:t>
      </w:r>
      <w:r w:rsidRPr="004E0DAC">
        <w:rPr>
          <w:rFonts w:asciiTheme="majorBidi" w:hAnsiTheme="majorBidi"/>
          <w:color w:val="000000"/>
          <w:sz w:val="20"/>
          <w:szCs w:val="20"/>
        </w:rPr>
        <w:t xml:space="preserve"> Sellise poole suhtes, kes toodab kosmeetikatoote, ilma et ta oleks selle puhul täpsel ja reprodutseeritaval viisil proove võtnud ja analüüse teinud, nagu on kirjeldatud määruse (EÜ) nr 1223/2009 artiklis 12, kohaldatakse rahatrahvi, mille summa on kuni 10 000 Poola zlotti.</w:t>
      </w:r>
    </w:p>
    <w:p w14:paraId="4487BA2A"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32.</w:t>
      </w:r>
      <w:r w:rsidRPr="004E0DAC">
        <w:rPr>
          <w:rFonts w:asciiTheme="majorBidi" w:hAnsiTheme="majorBidi"/>
          <w:color w:val="000000"/>
          <w:sz w:val="20"/>
          <w:szCs w:val="20"/>
        </w:rPr>
        <w:t xml:space="preserve"> 1. Sellise poole suhtes, kes laseb turule kosmeetikatoote, mis ei vasta määruse (EÜ) nr 1223/2009 artikli 13 lõigetes 1–4 ja 7 ning artikli 16 lõikes 3 nimetatud teavitamise nõuetele, kohaldatakse rahatrahvi, mille summa on kuni 35 000 Poola zlotti.</w:t>
      </w:r>
    </w:p>
    <w:p w14:paraId="25FDBE4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Sellise poole suhtes, kes laseb turule kosmeetikatoote, mis ei vasta määruse (EÜ) nr 1223/2009 artikli 13 lõigetes 3 ja 4 nimetatud teavitamise nõuetele, kohaldatakse samasugust trahvi.</w:t>
      </w:r>
    </w:p>
    <w:p w14:paraId="127A0ACE"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33.</w:t>
      </w:r>
      <w:r w:rsidRPr="004E0DAC">
        <w:rPr>
          <w:rFonts w:asciiTheme="majorBidi" w:hAnsiTheme="majorBidi"/>
          <w:color w:val="000000"/>
          <w:sz w:val="20"/>
          <w:szCs w:val="20"/>
        </w:rPr>
        <w:t xml:space="preserve"> Sellise poole suhtes, kes laseb turule kosmeetikatoote, mis rikub määruse (EÜ) nr 1223/2009 artiklis 14, artikli 15 lõigetes 1 ja 2 ning artiklis 17 nimetatud ainete piiranguid, kohaldatakse rahatrahvi, mille summa on kuni 100 000 Poola zlotti.</w:t>
      </w:r>
    </w:p>
    <w:p w14:paraId="6EFD4638"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34.</w:t>
      </w:r>
      <w:r w:rsidRPr="004E0DAC">
        <w:rPr>
          <w:rFonts w:asciiTheme="majorBidi" w:hAnsiTheme="majorBidi"/>
          <w:color w:val="000000"/>
          <w:sz w:val="20"/>
          <w:szCs w:val="20"/>
        </w:rPr>
        <w:t xml:space="preserve"> Sellise poole suhtes, kes laseb turule kosmeetikatoote, mis rikub määruse (EÜ) nr 1223/2009 artikli 18 lõikes 1 nimetatud loomkatsete keeldu, kohaldatakse rahatrahvi, mille summa on kuni 30 000 Poola zlotti.</w:t>
      </w:r>
    </w:p>
    <w:p w14:paraId="057BB3D4"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35.</w:t>
      </w:r>
      <w:r w:rsidRPr="004E0DAC">
        <w:rPr>
          <w:rFonts w:asciiTheme="majorBidi" w:hAnsiTheme="majorBidi"/>
          <w:color w:val="000000"/>
          <w:sz w:val="20"/>
          <w:szCs w:val="20"/>
        </w:rPr>
        <w:t xml:space="preserve"> Sellise poole suhtes, kes teeb määruse (EÜ) nr 1223/2009 artikli 18 lõikele 1 vastavaid keelde eirates loomkatseid, kohaldatakse rahatrahvi, mille summa on kuni 100 000 Poola zlotti.</w:t>
      </w:r>
    </w:p>
    <w:p w14:paraId="75AE8BA0"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36.</w:t>
      </w:r>
      <w:r w:rsidRPr="004E0DAC">
        <w:rPr>
          <w:rFonts w:asciiTheme="majorBidi" w:hAnsiTheme="majorBidi"/>
          <w:color w:val="000000"/>
          <w:sz w:val="20"/>
          <w:szCs w:val="20"/>
        </w:rPr>
        <w:t xml:space="preserve"> 1. Sellise poole suhtes, kes laseb turule kosmeetikatoote, mis ei vasta määruse (EÜ) nr 1223/2009 artikli 19 lõigetes 1–3 ning lõigetes 5 ja 6 nimetatud märgistamise nõuetele, kohaldatakse rahatrahvi, mille summa on kuni 70 000 Poola zlotti.</w:t>
      </w:r>
    </w:p>
    <w:p w14:paraId="442F817F"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Sellise poole suhtes, kes laseb turule kosmeetikatoote, mis ei vasta artiklis 4 sätestatud nõuetele, kohaldatakse samasugust rahatrahvi.</w:t>
      </w:r>
    </w:p>
    <w:p w14:paraId="6D87AF17"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37.</w:t>
      </w:r>
      <w:r w:rsidRPr="004E0DAC">
        <w:rPr>
          <w:rFonts w:asciiTheme="majorBidi" w:hAnsiTheme="majorBidi"/>
          <w:color w:val="000000"/>
          <w:sz w:val="20"/>
          <w:szCs w:val="20"/>
        </w:rPr>
        <w:t xml:space="preserve"> Sellise poole suhtes, kes laseb turule kosmeetikatoote, mis ei vasta määruse (EÜ) nr 1223/2009 artikli 20 lõikes 1 või 3 nimetatud tootel olevate väidetega seotud nõuetele, kohaldatakse rahatrahvi, mille summa on kuni 20 000 Poola zlotti.</w:t>
      </w:r>
    </w:p>
    <w:p w14:paraId="0954E9EA"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38.</w:t>
      </w:r>
      <w:r w:rsidRPr="004E0DAC">
        <w:rPr>
          <w:rFonts w:asciiTheme="majorBidi" w:hAnsiTheme="majorBidi"/>
          <w:color w:val="000000"/>
          <w:sz w:val="20"/>
          <w:szCs w:val="20"/>
        </w:rPr>
        <w:t xml:space="preserve"> Sellise vastutava isiku suhtes, kes ei taga üldsusele juurdepääsu teabele, millele viidatakse määruse (EÜ) nr 1223/2009 artiklis 21, kohaldatakse rahatrahvi, mille summa on kuni 10 000 Poola zlotti.</w:t>
      </w:r>
    </w:p>
    <w:p w14:paraId="199E607F"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39.</w:t>
      </w:r>
      <w:r w:rsidRPr="004E0DAC">
        <w:rPr>
          <w:rFonts w:asciiTheme="majorBidi" w:hAnsiTheme="majorBidi"/>
          <w:color w:val="000000"/>
          <w:sz w:val="20"/>
          <w:szCs w:val="20"/>
        </w:rPr>
        <w:t xml:space="preserve"> Sellise vastutava isiku või levitaja suhtes, kes ei täida kohustust teavitada tõsisest soovimatust mõjust, millele on viidatud määruse (EÜ) nr 1223/2009 artikli 23 lõigetes 1–3, kohaldatakse rahatrahvi, mille summa on kuni 100 000 Poola zlotti.</w:t>
      </w:r>
    </w:p>
    <w:p w14:paraId="6BE89B3C"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40.</w:t>
      </w:r>
      <w:r w:rsidRPr="004E0DAC">
        <w:rPr>
          <w:rFonts w:asciiTheme="majorBidi" w:hAnsiTheme="majorBidi"/>
          <w:color w:val="000000"/>
          <w:sz w:val="20"/>
          <w:szCs w:val="20"/>
        </w:rPr>
        <w:t xml:space="preserve"> Sellise vastutava isiku suhtes, kes ei esita määruse (EÜ) nr 1223/2009 artikli 24 kohast nõutud teavet, kohaldatakse rahatrahvi, mille summa on kuni 20 000 Poola zlotti.</w:t>
      </w:r>
    </w:p>
    <w:p w14:paraId="5598485A"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41.</w:t>
      </w:r>
      <w:r w:rsidRPr="004E0DAC">
        <w:rPr>
          <w:rFonts w:asciiTheme="majorBidi" w:hAnsiTheme="majorBidi"/>
          <w:color w:val="000000"/>
          <w:sz w:val="20"/>
          <w:szCs w:val="20"/>
        </w:rPr>
        <w:t xml:space="preserve"> Sellise poole suhtes, kes laseb turule või teeb turul kättesaadavaks kosmeetikatoote pärast selle minimaalset säilimistähtaega, kohaldatakse rahatrahvi, mille summa on kuni 50 000 Poola zlotti.</w:t>
      </w:r>
    </w:p>
    <w:p w14:paraId="4E1C92C4"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42.</w:t>
      </w:r>
      <w:r w:rsidRPr="004E0DAC">
        <w:rPr>
          <w:rFonts w:asciiTheme="majorBidi" w:hAnsiTheme="majorBidi"/>
          <w:color w:val="000000"/>
          <w:sz w:val="20"/>
          <w:szCs w:val="20"/>
        </w:rPr>
        <w:t xml:space="preserve"> Sellise vastutava isiku suhtes, kes ei täida määruse (EÜ) nr 1223/2009 artikli 25 lõikes 3 nimetatud kohustusi, kohaldatakse rahatrahvi, mille summa on kuni 20 000 Poola zlotti.</w:t>
      </w:r>
    </w:p>
    <w:p w14:paraId="39373C86"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43.</w:t>
      </w:r>
      <w:r w:rsidRPr="004E0DAC">
        <w:rPr>
          <w:rFonts w:asciiTheme="majorBidi" w:hAnsiTheme="majorBidi"/>
          <w:color w:val="000000"/>
          <w:sz w:val="20"/>
          <w:szCs w:val="20"/>
        </w:rPr>
        <w:t xml:space="preserve"> 1. Sellise poole suhtes, kes toodab kosmeetikatoote, ilma et ta esitaks artikli 6 lõikes 2 nimetatud taotlusvormi või mille puhul on artikli 6 lõikes 4 nimetatud ajalimiit läbi saanud, kohaldatakse rahatrahvi, mille summa on kuni 50 000 Poola zlotti.</w:t>
      </w:r>
    </w:p>
    <w:p w14:paraId="1719B9EC"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Sellise poole suhtes, kes rikub artikli 6 lõikes 7 nimetatud kohustust, kohaldatakse samasugust trahvi.</w:t>
      </w:r>
    </w:p>
    <w:p w14:paraId="50FE5306"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lastRenderedPageBreak/>
        <w:t>Artikkel 44.</w:t>
      </w:r>
      <w:r w:rsidRPr="004E0DAC">
        <w:rPr>
          <w:rFonts w:asciiTheme="majorBidi" w:hAnsiTheme="majorBidi"/>
          <w:color w:val="000000"/>
          <w:sz w:val="20"/>
          <w:szCs w:val="20"/>
        </w:rPr>
        <w:t xml:space="preserve"> Sellise poole suhtes, kes ei täida määruse (EÜ) nr 1223/2009 artiklis 7 nimetatud kohustust, kohaldatakse rahatrahvi, mille summa on kuni 10 000 Poola zlotti.</w:t>
      </w:r>
    </w:p>
    <w:p w14:paraId="47C3E12D"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45.</w:t>
      </w:r>
      <w:r w:rsidRPr="004E0DAC">
        <w:rPr>
          <w:rFonts w:asciiTheme="majorBidi" w:hAnsiTheme="majorBidi"/>
          <w:color w:val="000000"/>
          <w:sz w:val="20"/>
          <w:szCs w:val="20"/>
        </w:rPr>
        <w:t xml:space="preserve"> Sellise vastutava isiku suhtes, kes ei täida artiklis 3 nimetatud kohustust, kohaldatakse rahatrahvi, mille summa on kuni 10 000 Poola zlotti.</w:t>
      </w:r>
    </w:p>
    <w:p w14:paraId="40A24693" w14:textId="77777777" w:rsidR="000A62E1" w:rsidRPr="004E0DAC"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 xml:space="preserve">Artikkel 46. </w:t>
      </w:r>
      <w:r w:rsidRPr="004E0DAC">
        <w:rPr>
          <w:rFonts w:asciiTheme="majorBidi" w:hAnsiTheme="majorBidi"/>
          <w:color w:val="000000"/>
          <w:sz w:val="20"/>
          <w:szCs w:val="20"/>
        </w:rPr>
        <w:t>1. Rahatrahvid, millele on viidatud</w:t>
      </w:r>
    </w:p>
    <w:p w14:paraId="2C7A5D54"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artiklites 26, 27, 29–35, 38–40, 42, 43 ja 45, kehtestatakse maakonna tasandi riikliku sanitaarinspektori otsusega;</w:t>
      </w:r>
    </w:p>
    <w:p w14:paraId="6D5B36E1"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artiklites 28, 36, 37, 41 ja 44, kehtestatakse vastavalt maakonna tasandi riikliku sanitaarinspektori või vojevoodkonna kaubandusinspektsiooni inspektori otsusega.</w:t>
      </w:r>
    </w:p>
    <w:p w14:paraId="5F554DFF"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Artiklites 26-45 kehtestatud trahvidega seotud tulud laekuvad riigieelarvesse.</w:t>
      </w:r>
    </w:p>
    <w:p w14:paraId="669E1E01" w14:textId="77777777" w:rsidR="000A62E1" w:rsidRPr="004E0DAC"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6. peatükk</w:t>
      </w:r>
    </w:p>
    <w:p w14:paraId="5AF1FB8E" w14:textId="77777777" w:rsidR="000A62E1" w:rsidRPr="004E0DAC"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Sätete muudatused</w:t>
      </w:r>
    </w:p>
    <w:p w14:paraId="104C65B5"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 xml:space="preserve">Artikkel 47. </w:t>
      </w:r>
      <w:r w:rsidRPr="004E0DAC">
        <w:rPr>
          <w:rFonts w:asciiTheme="majorBidi" w:hAnsiTheme="majorBidi"/>
          <w:color w:val="000000"/>
          <w:sz w:val="20"/>
          <w:szCs w:val="20"/>
        </w:rPr>
        <w:t>14. märtsi 1985. aasta seadust riikliku sanitaarinspektsiooni kohta (2017. aasta seaduste kogu punktid 1261 ja 2111; 2018. aasta seaduste kogu punktid 138, 650 ja 1490) muudetakse järgmiselt:</w:t>
      </w:r>
    </w:p>
    <w:p w14:paraId="5DE6928A"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artikli 1 punktis 6 asendatakse väljend „tarbekaubad“ väljendiga „kosmeetikatooted“;</w:t>
      </w:r>
    </w:p>
    <w:p w14:paraId="7190A467" w14:textId="77777777" w:rsidR="000A62E1" w:rsidRPr="004E0DAC"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artikli 4 lõikes 1:</w:t>
      </w:r>
    </w:p>
    <w:p w14:paraId="54FFEF50" w14:textId="77777777" w:rsidR="000A62E1" w:rsidRPr="004E0DAC"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a)</w:t>
      </w:r>
      <w:r w:rsidRPr="004E0DAC">
        <w:rPr>
          <w:rFonts w:asciiTheme="majorBidi" w:hAnsiTheme="majorBidi"/>
          <w:color w:val="000000"/>
          <w:sz w:val="20"/>
          <w:szCs w:val="20"/>
        </w:rPr>
        <w:tab/>
        <w:t>punkt 4 asendatakse järgmisega:</w:t>
      </w:r>
    </w:p>
    <w:p w14:paraId="798CBF7A" w14:textId="77777777" w:rsidR="000A62E1" w:rsidRPr="004E0DAC"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toiduga kokkupuutumiseks ettenähtud materjalide ja toodete, kosmeetikatoodete ja muude potentsiaalselt inimeste tervisele mõju avaldavate toodete tootmise ja levitamise tervishoiunõuded;“</w:t>
      </w:r>
    </w:p>
    <w:p w14:paraId="279AAF59" w14:textId="77777777" w:rsidR="000A62E1" w:rsidRPr="004E0DAC"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b)</w:t>
      </w:r>
      <w:r w:rsidRPr="004E0DAC">
        <w:rPr>
          <w:rFonts w:asciiTheme="majorBidi" w:hAnsiTheme="majorBidi"/>
          <w:color w:val="000000"/>
          <w:sz w:val="20"/>
          <w:szCs w:val="20"/>
        </w:rPr>
        <w:tab/>
        <w:t>pärast punkti 4 lisatakse punkt 4a järgmises sõnastuses:</w:t>
      </w:r>
    </w:p>
    <w:p w14:paraId="74459EE7" w14:textId="77777777" w:rsidR="000A62E1" w:rsidRPr="004E0DAC"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„4a)</w:t>
      </w:r>
      <w:r w:rsidRPr="004E0DAC">
        <w:rPr>
          <w:rFonts w:asciiTheme="majorBidi" w:hAnsiTheme="majorBidi"/>
          <w:color w:val="000000"/>
          <w:sz w:val="20"/>
          <w:szCs w:val="20"/>
        </w:rPr>
        <w:tab/>
        <w:t>4. oktoobri 2018. aasta seaduse (kosmeetikatoodete kohta) (seaduste kogu punkt 2227) ning Euroopa Parlamendi ja nõukogu 30. novembri 2009. aasta määruse (EÜ) nr 1223/2009 (kosmeetikatoodete kohta) (uuesti sõnastatud) (ELT L 342, 22.12.2009, lk 59, muudetud kujul</w:t>
      </w:r>
      <w:r w:rsidR="00346C9E" w:rsidRPr="004E0DAC">
        <w:rPr>
          <w:rStyle w:val="FootnoteReference"/>
          <w:rFonts w:asciiTheme="majorBidi" w:eastAsia="Times New Roman" w:hAnsiTheme="majorBidi" w:cstheme="majorBidi"/>
          <w:color w:val="000000"/>
          <w:sz w:val="20"/>
          <w:szCs w:val="20"/>
        </w:rPr>
        <w:footnoteReference w:id="5"/>
      </w:r>
      <w:r w:rsidRPr="004E0DAC">
        <w:rPr>
          <w:rFonts w:asciiTheme="majorBidi" w:hAnsiTheme="majorBidi"/>
          <w:color w:val="000000"/>
          <w:sz w:val="20"/>
          <w:szCs w:val="20"/>
          <w:vertAlign w:val="superscript"/>
        </w:rPr>
        <w:t>)</w:t>
      </w:r>
      <w:r w:rsidRPr="004E0DAC">
        <w:rPr>
          <w:rFonts w:asciiTheme="majorBidi" w:hAnsiTheme="majorBidi"/>
          <w:color w:val="000000"/>
          <w:sz w:val="20"/>
          <w:szCs w:val="20"/>
        </w:rPr>
        <w:t>) sätete kohaselt kõnealuse määruse artiklis 19 nimetatud korrakohase märgistamise kohustuse täitmise järelevalve;“;</w:t>
      </w:r>
    </w:p>
    <w:p w14:paraId="2DEDFF40" w14:textId="77777777" w:rsidR="000A62E1" w:rsidRPr="004E0DAC"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artikli 27 lõige 2 asendatakse järgmisega:</w:t>
      </w:r>
    </w:p>
    <w:p w14:paraId="1E66137E" w14:textId="77777777" w:rsidR="000A62E1" w:rsidRPr="004E0DAC"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 Kui lõikes 1 nimetatud nõuete rikkumine tekitab vahetu ohu inimeste elule või tervisele, peab riiklik sanitaarinspektor andma korralduse tehase või selle osa (töökoht, masin või muu seade) seiskamiseks, üldkasutatava rajatise sulgemiseks, transpordivahendi kasutuselt kõrvaldamiseks, toiduaine, toiduga kokkupuutumiseks ettenähtud toote või materjali, kosmeetikatoote või muu inimeste tervisele potentsiaalselt mõju avaldava toote turult kõrvaldamiseks või muid tegevusi ellu viima või lõpetama. Sellistel otsustel on kohene mõju.“;</w:t>
      </w:r>
    </w:p>
    <w:p w14:paraId="4D068910" w14:textId="77777777" w:rsidR="000A62E1" w:rsidRPr="004E0DAC"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4)</w:t>
      </w:r>
      <w:r w:rsidRPr="004E0DAC">
        <w:rPr>
          <w:rFonts w:asciiTheme="majorBidi" w:hAnsiTheme="majorBidi"/>
          <w:color w:val="000000"/>
          <w:sz w:val="20"/>
          <w:szCs w:val="20"/>
        </w:rPr>
        <w:tab/>
        <w:t>artikkel 29 asendatakse järgmisega:</w:t>
      </w:r>
    </w:p>
    <w:p w14:paraId="0EC4FECF" w14:textId="77777777" w:rsidR="000A62E1" w:rsidRPr="004E0DAC"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„Artikkel 29. Artiklites 27–28 viidatud juhtude puhul on riiklikel sanitaarinspektoritel õigus kaitsta ruume, transpordivahendeid, masinaid või muid seadmeid, toiduaineid, toiduainetega kokkupuutumiseks ette nähtud tooteid ja materjale, kosmeetikatooteid, puhastusaineid, keemilisi aineid ja segusid ning 25. veebruari 2011. aasta seadusele (keemiliste ainete ja nende segude kohta) vastavaid tooteid ning muid tooteid, mis võivad inimeste tervisele mõju avaldada. Kaitse menetluse puhul kohalduvad 17. juuni 1966. aasta seaduse (haldusasutuste rakendusmenetluste kohta) (2018. aasta seaduste kogu punktid 1314, 1356, 1499, 1629, 2192 ja 2193) sätted, kui konkreetsetes sätetes pole teisiti määratud.“;</w:t>
      </w:r>
    </w:p>
    <w:p w14:paraId="3670166E"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5)</w:t>
      </w:r>
      <w:r w:rsidRPr="004E0DAC">
        <w:rPr>
          <w:rFonts w:asciiTheme="majorBidi" w:hAnsiTheme="majorBidi"/>
          <w:color w:val="000000"/>
          <w:sz w:val="20"/>
          <w:szCs w:val="20"/>
        </w:rPr>
        <w:tab/>
        <w:t>artikli 36 lõikes 3 asendatakse väljend „kosmeetikavahendid“ väljendiga „kosmeetikatooted“.</w:t>
      </w:r>
    </w:p>
    <w:p w14:paraId="05193B87"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48.</w:t>
      </w:r>
      <w:r w:rsidRPr="004E0DAC">
        <w:rPr>
          <w:rFonts w:asciiTheme="majorBidi" w:hAnsiTheme="majorBidi"/>
          <w:color w:val="000000"/>
          <w:sz w:val="20"/>
          <w:szCs w:val="20"/>
        </w:rPr>
        <w:t xml:space="preserve"> 9. novembri 1995. aasta seaduses (tubaka ja tubakatoodete tarbimise tagajärgede eest tervise kaitsmise kohta) (2018. aasta seaduste kogu punkt 1446) asendatakse artikli 8 lõike 4 punktis 4 väljend „kosmeetikavahend“ väljendiga „kosmeetikatoode“.</w:t>
      </w:r>
    </w:p>
    <w:p w14:paraId="340D5B0C"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49.</w:t>
      </w:r>
      <w:r w:rsidRPr="004E0DAC">
        <w:rPr>
          <w:rFonts w:asciiTheme="majorBidi" w:hAnsiTheme="majorBidi"/>
          <w:color w:val="000000"/>
          <w:sz w:val="20"/>
          <w:szCs w:val="20"/>
        </w:rPr>
        <w:t xml:space="preserve"> 4. septembri 1997. aasta seaduses valitsusasutuste allüksuste kohta (2018. aasta seaduste kogu punkt 762, muudetud kujul</w:t>
      </w:r>
      <w:r w:rsidR="00346C9E" w:rsidRPr="004E0DAC">
        <w:rPr>
          <w:rStyle w:val="FootnoteReference"/>
          <w:rFonts w:asciiTheme="majorBidi" w:eastAsia="Times New Roman" w:hAnsiTheme="majorBidi" w:cstheme="majorBidi"/>
          <w:color w:val="000000"/>
          <w:sz w:val="20"/>
          <w:szCs w:val="20"/>
        </w:rPr>
        <w:footnoteReference w:id="6"/>
      </w:r>
      <w:r w:rsidRPr="004E0DAC">
        <w:rPr>
          <w:rFonts w:asciiTheme="majorBidi" w:hAnsiTheme="majorBidi"/>
          <w:color w:val="000000"/>
          <w:sz w:val="20"/>
          <w:szCs w:val="20"/>
          <w:vertAlign w:val="superscript"/>
        </w:rPr>
        <w:t>)</w:t>
      </w:r>
      <w:r w:rsidRPr="004E0DAC">
        <w:rPr>
          <w:rFonts w:asciiTheme="majorBidi" w:hAnsiTheme="majorBidi"/>
          <w:color w:val="000000"/>
          <w:sz w:val="20"/>
          <w:szCs w:val="20"/>
        </w:rPr>
        <w:t>) asendatakse artikli 33 lõike 1 punktis 2 väljend „kosmeetikavahendid“ väljendiga „kosmeetikatooted“.</w:t>
      </w:r>
    </w:p>
    <w:p w14:paraId="7F6AAD41"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lastRenderedPageBreak/>
        <w:t>Artikkel 50.</w:t>
      </w:r>
      <w:r w:rsidRPr="004E0DAC">
        <w:rPr>
          <w:rFonts w:asciiTheme="majorBidi" w:hAnsiTheme="majorBidi"/>
          <w:color w:val="000000"/>
          <w:sz w:val="20"/>
          <w:szCs w:val="20"/>
        </w:rPr>
        <w:t xml:space="preserve"> 10. septembri 1999. aasta maksukaristusseadustiku (2018. aasta seaduste kogu punktid 1958, 2192 ja 2193) artikli 31 lõikes 5 asendatakse väljend „kosmeetikavahendid“ väljendiga „kosmeetikatooted“.</w:t>
      </w:r>
    </w:p>
    <w:p w14:paraId="3A8584E9"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 xml:space="preserve">Artikkel 51. </w:t>
      </w:r>
      <w:r w:rsidRPr="004E0DAC">
        <w:rPr>
          <w:rFonts w:asciiTheme="majorBidi" w:hAnsiTheme="majorBidi"/>
          <w:color w:val="000000"/>
          <w:sz w:val="20"/>
          <w:szCs w:val="20"/>
        </w:rPr>
        <w:t>29. novembri 2000. aasta tuumaseaduse (2018. aasta seaduste kogu punktid 792 ja 1669) artikli 4 lõikes 2 asendatakse väljend „kosmeetikavahendid“ väljendiga „kosmeetikatooted“.</w:t>
      </w:r>
    </w:p>
    <w:p w14:paraId="2F48A082"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52.</w:t>
      </w:r>
      <w:r w:rsidRPr="004E0DAC">
        <w:rPr>
          <w:rFonts w:asciiTheme="majorBidi" w:hAnsiTheme="majorBidi"/>
          <w:color w:val="000000"/>
          <w:sz w:val="20"/>
          <w:szCs w:val="20"/>
        </w:rPr>
        <w:t xml:space="preserve"> 15. detsembri 2000. aasta kaubandusinspektsiooni seaduse (2018. aasta seaduste kogu punkt 1930) artikli 3 lõikes 1 lisatakse pärast alapunkti 2h alapunkt 2i:</w:t>
      </w:r>
    </w:p>
    <w:p w14:paraId="1042681B" w14:textId="77777777" w:rsidR="000A62E1" w:rsidRPr="004E0DAC" w:rsidRDefault="00AC5F6A" w:rsidP="00ED6ABA">
      <w:pPr>
        <w:spacing w:before="120"/>
        <w:ind w:left="504" w:right="72"/>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„2i)</w:t>
      </w:r>
      <w:r w:rsidRPr="004E0DAC">
        <w:rPr>
          <w:rFonts w:asciiTheme="majorBidi" w:hAnsiTheme="majorBidi"/>
          <w:color w:val="000000"/>
          <w:sz w:val="20"/>
          <w:szCs w:val="20"/>
        </w:rPr>
        <w:tab/>
        <w:t>selle järelevalve, kuidas levitajad kosmeetikatoodete kohaseid sätteid täidavad;“.</w:t>
      </w:r>
    </w:p>
    <w:p w14:paraId="5EA09538"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53.</w:t>
      </w:r>
      <w:r w:rsidRPr="004E0DAC">
        <w:rPr>
          <w:rFonts w:asciiTheme="majorBidi" w:hAnsiTheme="majorBidi"/>
          <w:color w:val="000000"/>
          <w:sz w:val="20"/>
          <w:szCs w:val="20"/>
        </w:rPr>
        <w:t xml:space="preserve"> 22. juuni 2001. aasta seaduses mikroorganismide ja geneetiliselt muundatud organismide kohta (2017. aasta seaduste kogu punkt 2134 ja 2018. aasta seaduste kogu punktid 810 ja 1669) artikli 15s lõike 4 punktis h asendatakse väljend „kosmeetikavahendid“ väljendiga „kosmeetikatooted“.</w:t>
      </w:r>
    </w:p>
    <w:p w14:paraId="51897523"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54.</w:t>
      </w:r>
      <w:r w:rsidRPr="004E0DAC">
        <w:rPr>
          <w:rFonts w:asciiTheme="majorBidi" w:hAnsiTheme="majorBidi"/>
          <w:color w:val="000000"/>
          <w:sz w:val="20"/>
          <w:szCs w:val="20"/>
        </w:rPr>
        <w:t xml:space="preserve"> 6. septembri 2001. aasta seadust meditsiinitoodete kohta (2017. aasta seaduste kogu punkt 2211 (muudetud kujul</w:t>
      </w:r>
      <w:r w:rsidR="00346C9E" w:rsidRPr="004E0DAC">
        <w:rPr>
          <w:rStyle w:val="FootnoteReference"/>
          <w:rFonts w:asciiTheme="majorBidi" w:eastAsia="Times New Roman" w:hAnsiTheme="majorBidi" w:cstheme="majorBidi"/>
          <w:color w:val="000000"/>
          <w:sz w:val="20"/>
          <w:szCs w:val="20"/>
        </w:rPr>
        <w:footnoteReference w:id="7"/>
      </w:r>
      <w:r w:rsidRPr="004E0DAC">
        <w:rPr>
          <w:rFonts w:asciiTheme="majorBidi" w:hAnsiTheme="majorBidi"/>
          <w:color w:val="000000"/>
          <w:sz w:val="20"/>
          <w:szCs w:val="20"/>
          <w:vertAlign w:val="superscript"/>
        </w:rPr>
        <w:t>)</w:t>
      </w:r>
      <w:r w:rsidRPr="004E0DAC">
        <w:rPr>
          <w:rFonts w:asciiTheme="majorBidi" w:hAnsiTheme="majorBidi"/>
          <w:color w:val="000000"/>
          <w:sz w:val="20"/>
          <w:szCs w:val="20"/>
        </w:rPr>
        <w:t>) muudetakse järgmiselt:</w:t>
      </w:r>
    </w:p>
    <w:p w14:paraId="215F99DB"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artiklis 3a asendatakse väljend „kosmeetikavahend“ väljendiga „kosmeetikatoode“;</w:t>
      </w:r>
    </w:p>
    <w:p w14:paraId="6B9E2DBD"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artikli 55 lõike 2 punkti 1 alapunktis d asendatakse väljend „kosmeetikavahend“ väljendiga „kosmeetikatooted“;</w:t>
      </w:r>
    </w:p>
    <w:p w14:paraId="2E4D9AEE" w14:textId="77777777" w:rsidR="000A62E1" w:rsidRPr="004E0DAC"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artikli 72 lõike 5 punkt 3 asendatakse järgmisega:</w:t>
      </w:r>
    </w:p>
    <w:p w14:paraId="723D6C42" w14:textId="77777777" w:rsidR="000A62E1" w:rsidRPr="004E0DAC"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„3)</w:t>
      </w:r>
      <w:r w:rsidRPr="004E0DAC">
        <w:rPr>
          <w:rFonts w:asciiTheme="majorBidi" w:hAnsiTheme="majorBidi"/>
          <w:color w:val="000000"/>
          <w:sz w:val="20"/>
          <w:szCs w:val="20"/>
        </w:rPr>
        <w:tab/>
        <w:t>kosmeetikatooted Euroopa Parlamendi ja nõukogu 30. novembri 2009. aasta määruse (EÜ) nr 1223/2009 (kosmeetikatoodete kohta) (uuesti sõnastatud) (ELT L 342, 22.12.2009, lk 59, muudetud kujul</w:t>
      </w:r>
      <w:r w:rsidR="00346C9E" w:rsidRPr="004E0DAC">
        <w:rPr>
          <w:rStyle w:val="FootnoteReference"/>
          <w:rFonts w:asciiTheme="majorBidi" w:eastAsia="Times New Roman" w:hAnsiTheme="majorBidi" w:cstheme="majorBidi"/>
          <w:color w:val="000000"/>
          <w:sz w:val="20"/>
          <w:szCs w:val="20"/>
        </w:rPr>
        <w:footnoteReference w:id="8"/>
      </w:r>
      <w:r w:rsidRPr="004E0DAC">
        <w:rPr>
          <w:rFonts w:asciiTheme="majorBidi" w:hAnsiTheme="majorBidi"/>
          <w:color w:val="000000"/>
          <w:sz w:val="20"/>
          <w:szCs w:val="20"/>
          <w:vertAlign w:val="superscript"/>
        </w:rPr>
        <w:t>)</w:t>
      </w:r>
      <w:r w:rsidRPr="004E0DAC">
        <w:rPr>
          <w:rFonts w:asciiTheme="majorBidi" w:hAnsiTheme="majorBidi"/>
          <w:color w:val="000000"/>
          <w:sz w:val="20"/>
          <w:szCs w:val="20"/>
        </w:rPr>
        <w:t>) artikli 2 lõike 1 punkti a tähenduses, välja arvatud kosmeetikatooted, mis on mõeldud lõhnastamiseks või kaunistamiseks,“.</w:t>
      </w:r>
    </w:p>
    <w:p w14:paraId="396F0AFA"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55.</w:t>
      </w:r>
      <w:r w:rsidRPr="004E0DAC">
        <w:rPr>
          <w:rFonts w:asciiTheme="majorBidi" w:hAnsiTheme="majorBidi"/>
          <w:color w:val="000000"/>
          <w:sz w:val="20"/>
          <w:szCs w:val="20"/>
        </w:rPr>
        <w:t xml:space="preserve"> 19. märtsi 2004. aasta tolliseaduse (2018. aasta seaduste kogu punktid 167, 1544, 1669 ja 1697) artikli 31 lõikes 5 asendatakse väljend „kosmeetikavahendid“ väljendiga „kosmeetikatooted“.</w:t>
      </w:r>
    </w:p>
    <w:p w14:paraId="7404DAFB"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56.</w:t>
      </w:r>
      <w:r w:rsidRPr="004E0DAC">
        <w:rPr>
          <w:rFonts w:asciiTheme="majorBidi" w:hAnsiTheme="majorBidi"/>
          <w:color w:val="000000"/>
          <w:sz w:val="20"/>
          <w:szCs w:val="20"/>
        </w:rPr>
        <w:t xml:space="preserve"> 25. augusti 2006. aasta seaduses toidu ja toitumise ohutuse kohta (2018. aasta seaduste kogu punktid 1541, 1669 ja 2136) asendatakse artikli 30 lõike 1 punktis 2 väljend „kosmeetikavahend kosmeetikavahendite sätete tähenduses“ väljendiga „kosmeetikatoode kosmeetikatoodete sätete tähenduses“.</w:t>
      </w:r>
    </w:p>
    <w:p w14:paraId="7951B7EE"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b/>
          <w:bCs/>
          <w:color w:val="000000"/>
          <w:sz w:val="20"/>
          <w:szCs w:val="20"/>
        </w:rPr>
        <w:t>Artikkel 57.</w:t>
      </w:r>
      <w:r w:rsidRPr="004E0DAC">
        <w:rPr>
          <w:rFonts w:asciiTheme="majorBidi" w:hAnsiTheme="majorBidi"/>
          <w:color w:val="000000"/>
          <w:sz w:val="20"/>
          <w:szCs w:val="20"/>
        </w:rPr>
        <w:t xml:space="preserve"> 6. detsembri 2008. aasta aktsiisimaksu seaduse (2018. aasta seaduste kogu punktid 1114, 1039, 1356, 1629 ja 1697) artikli 7c lõike 2 punktis 1 asendatakse väljend „kosmeetikavahendid“ väljendiga „kosmeetikatooted“.</w:t>
      </w:r>
    </w:p>
    <w:p w14:paraId="52F7C0A4" w14:textId="77777777" w:rsidR="000A62E1" w:rsidRPr="004E0DAC"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 xml:space="preserve">Artikkel 58. </w:t>
      </w:r>
      <w:r w:rsidRPr="004E0DAC">
        <w:rPr>
          <w:rFonts w:asciiTheme="majorBidi" w:hAnsiTheme="majorBidi"/>
          <w:color w:val="000000"/>
          <w:sz w:val="20"/>
          <w:szCs w:val="20"/>
        </w:rPr>
        <w:t>25. veebruari 2011. aasta seadust keemiliste ainete ja nende segude kohta (2018. aasta seaduste kogu punktid 143 ja 1637) muudetakse järgmiselt:</w:t>
      </w:r>
    </w:p>
    <w:p w14:paraId="05A644B9"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1)</w:t>
      </w:r>
      <w:r w:rsidRPr="004E0DAC">
        <w:rPr>
          <w:rFonts w:asciiTheme="majorBidi" w:hAnsiTheme="majorBidi"/>
          <w:color w:val="000000"/>
          <w:sz w:val="20"/>
          <w:szCs w:val="20"/>
        </w:rPr>
        <w:tab/>
        <w:t>artikli 1 lõike 4 punkti 3 alapunktis e asendatakse väljend „kosmeetikavahendid kosmeetikavahendite sätete tähenduses“ väljendiga „kosmeetikatooted kosmeetikatoodete sätete tähenduses“;</w:t>
      </w:r>
    </w:p>
    <w:p w14:paraId="56A72B52" w14:textId="77777777" w:rsidR="000A62E1" w:rsidRPr="004E0DAC"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2)</w:t>
      </w:r>
      <w:r w:rsidRPr="004E0DAC">
        <w:rPr>
          <w:rFonts w:asciiTheme="majorBidi" w:hAnsiTheme="majorBidi"/>
          <w:color w:val="000000"/>
          <w:sz w:val="20"/>
          <w:szCs w:val="20"/>
        </w:rPr>
        <w:tab/>
        <w:t>artikli 22 lõike 1 punkti 5 alapunktis b asendatakse väljend „kosmeetikavahend“ väljendiga „kosmeetikatooted“.</w:t>
      </w:r>
    </w:p>
    <w:p w14:paraId="6635D8E1" w14:textId="77777777" w:rsidR="000A62E1" w:rsidRPr="004E0DAC"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t>7. peatükk</w:t>
      </w:r>
    </w:p>
    <w:p w14:paraId="3ACE25C0" w14:textId="77777777" w:rsidR="000A62E1" w:rsidRPr="004E0DAC"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4E0DAC">
        <w:rPr>
          <w:rFonts w:asciiTheme="majorBidi" w:hAnsiTheme="majorBidi"/>
          <w:b/>
          <w:bCs/>
          <w:color w:val="000000"/>
          <w:sz w:val="20"/>
          <w:szCs w:val="20"/>
        </w:rPr>
        <w:t>Kohandus-, ülemineku- ja lõppsätted</w:t>
      </w:r>
    </w:p>
    <w:p w14:paraId="118B13D0" w14:textId="77777777" w:rsidR="000A62E1" w:rsidRPr="004E0DAC"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 xml:space="preserve">Artikkel 59. </w:t>
      </w:r>
      <w:r w:rsidRPr="004E0DAC">
        <w:rPr>
          <w:rFonts w:asciiTheme="majorBidi" w:hAnsiTheme="majorBidi"/>
          <w:color w:val="000000"/>
          <w:sz w:val="20"/>
          <w:szCs w:val="20"/>
        </w:rPr>
        <w:t>Vastutaval isikul on kohustus kohandada üheksa kuu jooksul alates selle seaduse jõustumisest määruse (EÜ) nr 1223/2009 artikli 11 lõikes 2 nimetatud toote andmikku, et see vastaks artiklis 3 sätestatud nõuetele.</w:t>
      </w:r>
    </w:p>
    <w:p w14:paraId="1F83DCF8" w14:textId="77777777" w:rsidR="000A62E1" w:rsidRPr="004E0DAC"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 xml:space="preserve">Artikkel 60. </w:t>
      </w:r>
      <w:r w:rsidRPr="004E0DAC">
        <w:rPr>
          <w:rFonts w:asciiTheme="majorBidi" w:hAnsiTheme="majorBidi"/>
          <w:color w:val="000000"/>
          <w:sz w:val="20"/>
          <w:szCs w:val="20"/>
        </w:rPr>
        <w:t>Peasanitaarinspektor peab koostöös konkurentsi- ja tarbijakaitseameti peadirektoriga koostama esimese artikli 20 lõikes 1 viidatud aruande ning esitama selle Euroopa Komisjonile ja Euroopa Liidu liikmesriikidele või EFTA riikidele, mis on EMP lepingu osalisriigid, ja tegema selle kahe aasta jooksul alates selle seaduse jõustumise kuupäevast kättesaadavaks peasanitaarinspektori veebisaidil avaliku teabe bülletäänis.</w:t>
      </w:r>
    </w:p>
    <w:p w14:paraId="20C0D7BC" w14:textId="77777777" w:rsidR="000A62E1" w:rsidRPr="004E0DAC"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 xml:space="preserve">Artikkel 61. </w:t>
      </w:r>
      <w:r w:rsidRPr="004E0DAC">
        <w:rPr>
          <w:rFonts w:asciiTheme="majorBidi" w:hAnsiTheme="majorBidi"/>
          <w:color w:val="000000"/>
          <w:sz w:val="20"/>
          <w:szCs w:val="20"/>
        </w:rPr>
        <w:t>Selle seaduse jõustumise päeval kosmeetikatoodete toomisega seotuga tegelevad tootjad peavad üheksa kuu jooksul alates selle seaduse jõustumise kuupäevast taotlema oma tehase lisamist kosmeetikatooteid tootvate tehaste nimekirja.</w:t>
      </w:r>
    </w:p>
    <w:p w14:paraId="2120FF45" w14:textId="77777777" w:rsidR="000A62E1" w:rsidRPr="004E0DAC"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 xml:space="preserve">Artikkel 62. </w:t>
      </w:r>
      <w:r w:rsidRPr="004E0DAC">
        <w:rPr>
          <w:rFonts w:asciiTheme="majorBidi" w:hAnsiTheme="majorBidi"/>
          <w:color w:val="000000"/>
          <w:sz w:val="20"/>
          <w:szCs w:val="20"/>
        </w:rPr>
        <w:t>1. Turule lastud kosmeetikavahendite riikliku infosüsteemi, mida hallatakse artikliga 64 kehtetuks tunnistatava seaduse artikli 8 alusel, tegevus lõpetatakse.</w:t>
      </w:r>
    </w:p>
    <w:p w14:paraId="09EDC7D8" w14:textId="77777777" w:rsidR="000A62E1" w:rsidRPr="004E0DAC"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4E0DAC">
        <w:rPr>
          <w:rFonts w:asciiTheme="majorBidi" w:hAnsiTheme="majorBidi"/>
          <w:color w:val="000000"/>
          <w:sz w:val="20"/>
          <w:szCs w:val="20"/>
        </w:rPr>
        <w:lastRenderedPageBreak/>
        <w:t>2.</w:t>
      </w:r>
      <w:r w:rsidRPr="004E0DAC">
        <w:rPr>
          <w:rFonts w:asciiTheme="majorBidi" w:hAnsiTheme="majorBidi"/>
          <w:color w:val="000000"/>
          <w:sz w:val="20"/>
          <w:szCs w:val="20"/>
        </w:rPr>
        <w:tab/>
        <w:t>Andmeid, mis koguti enne selle seaduse jõustumist turule lastud kosmeetikavahendite riiklikku infosüsteemi, mida hallatakse artikliga 64 kehtetuks tunnistatava seaduse artikli 8 alusel, säilitatakse kuni 11. juulini 2020; uusi andmeid süsteemi ei koguta.</w:t>
      </w:r>
    </w:p>
    <w:p w14:paraId="021871C7" w14:textId="77777777" w:rsidR="000A62E1" w:rsidRPr="004E0DAC"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 xml:space="preserve">Artikkel 63. </w:t>
      </w:r>
      <w:r w:rsidRPr="004E0DAC">
        <w:rPr>
          <w:rFonts w:asciiTheme="majorBidi" w:hAnsiTheme="majorBidi"/>
          <w:color w:val="000000"/>
          <w:sz w:val="20"/>
          <w:szCs w:val="20"/>
        </w:rPr>
        <w:t>Artikliga 64 tühistatava seaduse artikli 13 lõike 3 alusel seni jõus olnud rakenduseeskirjad jäävad kehtima päevani, mil jõustuvad artikli 25 lõikele 3 vastavad rakenduseeskirjad, kuid mitte kauemaks kui 12 kuud pärast selle seaduse jõustumise kuupäeva.</w:t>
      </w:r>
    </w:p>
    <w:p w14:paraId="7ED19DA1" w14:textId="77777777" w:rsidR="000A62E1" w:rsidRPr="004E0DAC"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4E0DAC">
        <w:rPr>
          <w:rFonts w:asciiTheme="majorBidi" w:hAnsiTheme="majorBidi"/>
          <w:b/>
          <w:color w:val="000000"/>
          <w:sz w:val="20"/>
          <w:szCs w:val="20"/>
        </w:rPr>
        <w:t xml:space="preserve">Artikkel 64. </w:t>
      </w:r>
      <w:r w:rsidRPr="004E0DAC">
        <w:rPr>
          <w:rFonts w:asciiTheme="majorBidi" w:hAnsiTheme="majorBidi"/>
          <w:color w:val="000000"/>
          <w:sz w:val="20"/>
          <w:szCs w:val="20"/>
        </w:rPr>
        <w:t>30. märtsi 2001. aasta seadus kosmeetikavahendite kohta (2013. aasta seaduste kogu punkt 475; 2018. aasta seaduste kogu punktid 650 ja 1669) tunnistatakse kehtetuks.</w:t>
      </w:r>
    </w:p>
    <w:p w14:paraId="4A992E7D" w14:textId="77777777" w:rsidR="000A62E1" w:rsidRPr="004E0DAC"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sidRPr="004E0DAC">
        <w:rPr>
          <w:rFonts w:asciiTheme="majorBidi" w:hAnsiTheme="majorBidi"/>
          <w:b/>
          <w:color w:val="000000"/>
          <w:sz w:val="20"/>
          <w:szCs w:val="20"/>
        </w:rPr>
        <w:t xml:space="preserve">Artikkel 65. </w:t>
      </w:r>
      <w:r w:rsidRPr="004E0DAC">
        <w:rPr>
          <w:rFonts w:asciiTheme="majorBidi" w:hAnsiTheme="majorBidi"/>
          <w:color w:val="000000"/>
          <w:sz w:val="20"/>
          <w:szCs w:val="20"/>
        </w:rPr>
        <w:t>See seadus jõustub 1. jaanuaril 2019, välja arvatud artikli 62 lõige 1, mis jõustub 12. juulil 2020.</w:t>
      </w:r>
    </w:p>
    <w:p w14:paraId="71994BB2" w14:textId="77777777" w:rsidR="00346C9E" w:rsidRPr="004E0DAC"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14:paraId="20F9E726" w14:textId="77777777" w:rsidR="000A62E1" w:rsidRPr="004E0DAC" w:rsidRDefault="00ED6ABA" w:rsidP="00346C9E">
      <w:pPr>
        <w:spacing w:before="120"/>
        <w:jc w:val="right"/>
        <w:textAlignment w:val="baseline"/>
        <w:rPr>
          <w:rFonts w:asciiTheme="majorBidi" w:eastAsiaTheme="minorEastAsia" w:hAnsiTheme="majorBidi" w:cstheme="majorBidi"/>
          <w:sz w:val="20"/>
          <w:szCs w:val="20"/>
        </w:rPr>
      </w:pPr>
      <w:r w:rsidRPr="004E0DAC">
        <w:rPr>
          <w:rFonts w:asciiTheme="majorBidi" w:hAnsiTheme="majorBidi"/>
          <w:color w:val="000000"/>
          <w:sz w:val="20"/>
          <w:szCs w:val="20"/>
        </w:rPr>
        <w:t xml:space="preserve">Poola Vabariigi president: </w:t>
      </w:r>
      <w:r w:rsidRPr="004E0DAC">
        <w:rPr>
          <w:rFonts w:asciiTheme="majorBidi" w:hAnsiTheme="majorBidi"/>
          <w:i/>
          <w:color w:val="000000"/>
          <w:sz w:val="20"/>
          <w:szCs w:val="20"/>
        </w:rPr>
        <w:t>A. Duda</w:t>
      </w:r>
    </w:p>
    <w:sectPr w:rsidR="000A62E1" w:rsidRPr="004E0DAC"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18011" w14:textId="77777777" w:rsidR="00100D87" w:rsidRDefault="00100D87" w:rsidP="008578F9">
      <w:r>
        <w:separator/>
      </w:r>
    </w:p>
  </w:endnote>
  <w:endnote w:type="continuationSeparator" w:id="0">
    <w:p w14:paraId="4C5E765E" w14:textId="77777777" w:rsidR="00100D87" w:rsidRDefault="00100D87"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FB7FF" w14:textId="77777777" w:rsidR="00100D87" w:rsidRDefault="00100D87" w:rsidP="008578F9">
      <w:r>
        <w:separator/>
      </w:r>
    </w:p>
  </w:footnote>
  <w:footnote w:type="continuationSeparator" w:id="0">
    <w:p w14:paraId="0C4F5AC0" w14:textId="77777777" w:rsidR="00100D87" w:rsidRDefault="00100D87" w:rsidP="008578F9">
      <w:r>
        <w:continuationSeparator/>
      </w:r>
    </w:p>
  </w:footnote>
  <w:footnote w:id="1">
    <w:p w14:paraId="4C630FE3" w14:textId="77777777" w:rsidR="00247C0C" w:rsidRPr="00C42B42" w:rsidRDefault="00247C0C" w:rsidP="00B20F31">
      <w:pPr>
        <w:pStyle w:val="FootnoteText"/>
        <w:ind w:left="308" w:hanging="280"/>
        <w:jc w:val="both"/>
        <w:rPr>
          <w:rFonts w:eastAsiaTheme="minorEastAsia"/>
          <w:sz w:val="16"/>
          <w:szCs w:val="16"/>
        </w:rPr>
      </w:pPr>
      <w:r>
        <w:rPr>
          <w:rStyle w:val="FootnoteReference"/>
          <w:sz w:val="16"/>
          <w:szCs w:val="16"/>
        </w:rPr>
        <w:footnoteRef/>
      </w:r>
      <w:r>
        <w:rPr>
          <w:sz w:val="16"/>
          <w:szCs w:val="16"/>
        </w:rPr>
        <w:t>)</w:t>
      </w:r>
      <w:r>
        <w:rPr>
          <w:sz w:val="16"/>
          <w:szCs w:val="16"/>
        </w:rPr>
        <w:tab/>
      </w:r>
      <w:r>
        <w:rPr>
          <w:rFonts w:asciiTheme="majorBidi" w:hAnsiTheme="majorBidi"/>
          <w:color w:val="000000"/>
          <w:sz w:val="16"/>
          <w:szCs w:val="16"/>
        </w:rPr>
        <w:t>Euroopa Komisjoni teavitati sellest seadusest 30. aprillil 2018 teatisega nr 2018/0186/PL kooskõlas ministrite nõukogu 23. detsembri 2002. aasta määruse (standarditest ja õigusaktidest teavitamise riikliku süsteemi toimimise kohta) paragrahviga 4 (Poola seaduste kogu (</w:t>
      </w:r>
      <w:r>
        <w:rPr>
          <w:rFonts w:asciiTheme="majorBidi" w:hAnsiTheme="majorBidi"/>
          <w:i/>
          <w:iCs/>
          <w:color w:val="000000"/>
          <w:sz w:val="16"/>
          <w:szCs w:val="16"/>
        </w:rPr>
        <w:t>Dziennik Ustaw</w:t>
      </w:r>
      <w:r>
        <w:rPr>
          <w:rFonts w:asciiTheme="majorBidi" w:hAnsiTheme="majorBidi"/>
          <w:color w:val="000000"/>
          <w:sz w:val="16"/>
          <w:szCs w:val="16"/>
        </w:rPr>
        <w:t>) punkt 2039 ja 2004. aasta seaduste kogu punkt 597), millega rakendatakse Euroopa Parlamendi ja nõukogu 9. septembri 2015. aasta direktiivi (EL) 2015/1535 (millega nähakse ette tehnilistest standarditest ja eeskirjadest ning infoühiskonna teenuste eeskirjadest teatamise kord (kodifitseeritud tekst)) (ELT L 241, 17.9.2015, lk 1) sätteid.</w:t>
      </w:r>
    </w:p>
  </w:footnote>
  <w:footnote w:id="2">
    <w:p w14:paraId="0F655E6B" w14:textId="2F9CC3B5" w:rsidR="00247C0C" w:rsidRPr="00C42B42" w:rsidRDefault="00247C0C" w:rsidP="00B20F31">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Selle seaduse eesmärk on kohaldada Euroopa Parlamendi ja nõukogu 30. novembri 2009. aasta määrust (EÜ) nr 1223/2009 kosmeetikatoodete kohta (uuesti sõnastatud) (ELT L 342, 22.12.2009, lk 59, ELT L 114, 25.4.2013, lk 1, ELT L 139, 25.5.2013, lk 8, ELT L 190, 11.7.2013, lk 38, ELT L 315, 26.11.2013, lk 34, ELT L 107, 10.4.2014, lk 5, ELT L 238, 9.8.2014, lk 3, ELT L 254, 28.8.2014, lk 39, ELT L 282, 26.9.2014, lk 1, ELT L 282, 26.9.2014, lk 5, ELT L 193, 21.7.2015, lk 115, ELT L 199, 29.7.2015, lk 22, ELT L 60, 5.3.2016, lk 59, ELT L 106, 22.4.2016, lk 4, ELT L 106, 22.4.2016, lk 7, ELT L 187, 12.7.2016, lk 1, ELT L 187, 12.7.2016, lk 4, ELT L 189, 14.7.2016, lk 40, ELT L 198, 23.7.2016, lk 10, ELT L 17, 21.1.2017, lk 52, ELT L 36, 11.2.2017, lk 12, ELT L 36, 11.2.2017, lk 37, ELT L 117, 5.5.2017, lk 1, ELT L 174, 7.7.2017, lk 16, ELT L 202, 3.8.2017, lk 1, ELT L 203, 4.8.2017, lk </w:t>
      </w:r>
      <w:r w:rsidR="00F50E5F">
        <w:rPr>
          <w:rFonts w:asciiTheme="majorBidi" w:hAnsiTheme="majorBidi"/>
          <w:color w:val="000000"/>
          <w:sz w:val="16"/>
          <w:szCs w:val="16"/>
        </w:rPr>
        <w:t>1, ELT L 319, 5.12.2017, lk 2,</w:t>
      </w:r>
      <w:r>
        <w:rPr>
          <w:rFonts w:asciiTheme="majorBidi" w:hAnsiTheme="majorBidi"/>
          <w:color w:val="000000"/>
          <w:sz w:val="16"/>
          <w:szCs w:val="16"/>
        </w:rPr>
        <w:t xml:space="preserve"> ELT L 326, 9.12.2017, lk 55, ELT L 158, 21.06.2018, lk 1,</w:t>
      </w:r>
      <w:r w:rsidR="00F50E5F">
        <w:rPr>
          <w:rFonts w:asciiTheme="majorBidi" w:hAnsiTheme="majorBidi"/>
          <w:color w:val="000000"/>
          <w:sz w:val="16"/>
          <w:szCs w:val="16"/>
        </w:rPr>
        <w:t xml:space="preserve"> ELT L 158, 21.06.2018, lk 1,</w:t>
      </w:r>
      <w:r>
        <w:rPr>
          <w:rFonts w:asciiTheme="majorBidi" w:hAnsiTheme="majorBidi"/>
          <w:color w:val="000000"/>
          <w:sz w:val="16"/>
          <w:szCs w:val="16"/>
        </w:rPr>
        <w:t xml:space="preserve"> ELT L 176, 12.7.2018, lk 3).</w:t>
      </w:r>
    </w:p>
  </w:footnote>
  <w:footnote w:id="3">
    <w:p w14:paraId="3EE3F860" w14:textId="77777777" w:rsidR="00247C0C" w:rsidRPr="00C42B42" w:rsidRDefault="00247C0C" w:rsidP="00B20F31">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szCs w:val="16"/>
          <w:vertAlign w:val="superscript"/>
        </w:rPr>
        <w:t>)</w:t>
      </w:r>
      <w:r>
        <w:rPr>
          <w:rFonts w:asciiTheme="majorBidi" w:hAnsiTheme="majorBidi"/>
          <w:color w:val="000000"/>
          <w:sz w:val="16"/>
          <w:szCs w:val="16"/>
        </w:rPr>
        <w:tab/>
        <w:t>Selle seadusega:</w:t>
      </w:r>
    </w:p>
    <w:p w14:paraId="4ABC5BFB" w14:textId="77777777" w:rsidR="00247C0C" w:rsidRPr="00C42B42" w:rsidRDefault="00247C0C" w:rsidP="00B20F31">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muudetakse järgmisi seadusi: 14. märtsi 1985. aasta seadus riikliku terviseameti kohta; 9. novembri 1995. aasta seadus, mis käsitleb tervise kaitsmist tubaka ja tubakatoodete tarbimise tagajärgede eest; 4. septembri 1997. aasta seadus valitsusasutuste allüksuste kohta; 10. septembri 1999. aasta maksukaristusseadustik; 29. novembri 2000. aasta tuumaseadus; 15. detsembri 2000. aasta seadus kaubandusinspektsiooni kohta; 22. juuni 2001. aasta seadus mikroorganismide ja geneetiliselt muundatud organismide kohta; 6. septembri 2001. aasta seadus meditsiinitoodete kohta; 19. märtsi 2004. aasta tolliseadus; 25. augusti 2006.aasta seadus toidu ja toitumise ohutuse kohta; 6. detsembri 2008. aasta seadus aktsiisimaksu kohta; 25. veebruari 2011. aasta seadus keemiliste ainete ja nende segude kohta;</w:t>
      </w:r>
    </w:p>
    <w:p w14:paraId="3721959C" w14:textId="77777777" w:rsidR="00247C0C" w:rsidRPr="00C42B42" w:rsidRDefault="00247C0C" w:rsidP="00B20F31">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tühistatakse 30. märtsi 2001. aasta seadus kosmeetikavahendite kohta.</w:t>
      </w:r>
    </w:p>
  </w:footnote>
  <w:footnote w:id="4">
    <w:p w14:paraId="1E754AF4" w14:textId="77777777" w:rsidR="00247C0C" w:rsidRPr="00C42B42" w:rsidRDefault="00247C0C" w:rsidP="00B20F31">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Määruse muudatustest teavitati ELT väljaannetes viidetega ELT L 114, 25.4.2013, lk 1, ELT L 139, 25.5.2013, lk 8, ELT L 190, 11.7.2013, lk 38, ELT L 315, 26.11.2013, lk 34, ELT L 107, 10.4.2014, lk 5, ELT L 238, 9.8.2014, lk 3, ELT L 254, 28.8.2014, lk 39, ELT L 282, 26.9.2014, lk 1, ELT L 282, 26.9.2014, lk 5, ELT L 193, 21.7.2015, lk 115, ELT L 199, 29.7.2015, lk 22, ELT L 60, 5.3.2016, lk 59, ELT L 106, 22.4.2016, lk 4, ELT L 106, 22.4.2016, lk 7, ELT L 187. 12.7.2016, lk 1, ELT L 187, 12.7.2016, lk 4, ELT L 189, 14.7.2016, lk 40, ELT L 198, 23.7.2016, lk 10, ELT L 17, 21.1.2017, lk 52, ELT L 36, 11.2.2017, lk 12, ELT L 36, 11.2.2017, lk 37, ELT L 117, 5.5.2017, lk 1, ELT L 174, 7.7.2017, lk 16, ELT L 202, 3.8.2017, lk 1, ELT L 203, 4.8.2017, lk 1, ELT L 319, 5.12.2017, ELT L 326, 9.12.2017, lk 55, ELT L 158, 21.6.2018, lk 1, ja ELT L 176, 12.7.2018, lk 3.</w:t>
      </w:r>
    </w:p>
  </w:footnote>
  <w:footnote w:id="5">
    <w:p w14:paraId="14C93ED8" w14:textId="77777777" w:rsidR="00346C9E" w:rsidRPr="00C42B42" w:rsidRDefault="00346C9E" w:rsidP="00B20F31">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Määruse muudatustest teavitati ELT väljaannetes viidetega ELT L 114, 25.4.2013, lk 1, ELT L 139, 25.5.2013, lk 8, ELT L 190, 11.7.2013, lk 38, ELT L 315, 26.11.2013, lk 34, ELT L 107, 10.4.2014, lk 5, ELT L 238, 9.8.2014, lk 3, ELT L 254, 28.8.2014, lk 39, ELT L 282, 26.9.2014, lk 1, ELT L 282, 26.9.2014, lk 5, ELT L 193, 21.7.2015, lk 115, ELT L 199, 29.7.2015, lk 22, ELT L 60, 5.3.2016, lk 59, ELT L 106, 22.4.2016, lk 4, ELT L 106, 22.4.2016, lk 7, ELT L 187. 12.7.2016, lk 1, ELT L 187, 12.7.2016, lk 4, ELT L 189, 14.7.2016, lk 40, ELT L 198, 23.7.2016, lk 10, ELT L 17, 21.1.2017, lk 52, ELT L 36, 11.2.2017, lk 12, ELT L 36, 11.2.2017, lk 37, ELT L 117, 5.5.2017, lk 1, ELT L 174, 7.7.2017, lk 16, ELT L 202, 3.8.2017, lk 1, ELT L 203, 4.8.2017, lk 1, ELT L 319, 5.12.2017, ELT L 326, 9.12.2017, lk 55, ELT L 158, 21.6.2018, lk 1, ja ELT L 176, 12.7.2018, lk 3.</w:t>
      </w:r>
    </w:p>
  </w:footnote>
  <w:footnote w:id="6">
    <w:p w14:paraId="077CB3E6" w14:textId="77777777" w:rsidR="00346C9E" w:rsidRPr="00C42B42" w:rsidRDefault="00346C9E" w:rsidP="00B20F31">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Viidatud seaduse konsolideeritud teksti muudatustest teavitati Poola 2018. aasta seaduste kogus (punktid 810, 1090, 1467, 1544, 1560, 1669 ja 1693).</w:t>
      </w:r>
    </w:p>
  </w:footnote>
  <w:footnote w:id="7">
    <w:p w14:paraId="560E2059" w14:textId="77777777" w:rsidR="00346C9E" w:rsidRPr="00C42B42" w:rsidRDefault="00346C9E" w:rsidP="00B20F31">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sz w:val="16"/>
          <w:szCs w:val="16"/>
        </w:rPr>
        <w:tab/>
        <w:t xml:space="preserve">Viidatud seaduse konsolideeritud </w:t>
      </w:r>
      <w:r>
        <w:rPr>
          <w:rFonts w:asciiTheme="majorBidi" w:hAnsiTheme="majorBidi"/>
          <w:color w:val="000000"/>
          <w:sz w:val="16"/>
          <w:szCs w:val="16"/>
        </w:rPr>
        <w:t>teksti</w:t>
      </w:r>
      <w:r>
        <w:rPr>
          <w:sz w:val="16"/>
          <w:szCs w:val="16"/>
        </w:rPr>
        <w:t xml:space="preserve"> muudatustest teavitati 2018. aasta seaduste kogus (punktid 650, 697, 1039, 1375, 1515, 1544, 1629, 1637 ja 1669).</w:t>
      </w:r>
    </w:p>
  </w:footnote>
  <w:footnote w:id="8">
    <w:p w14:paraId="76FBCD19" w14:textId="77777777" w:rsidR="00346C9E" w:rsidRPr="00C42B42" w:rsidRDefault="00346C9E" w:rsidP="00B20F31">
      <w:pPr>
        <w:pStyle w:val="FootnoteText"/>
        <w:ind w:left="308" w:hanging="280"/>
        <w:jc w:val="both"/>
        <w:rPr>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Määruse muudatustest teavitati ELT väljaannetes viidetega ELT L 114, 25.4.2013, lk 1, ELT L 139, 25.5.2013, lk 8, ELT L 190, 11.7.2013, lk 38, ELT L 315, 26.11.2013, lk 34, ELT L 107, 10.4.2014, lk 5, ELT L 238, 9.8.2014, lk 3, ELT L 254, 28.8.2014, lk 39, ELT L 282, 26.9.2014, lk 1, ELT L 282, 26.9.2014, lk 5, ELT L 193, 21.7.2015, lk 115, ELT L 199, 29.7.2015, lk 22, ELT L 60, 5.3.2016, lk 59, ELT L 106, 22.4.2016, lk 4, ELT L 106, 22.4.2016, lk 7, ELT L 187. 12.7.2016, lk 1, ELT L 187, 12.7.2016, lk 4, ELT L 189, 14.7.2016, lk 40, ELT L 198, 23.7.2016, lk 10, ELT L 17, 21.1.2017, lk 52, ELT L 36, 11.2.2017, lk 12, ELT L 36, 11.2.2017, lk 37, ELT L 117, 5.5.2017, lk 1, ELT L 174, 7.7.2017, lk 16, ELT L 202, 3.8.2017, lk 1, ELT L 203, 4.8.2017, lk 1, ELT L 319, 5.12.2017, ELT L 326, 9.12.2017, lk 55, ELT L 158, 21.6.2018, lk 1, ja ELT L 176, 12.7.2018, lk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14:paraId="6944119F" w14:textId="77777777" w:rsidTr="00A120FC">
      <w:tc>
        <w:tcPr>
          <w:tcW w:w="3372" w:type="dxa"/>
        </w:tcPr>
        <w:p w14:paraId="4B35A152" w14:textId="77777777" w:rsidR="008578F9" w:rsidRPr="00AD4835" w:rsidRDefault="008578F9" w:rsidP="00A120FC">
          <w:pPr>
            <w:spacing w:before="4" w:line="226" w:lineRule="exact"/>
            <w:textAlignment w:val="baseline"/>
            <w:rPr>
              <w:rFonts w:eastAsia="Times New Roman"/>
              <w:color w:val="000000"/>
              <w:sz w:val="20"/>
            </w:rPr>
          </w:pPr>
          <w:r>
            <w:rPr>
              <w:color w:val="000000"/>
              <w:sz w:val="20"/>
            </w:rPr>
            <w:t>Seaduste kogu</w:t>
          </w:r>
        </w:p>
      </w:tc>
      <w:tc>
        <w:tcPr>
          <w:tcW w:w="3372" w:type="dxa"/>
        </w:tcPr>
        <w:p w14:paraId="637A977C" w14:textId="77777777"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0B20D0">
            <w:rPr>
              <w:rFonts w:eastAsiaTheme="minorEastAsia"/>
              <w:noProof/>
              <w:color w:val="000000"/>
              <w:sz w:val="20"/>
            </w:rPr>
            <w:t>2</w:t>
          </w:r>
          <w:r w:rsidRPr="003B087E">
            <w:rPr>
              <w:rFonts w:eastAsiaTheme="minorEastAsia"/>
              <w:color w:val="000000"/>
              <w:sz w:val="20"/>
            </w:rPr>
            <w:fldChar w:fldCharType="end"/>
          </w:r>
          <w:r>
            <w:rPr>
              <w:color w:val="000000"/>
              <w:sz w:val="20"/>
            </w:rPr>
            <w:t xml:space="preserve"> –</w:t>
          </w:r>
        </w:p>
      </w:tc>
      <w:tc>
        <w:tcPr>
          <w:tcW w:w="3372" w:type="dxa"/>
        </w:tcPr>
        <w:p w14:paraId="711261EF" w14:textId="77777777"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Punkt 2227</w:t>
          </w:r>
        </w:p>
      </w:tc>
    </w:tr>
  </w:tbl>
  <w:p w14:paraId="7364EE14" w14:textId="77777777"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0"/>
      <w:gridCol w:w="1220"/>
    </w:tblGrid>
    <w:tr w:rsidR="008578F9" w:rsidRPr="00937A61" w14:paraId="6C7A47AC" w14:textId="77777777" w:rsidTr="00A120FC">
      <w:tc>
        <w:tcPr>
          <w:tcW w:w="992" w:type="dxa"/>
        </w:tcPr>
        <w:p w14:paraId="7FD16D82" w14:textId="77777777"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7DC50AD4" wp14:editId="0B3D5E9B">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14:paraId="20630513" w14:textId="77777777" w:rsidR="008578F9" w:rsidRPr="0073741E" w:rsidRDefault="008578F9" w:rsidP="00A120FC">
          <w:pPr>
            <w:pStyle w:val="Header"/>
            <w:rPr>
              <w:rFonts w:eastAsiaTheme="minorEastAsia"/>
              <w:sz w:val="16"/>
              <w:szCs w:val="16"/>
            </w:rPr>
          </w:pPr>
          <w:r>
            <w:rPr>
              <w:sz w:val="16"/>
              <w:szCs w:val="16"/>
            </w:rPr>
            <w:t>Dokumendi</w:t>
          </w:r>
        </w:p>
        <w:p w14:paraId="11C6633A" w14:textId="77777777" w:rsidR="008578F9" w:rsidRPr="0073741E" w:rsidRDefault="008578F9" w:rsidP="00A120FC">
          <w:pPr>
            <w:pStyle w:val="Header"/>
            <w:rPr>
              <w:rFonts w:eastAsiaTheme="minorEastAsia"/>
              <w:sz w:val="16"/>
              <w:szCs w:val="16"/>
            </w:rPr>
          </w:pPr>
          <w:r>
            <w:rPr>
              <w:sz w:val="16"/>
              <w:szCs w:val="16"/>
            </w:rPr>
            <w:t>allkirjastanud</w:t>
          </w:r>
        </w:p>
        <w:p w14:paraId="02D959D4" w14:textId="77777777" w:rsidR="008578F9" w:rsidRPr="0073741E" w:rsidRDefault="008578F9" w:rsidP="00A120FC">
          <w:pPr>
            <w:pStyle w:val="Header"/>
            <w:rPr>
              <w:rFonts w:eastAsiaTheme="minorEastAsia"/>
              <w:sz w:val="16"/>
              <w:szCs w:val="16"/>
            </w:rPr>
          </w:pPr>
          <w:r>
            <w:rPr>
              <w:sz w:val="16"/>
              <w:szCs w:val="16"/>
            </w:rPr>
            <w:t>Marek Głuch</w:t>
          </w:r>
        </w:p>
        <w:p w14:paraId="6757BE81" w14:textId="77777777" w:rsidR="008578F9" w:rsidRPr="0073741E" w:rsidRDefault="008578F9" w:rsidP="00937A61">
          <w:pPr>
            <w:pStyle w:val="Header"/>
            <w:rPr>
              <w:rFonts w:eastAsiaTheme="minorEastAsia"/>
              <w:sz w:val="16"/>
              <w:szCs w:val="16"/>
            </w:rPr>
          </w:pPr>
          <w:r>
            <w:rPr>
              <w:sz w:val="16"/>
              <w:szCs w:val="16"/>
            </w:rPr>
            <w:t>Kuupäev: 2018.11.29</w:t>
          </w:r>
        </w:p>
        <w:p w14:paraId="2C344650" w14:textId="77777777" w:rsidR="008578F9" w:rsidRPr="0073741E" w:rsidRDefault="00937A61" w:rsidP="00A120FC">
          <w:pPr>
            <w:pStyle w:val="Header"/>
            <w:rPr>
              <w:rFonts w:eastAsiaTheme="minorEastAsia"/>
              <w:sz w:val="16"/>
              <w:szCs w:val="16"/>
            </w:rPr>
          </w:pPr>
          <w:r>
            <w:rPr>
              <w:sz w:val="16"/>
              <w:szCs w:val="16"/>
            </w:rPr>
            <w:t>15:24:59 CEST</w:t>
          </w:r>
        </w:p>
      </w:tc>
    </w:tr>
  </w:tbl>
  <w:p w14:paraId="2A1C7ECE" w14:textId="77777777"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A62E1"/>
    <w:rsid w:val="000B20D0"/>
    <w:rsid w:val="000F6BB0"/>
    <w:rsid w:val="00100D87"/>
    <w:rsid w:val="0013072C"/>
    <w:rsid w:val="00247C0C"/>
    <w:rsid w:val="002658A1"/>
    <w:rsid w:val="0028726F"/>
    <w:rsid w:val="00346C9E"/>
    <w:rsid w:val="00457CA7"/>
    <w:rsid w:val="0049567D"/>
    <w:rsid w:val="004977DC"/>
    <w:rsid w:val="004E0DAC"/>
    <w:rsid w:val="006B7437"/>
    <w:rsid w:val="00832480"/>
    <w:rsid w:val="0083361C"/>
    <w:rsid w:val="008578F9"/>
    <w:rsid w:val="008D7B8C"/>
    <w:rsid w:val="00911BBF"/>
    <w:rsid w:val="00937A61"/>
    <w:rsid w:val="009A576E"/>
    <w:rsid w:val="00A84446"/>
    <w:rsid w:val="00AA66E7"/>
    <w:rsid w:val="00AC5F6A"/>
    <w:rsid w:val="00B20F31"/>
    <w:rsid w:val="00C42B42"/>
    <w:rsid w:val="00C74D40"/>
    <w:rsid w:val="00CC159E"/>
    <w:rsid w:val="00D01294"/>
    <w:rsid w:val="00D91DA0"/>
    <w:rsid w:val="00ED6ABA"/>
    <w:rsid w:val="00F1361D"/>
    <w:rsid w:val="00F15CDF"/>
    <w:rsid w:val="00F50E5F"/>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8B405"/>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et-EE"/>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4.xml><?xml version="1.0" encoding="utf-8"?>
<ds:datastoreItem xmlns:ds="http://schemas.openxmlformats.org/officeDocument/2006/customXml" ds:itemID="{A8986702-7B8B-46F0-906D-50C27B90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4361</Words>
  <Characters>24861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9</cp:revision>
  <dcterms:created xsi:type="dcterms:W3CDTF">2020-09-17T17:22:00Z</dcterms:created>
  <dcterms:modified xsi:type="dcterms:W3CDTF">2020-09-24T13:34:00Z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