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093987"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093987">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093987" w:rsidRDefault="00AC5F6A">
            <w:pPr>
              <w:spacing w:before="11"/>
              <w:ind w:left="76" w:right="245"/>
              <w:textAlignment w:val="baseline"/>
              <w:rPr>
                <w:rFonts w:asciiTheme="majorBidi" w:hAnsiTheme="majorBidi" w:cstheme="majorBidi"/>
              </w:rPr>
            </w:pPr>
            <w:r w:rsidRPr="00093987">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093987" w:rsidRDefault="00AA66E7" w:rsidP="00AA66E7">
            <w:pPr>
              <w:spacing w:before="20" w:after="20"/>
              <w:jc w:val="center"/>
              <w:textAlignment w:val="baseline"/>
              <w:rPr>
                <w:rFonts w:eastAsia="Times New Roman"/>
                <w:color w:val="000000"/>
                <w:sz w:val="72"/>
                <w:szCs w:val="72"/>
              </w:rPr>
            </w:pPr>
            <w:r w:rsidRPr="00093987">
              <w:rPr>
                <w:color w:val="000000"/>
                <w:sz w:val="72"/>
              </w:rPr>
              <w:t>POLIJAS REPUBLIKAS</w:t>
            </w:r>
          </w:p>
          <w:p w:rsidR="000A62E1" w:rsidRPr="00093987" w:rsidRDefault="00AA66E7" w:rsidP="00AA66E7">
            <w:pPr>
              <w:spacing w:line="900" w:lineRule="exact"/>
              <w:jc w:val="center"/>
              <w:textAlignment w:val="baseline"/>
              <w:rPr>
                <w:rFonts w:asciiTheme="majorBidi" w:eastAsia="Times New Roman" w:hAnsiTheme="majorBidi" w:cstheme="majorBidi"/>
                <w:color w:val="000000"/>
                <w:sz w:val="93"/>
              </w:rPr>
            </w:pPr>
            <w:r w:rsidRPr="00093987">
              <w:rPr>
                <w:color w:val="000000"/>
                <w:sz w:val="56"/>
              </w:rPr>
              <w:t>OFICIĀLAIS VĒSTNESIS</w:t>
            </w:r>
          </w:p>
          <w:p w:rsidR="000A62E1" w:rsidRPr="00093987" w:rsidRDefault="00AC5F6A">
            <w:pPr>
              <w:spacing w:before="121" w:after="96" w:line="607" w:lineRule="exact"/>
              <w:jc w:val="center"/>
              <w:textAlignment w:val="baseline"/>
              <w:rPr>
                <w:rFonts w:asciiTheme="majorBidi" w:eastAsia="Times New Roman" w:hAnsiTheme="majorBidi" w:cstheme="majorBidi"/>
                <w:color w:val="000000"/>
                <w:sz w:val="53"/>
              </w:rPr>
            </w:pPr>
            <w:r w:rsidRPr="00093987">
              <w:rPr>
                <w:rFonts w:asciiTheme="majorBidi" w:hAnsiTheme="majorBidi"/>
                <w:color w:val="000000"/>
                <w:sz w:val="53"/>
              </w:rPr>
              <w:t>OFICIĀLAIS VĒSTNESIS</w:t>
            </w:r>
          </w:p>
        </w:tc>
      </w:tr>
      <w:tr w:rsidR="000A62E1" w:rsidRPr="00093987">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093987"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093987" w:rsidRDefault="000A62E1">
            <w:pPr>
              <w:rPr>
                <w:rFonts w:asciiTheme="majorBidi" w:hAnsiTheme="majorBidi" w:cstheme="majorBidi"/>
              </w:rPr>
            </w:pPr>
          </w:p>
        </w:tc>
      </w:tr>
    </w:tbl>
    <w:p w:rsidR="000A62E1" w:rsidRPr="00093987" w:rsidRDefault="000A62E1">
      <w:pPr>
        <w:spacing w:after="448" w:line="20" w:lineRule="exact"/>
        <w:rPr>
          <w:rFonts w:asciiTheme="majorBidi" w:hAnsiTheme="majorBidi" w:cstheme="majorBidi"/>
        </w:rPr>
      </w:pPr>
    </w:p>
    <w:p w:rsidR="00911BBF" w:rsidRPr="00093987" w:rsidRDefault="00911BBF" w:rsidP="00911BBF">
      <w:pPr>
        <w:pStyle w:val="PlainText"/>
        <w:rPr>
          <w:rFonts w:ascii="Courier New" w:hAnsi="Courier New" w:cs="Courier New"/>
          <w:sz w:val="20"/>
          <w:szCs w:val="20"/>
        </w:rPr>
      </w:pPr>
      <w:r w:rsidRPr="00093987">
        <w:rPr>
          <w:rFonts w:ascii="Courier New" w:hAnsi="Courier New"/>
          <w:sz w:val="20"/>
        </w:rPr>
        <w:t xml:space="preserve">1. ------IND- 2018 0186 PL- LV- ------ 20200930 --- --- FINAL </w:t>
      </w:r>
    </w:p>
    <w:p w:rsidR="000A62E1" w:rsidRPr="00093987" w:rsidRDefault="00AC5F6A">
      <w:pPr>
        <w:spacing w:line="441" w:lineRule="exact"/>
        <w:jc w:val="center"/>
        <w:textAlignment w:val="baseline"/>
        <w:rPr>
          <w:rFonts w:asciiTheme="majorBidi" w:eastAsia="Times New Roman" w:hAnsiTheme="majorBidi" w:cstheme="majorBidi"/>
          <w:color w:val="000000"/>
          <w:sz w:val="28"/>
        </w:rPr>
      </w:pPr>
      <w:r w:rsidRPr="00093987">
        <w:rPr>
          <w:rFonts w:asciiTheme="majorBidi" w:hAnsiTheme="majorBidi"/>
          <w:color w:val="000000"/>
          <w:sz w:val="28"/>
        </w:rPr>
        <w:t>Varšava, 2018. gada 29. novembris</w:t>
      </w:r>
      <w:r w:rsidRPr="00093987">
        <w:rPr>
          <w:rFonts w:asciiTheme="majorBidi" w:hAnsiTheme="majorBidi"/>
          <w:color w:val="000000"/>
          <w:sz w:val="28"/>
        </w:rPr>
        <w:br/>
        <w:t>Nr. 2227</w:t>
      </w:r>
    </w:p>
    <w:p w:rsidR="000A62E1" w:rsidRPr="00093987"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sidRPr="00093987">
        <w:rPr>
          <w:rFonts w:asciiTheme="majorBidi" w:hAnsiTheme="majorBidi"/>
          <w:color w:val="000000"/>
          <w:sz w:val="19"/>
        </w:rPr>
        <w:t>LIKUMS</w:t>
      </w:r>
    </w:p>
    <w:p w:rsidR="000A62E1" w:rsidRPr="00093987"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sidRPr="00093987">
        <w:rPr>
          <w:rFonts w:asciiTheme="majorBidi" w:hAnsiTheme="majorBidi"/>
          <w:color w:val="000000"/>
          <w:sz w:val="19"/>
        </w:rPr>
        <w:t>(2018. gada 4. oktobris)</w:t>
      </w:r>
    </w:p>
    <w:p w:rsidR="000A62E1" w:rsidRPr="00093987"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sidRPr="00093987">
        <w:rPr>
          <w:rFonts w:asciiTheme="majorBidi" w:hAnsiTheme="majorBidi"/>
          <w:color w:val="000000"/>
        </w:rPr>
        <w:t>par kosmētikas līdzekļiem</w:t>
      </w:r>
      <w:r w:rsidR="00247C0C" w:rsidRPr="00093987">
        <w:rPr>
          <w:rStyle w:val="FootnoteReference"/>
          <w:rFonts w:asciiTheme="majorBidi" w:eastAsia="Times New Roman" w:hAnsiTheme="majorBidi" w:cstheme="majorBidi"/>
          <w:color w:val="000000"/>
          <w:sz w:val="13"/>
        </w:rPr>
        <w:footnoteReference w:id="1"/>
      </w:r>
      <w:r w:rsidRPr="00093987">
        <w:rPr>
          <w:rFonts w:asciiTheme="majorBidi" w:hAnsiTheme="majorBidi"/>
          <w:color w:val="000000"/>
          <w:sz w:val="13"/>
          <w:vertAlign w:val="superscript"/>
        </w:rPr>
        <w:t>)</w:t>
      </w:r>
      <w:r w:rsidRPr="00093987">
        <w:rPr>
          <w:rFonts w:asciiTheme="majorBidi" w:hAnsiTheme="majorBidi"/>
          <w:color w:val="000000"/>
          <w:sz w:val="13"/>
        </w:rPr>
        <w:t>,</w:t>
      </w:r>
      <w:r w:rsidR="00247C0C" w:rsidRPr="00093987">
        <w:rPr>
          <w:rStyle w:val="FootnoteReference"/>
          <w:rFonts w:asciiTheme="majorBidi" w:eastAsia="Times New Roman" w:hAnsiTheme="majorBidi" w:cstheme="majorBidi"/>
          <w:color w:val="000000"/>
          <w:sz w:val="13"/>
        </w:rPr>
        <w:footnoteReference w:id="2"/>
      </w:r>
      <w:r w:rsidRPr="00093987">
        <w:rPr>
          <w:rFonts w:asciiTheme="majorBidi" w:hAnsiTheme="majorBidi"/>
          <w:color w:val="000000"/>
          <w:sz w:val="13"/>
        </w:rPr>
        <w:t xml:space="preserve"> </w:t>
      </w:r>
      <w:r w:rsidRPr="00093987">
        <w:rPr>
          <w:rFonts w:asciiTheme="majorBidi" w:hAnsiTheme="majorBidi"/>
          <w:color w:val="000000"/>
          <w:sz w:val="13"/>
          <w:vertAlign w:val="superscript"/>
        </w:rPr>
        <w:t>)</w:t>
      </w:r>
      <w:r w:rsidRPr="00093987">
        <w:rPr>
          <w:rFonts w:asciiTheme="majorBidi" w:hAnsiTheme="majorBidi"/>
          <w:color w:val="000000"/>
          <w:sz w:val="13"/>
        </w:rPr>
        <w:t xml:space="preserve">, </w:t>
      </w:r>
      <w:r w:rsidR="00247C0C" w:rsidRPr="00093987">
        <w:rPr>
          <w:rStyle w:val="FootnoteReference"/>
          <w:rFonts w:asciiTheme="majorBidi" w:eastAsia="Times New Roman" w:hAnsiTheme="majorBidi" w:cstheme="majorBidi"/>
          <w:color w:val="000000"/>
          <w:sz w:val="13"/>
        </w:rPr>
        <w:footnoteReference w:id="3"/>
      </w:r>
      <w:r w:rsidRPr="00093987">
        <w:rPr>
          <w:rFonts w:asciiTheme="majorBidi" w:hAnsiTheme="majorBidi"/>
          <w:color w:val="000000"/>
          <w:sz w:val="13"/>
          <w:vertAlign w:val="superscript"/>
        </w:rPr>
        <w:t>)</w:t>
      </w:r>
    </w:p>
    <w:p w:rsidR="000A62E1" w:rsidRPr="00093987"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sidRPr="00093987">
        <w:rPr>
          <w:rFonts w:asciiTheme="majorBidi" w:hAnsiTheme="majorBidi"/>
          <w:color w:val="000000"/>
          <w:sz w:val="19"/>
        </w:rPr>
        <w:t>1. nodaļa</w:t>
      </w:r>
    </w:p>
    <w:p w:rsidR="000A62E1" w:rsidRPr="00093987"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sidRPr="00093987">
        <w:rPr>
          <w:rFonts w:asciiTheme="majorBidi" w:hAnsiTheme="majorBidi"/>
          <w:b/>
          <w:color w:val="000000"/>
          <w:sz w:val="20"/>
        </w:rPr>
        <w:t>Vispārīgi noteikumi</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 pants.</w:t>
      </w:r>
      <w:r w:rsidRPr="00093987">
        <w:rPr>
          <w:rFonts w:asciiTheme="majorBidi" w:hAnsiTheme="majorBidi"/>
          <w:color w:val="000000"/>
          <w:sz w:val="20"/>
        </w:rPr>
        <w:t xml:space="preserve"> Likumā ir noteikti uzņēmēju pienākumi un iestāžu kompetence attiecībā uz pienākumiem un administratīvajiem uzdevumiem, kas noteikti Eiropas Parlamenta un Padomes 2009. gada 30. novembra Regulā (EK) Nr. 1223/2009 par kosmētikas līdzekļiem (pārstrādāta versija) (OV L 342, 22.12.2009., 59. lpp., ar grozījumiem</w:t>
      </w:r>
      <w:r w:rsidR="00247C0C" w:rsidRPr="00093987">
        <w:rPr>
          <w:rStyle w:val="FootnoteReference"/>
          <w:rFonts w:asciiTheme="majorBidi" w:eastAsia="Times New Roman" w:hAnsiTheme="majorBidi" w:cstheme="majorBidi"/>
          <w:color w:val="000000"/>
          <w:sz w:val="20"/>
          <w:szCs w:val="20"/>
        </w:rPr>
        <w:footnoteReference w:id="4"/>
      </w:r>
      <w:r w:rsidRPr="00093987">
        <w:rPr>
          <w:rFonts w:asciiTheme="majorBidi" w:hAnsiTheme="majorBidi"/>
          <w:color w:val="000000"/>
          <w:sz w:val="20"/>
          <w:vertAlign w:val="superscript"/>
        </w:rPr>
        <w:t>)</w:t>
      </w:r>
      <w:r w:rsidRPr="00093987">
        <w:rPr>
          <w:rFonts w:asciiTheme="majorBidi" w:hAnsiTheme="majorBidi"/>
          <w:color w:val="000000"/>
          <w:sz w:val="20"/>
        </w:rPr>
        <w:t>), turpmāk — “Regula Nr. 1223/2009”.</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 pants.</w:t>
      </w:r>
      <w:r w:rsidRPr="00093987">
        <w:rPr>
          <w:rFonts w:asciiTheme="majorBidi" w:hAnsiTheme="majorBidi"/>
          <w:color w:val="000000"/>
          <w:sz w:val="20"/>
        </w:rPr>
        <w:t xml:space="preserve"> Šajā likumā:</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“būtiska nevēlama ietekme” ir būtiska nevēlama ietekme saskaņā ar Regulas Nr. 1223/2009 2. panta 1. punkta p)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“laba ražošanas prakse” ir laba ražošanas prakse saskaņā Regulas Nr. 1223/2009 8. pantu;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“izplatītājs “ ir izplatītājs saskaņā ar Regulas Nr. 1223/2009 2. panta 1. punkta e)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4)</w:t>
      </w:r>
      <w:r w:rsidRPr="00093987">
        <w:rPr>
          <w:rFonts w:asciiTheme="majorBidi" w:hAnsiTheme="majorBidi"/>
          <w:color w:val="000000"/>
          <w:sz w:val="20"/>
        </w:rPr>
        <w:tab/>
        <w:t>“nevēlama ietekme” ir nevēlama ietekme saskaņā ar Regulas Nr. 1223/2009 2. panta 1. punkta o)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“iepakošana” ir procesi, tostarp iepildīšana un marķēšana, kuri jāveic, lai izstrādājuma masa kļūtu par gatavu izstrādājumu;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6)</w:t>
      </w:r>
      <w:r w:rsidRPr="00093987">
        <w:rPr>
          <w:rFonts w:asciiTheme="majorBidi" w:hAnsiTheme="majorBidi"/>
          <w:color w:val="000000"/>
          <w:sz w:val="20"/>
        </w:rPr>
        <w:tab/>
        <w:t>“izstrādājuma masa” ir kosmētikas līdzeklis, kuram ir veikti visi ražošanas posmi līdz noslēdzošajam iepakošanas posmam, izņemot minēto posmu;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7)</w:t>
      </w:r>
      <w:r w:rsidRPr="00093987">
        <w:rPr>
          <w:rFonts w:asciiTheme="majorBidi" w:hAnsiTheme="majorBidi"/>
          <w:color w:val="000000"/>
          <w:sz w:val="20"/>
        </w:rPr>
        <w:tab/>
        <w:t>“atbildīgā persona” ir atbildīgā persona saskaņā ar Regulas Nr. 1223/2009 4. pantu;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8)</w:t>
      </w:r>
      <w:r w:rsidRPr="00093987">
        <w:rPr>
          <w:rFonts w:asciiTheme="majorBidi" w:hAnsiTheme="majorBidi"/>
          <w:color w:val="000000"/>
          <w:sz w:val="20"/>
        </w:rPr>
        <w:tab/>
        <w:t>“gatavs izstrādājums” ir kosmētikas līdzeklis, kuram ir veikti visi ražošanas procesa posmi, tostarp iepakošana nosūtīšanai;</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9)</w:t>
      </w:r>
      <w:r w:rsidRPr="00093987">
        <w:rPr>
          <w:rFonts w:asciiTheme="majorBidi" w:hAnsiTheme="majorBidi"/>
          <w:color w:val="000000"/>
          <w:sz w:val="20"/>
        </w:rPr>
        <w:tab/>
        <w:t>“kosmētikas līdzeklis” ir kosmētikas līdzeklis saskaņā ar Regulas Nr. 1223/2009 2. panta 1. punkta a)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10)</w:t>
      </w:r>
      <w:r w:rsidRPr="00093987">
        <w:rPr>
          <w:rFonts w:asciiTheme="majorBidi" w:hAnsiTheme="majorBidi"/>
          <w:color w:val="000000"/>
          <w:sz w:val="20"/>
        </w:rPr>
        <w:tab/>
        <w:t>“darīt pieejamu tirgū” ir darīt pieejamu tirgū saskaņā ar Regulas Nr. 1223/2009 2. panta 1. punkta g)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11)</w:t>
      </w:r>
      <w:r w:rsidRPr="00093987">
        <w:rPr>
          <w:rFonts w:asciiTheme="majorBidi" w:hAnsiTheme="majorBidi"/>
          <w:color w:val="000000"/>
          <w:sz w:val="20"/>
        </w:rPr>
        <w:tab/>
        <w:t>“gala patērētājs” ir gala patērētājs saskaņā ar Regulas Nr. 1223/2009 2. panta 1. punkta f)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12)</w:t>
      </w:r>
      <w:r w:rsidRPr="00093987">
        <w:rPr>
          <w:rFonts w:asciiTheme="majorBidi" w:hAnsiTheme="majorBidi"/>
          <w:color w:val="000000"/>
          <w:sz w:val="20"/>
        </w:rPr>
        <w:tab/>
        <w:t>“laist tirgū” ir laist tirgū saskaņā ar Regulas Nr. 1223/2009 2. panta 1. punkta h) apakšpunktu;</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13)</w:t>
      </w:r>
      <w:r w:rsidRPr="00093987">
        <w:rPr>
          <w:rFonts w:asciiTheme="majorBidi" w:hAnsiTheme="majorBidi"/>
          <w:color w:val="000000"/>
          <w:sz w:val="20"/>
        </w:rPr>
        <w:tab/>
        <w:t>“kosmētikas līdzekļa ražošana” ir procesi, ar kuru palīdzību tiek iegūts gatavs izstrādājums, tostarp iepakošana, ja tie nenotiek tajās pašās telpās, kurās notiek izstrādājuma masas ražošana;</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14)</w:t>
      </w:r>
      <w:r w:rsidRPr="00093987">
        <w:rPr>
          <w:rFonts w:asciiTheme="majorBidi" w:hAnsiTheme="majorBidi"/>
          <w:color w:val="000000"/>
          <w:sz w:val="20"/>
        </w:rPr>
        <w:tab/>
        <w:t>“ražotājs” ir fiziska persona, juridiska persona vai jebkāda personu apvienība, kas nav juridiska persona un kas ražo kosmētikas līdzekli.</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 nodaļa</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093987">
        <w:rPr>
          <w:rFonts w:asciiTheme="majorBidi" w:hAnsiTheme="majorBidi"/>
          <w:b/>
          <w:color w:val="000000"/>
          <w:sz w:val="20"/>
        </w:rPr>
        <w:t>Kosmētikas līdzekļu pieejamība tirgū un to ražošana</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 pants.</w:t>
      </w:r>
      <w:r w:rsidRPr="00093987">
        <w:rPr>
          <w:rFonts w:asciiTheme="majorBidi" w:hAnsiTheme="majorBidi"/>
          <w:color w:val="000000"/>
          <w:sz w:val="20"/>
        </w:rPr>
        <w:t xml:space="preserve"> 1. Regulas (EK) Nr. 1223/2009 11. panta 1. punktā minētā kosmētikas līdzekļa lieta, kas tiek darīta pieejama saskaņā ar minētās regulas 11. panta 3. punktu, tiek sagatavota poļu vai angļu valodā.</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B daļu Regulas (EK) Nr. 1223/2009 10. panta 1. punktā minētajā kosmētikas līdzekļa drošuma ziņojumā, kas tiek darīts pieejams saskaņā ar minētās regulas 11. panta 3. punktu, sagatavo poļu valodā.</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 pants.</w:t>
      </w:r>
      <w:r w:rsidRPr="00093987">
        <w:rPr>
          <w:rFonts w:asciiTheme="majorBidi" w:hAnsiTheme="majorBidi"/>
          <w:color w:val="000000"/>
          <w:sz w:val="20"/>
        </w:rPr>
        <w:t xml:space="preserve"> 1. Kosmētikas līdzekļus, kas tiek darīti pieejami Polijas Republikas teritorijā, marķē poļu valodā.</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Ja kosmētikas līdzeklis nav fasēts, tiek fasēts pārdošanas vietā pēc pircēja pieprasījuma vai tiek fasēts tūlītējai pārdošanai, informāciju, kas minēta Regulas Nr. 1223/2009 19. panta 1. punktā, izvieto uz tvertnes vai iepakojuma, kurā kosmētikas līdzeklis tiek pārdots.</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 pants.</w:t>
      </w:r>
      <w:r w:rsidRPr="00093987">
        <w:rPr>
          <w:rFonts w:asciiTheme="majorBidi" w:hAnsiTheme="majorBidi"/>
          <w:color w:val="000000"/>
          <w:sz w:val="20"/>
        </w:rPr>
        <w:t xml:space="preserve"> Kosmētikas līdzekļus laiž tirgū un dara pieejamus tirgū līdz to minimālā derīguma termiņa beigām.</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6. pants.</w:t>
      </w:r>
      <w:r w:rsidRPr="00093987">
        <w:rPr>
          <w:rFonts w:asciiTheme="majorBidi" w:hAnsiTheme="majorBidi"/>
          <w:color w:val="000000"/>
          <w:sz w:val="20"/>
        </w:rPr>
        <w:t xml:space="preserve"> 1. Kosmētikas līdzekļu ražotājrūpnīcu sarakstu (turpmāk — “rūpnīcu saraksts”) pārvalda reģiona līmeņa sanitārā inspekcija, kuru nosaka saskaņā ar to, kur atrodas kosmētikas līdzekļu ražotājrūpnīcas galvenais birojs.</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Ražotājs iesniedz 1. punktā minētajā iestādē pieprasījumu par iekļaušanu kosmētikas līdzekļu ražotājrūpnīcu sarakstā.</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 xml:space="preserve">Rūpnīcu saraksta mērķis ir labas ražošanas prakses principu ievērošanas uzraudzība saskaņā ar 22. pantu Regulā Nr. 1223/2009, un tas netiek darīts pieejams saskaņā ar 2001. gada 6. septembra Likumu par piekļuvi publiskajai informācijai (2018. gada </w:t>
      </w:r>
      <w:r w:rsidRPr="00093987">
        <w:rPr>
          <w:rFonts w:asciiTheme="majorBidi" w:hAnsiTheme="majorBidi"/>
          <w:i/>
          <w:iCs/>
          <w:color w:val="000000"/>
          <w:sz w:val="20"/>
        </w:rPr>
        <w:t>Dz. U.</w:t>
      </w:r>
      <w:r w:rsidRPr="00093987">
        <w:rPr>
          <w:rFonts w:asciiTheme="majorBidi" w:hAnsiTheme="majorBidi"/>
          <w:color w:val="000000"/>
          <w:sz w:val="20"/>
        </w:rPr>
        <w:t xml:space="preserve"> Nr. 1330 un Nr. 1669).</w:t>
      </w:r>
    </w:p>
    <w:p w:rsidR="000A62E1" w:rsidRPr="00093987" w:rsidRDefault="00AC5F6A" w:rsidP="00247C0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Ražotājs iesniedz pieprasījumu (papīra vai elektroniskā formātā) par iekļaušanu rūpnīcu sarakstā 30 dienu laikā pēc darbības uzsākšanas rūpnīcā, kurā ražo kosmētikas līdzekļus.</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Pieprasījumā iekļaut rūpnīcu sarakstā norāda:</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ražotāja vārdu un uzvārdu vai uzņēmuma nosaukumu un adresi;</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kosmētikas līdzekļu ražotājrūpnīcas nosaukumu un adresi;</w:t>
      </w:r>
    </w:p>
    <w:p w:rsidR="000A62E1" w:rsidRPr="00093987"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kosmētikas līdzekļu ražotājrūpnīcā veikto darbību veidu un apjomu.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6.</w:t>
      </w:r>
      <w:r w:rsidRPr="00093987">
        <w:rPr>
          <w:rFonts w:asciiTheme="majorBidi" w:hAnsiTheme="majorBidi"/>
          <w:color w:val="000000"/>
          <w:sz w:val="20"/>
        </w:rPr>
        <w:tab/>
        <w:t>Ražotājam izsniedz ieraksta sertifikātu, kurā norāda datumu, kurā veikts ieraksts sarakstā, un kosmētikas līdzekļu ražotājrūpnīcas nosaukumu un adresi.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7.</w:t>
      </w:r>
      <w:r w:rsidRPr="00093987">
        <w:rPr>
          <w:rFonts w:asciiTheme="majorBidi" w:hAnsiTheme="majorBidi"/>
          <w:color w:val="000000"/>
          <w:sz w:val="20"/>
        </w:rPr>
        <w:tab/>
        <w:t>Ja mainās šā panta 5. punktā minētie dati, ražotājs pieprasa veikt attiecīgās izmaiņas rūpnīcu sarakstā, iesniedzot pieprasījumu papīra vai elektroniskā formātā 30 dienu laikā pēc izmaiņu ieviešanas. Pieprasījumā ietver datus, kas minēti šā panta 5. punktā un ir mainīti.</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8.</w:t>
      </w:r>
      <w:r w:rsidRPr="00093987">
        <w:rPr>
          <w:rFonts w:asciiTheme="majorBidi" w:hAnsiTheme="majorBidi"/>
          <w:color w:val="000000"/>
          <w:sz w:val="20"/>
        </w:rPr>
        <w:tab/>
        <w:t>Izslēgšanu no rūpnīcu saraksta veic, pamatojoties uz:</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veidlapu papīra vai elektroniskā formātā, ko iesniedzis ražotājs, ar pieprasījumu izslēgt rūpnīcu no saraksta, kurā iekļauj šā panta 5. punktā minētos datus;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2)</w:t>
      </w:r>
      <w:r w:rsidRPr="00093987">
        <w:rPr>
          <w:rFonts w:asciiTheme="majorBidi" w:hAnsiTheme="majorBidi"/>
          <w:color w:val="000000"/>
          <w:sz w:val="20"/>
        </w:rPr>
        <w:tab/>
        <w:t>attiecīgā reģiona līmeņa valsts sanitārā inspektora lēmumu, ja ražotājs ir pārtraucis sarakstā iekļauto darbību un nav iesniedzis šā punkta 1) apakšpunktā minēto veidlapu.</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7. pants.</w:t>
      </w:r>
      <w:r w:rsidRPr="00093987">
        <w:rPr>
          <w:rFonts w:asciiTheme="majorBidi" w:hAnsiTheme="majorBidi"/>
          <w:color w:val="000000"/>
          <w:sz w:val="20"/>
        </w:rPr>
        <w:t xml:space="preserve"> 1. Rūpnīcu sarakstā iekļauj datus, kas minēti 6. panta 5. punktā, un:</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datumu, kurā rūpnīca iekļauta rūpnīcu sarakstā;</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informāciju par oficiālajām pārbaudēm, kuras kosmētikas līdzekļu ražotājrūpnīcā veicis attiecīgais reģiona līmeņa valsts sanitārais inspektors;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informāciju par 6. panta 5. punktā minēto datu labošanu vai kosmētikas līdzekļu ražotājrūpnīcas izslēgšanu no rūpnīcu saraksta.</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Par veselības nozari atbildīgais ministrs ar noteikumiem nosaka šādus paraugus: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pieteikuma veidlapa iekļaušanai rūpnīcu sarakstā,</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pieteikuma veidlapa grozījumiem rūpnīcu sarakstā,</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pieteikuma veidlapa par izslēgšanu no rūpnīcu saraksta,</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sertifikāts, kas apliecina iekļaušanu rūpnīcu sarakstā,</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ņemot vērā rūpnīcu sarakstā iekļauto datu apjomu un nodrošinot izdoto sertifikātu konsekvenci.</w:t>
      </w:r>
    </w:p>
    <w:p w:rsidR="000A62E1" w:rsidRPr="00093987"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 nodaļa</w:t>
      </w:r>
    </w:p>
    <w:p w:rsidR="000A62E1" w:rsidRPr="00093987"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sidRPr="00093987">
        <w:rPr>
          <w:rFonts w:asciiTheme="majorBidi" w:hAnsiTheme="majorBidi"/>
          <w:b/>
          <w:color w:val="000000"/>
          <w:sz w:val="20"/>
        </w:rPr>
        <w:t>Ziņošana par būtisku nevēlamu ietekmi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8. pants.</w:t>
      </w:r>
      <w:r w:rsidRPr="00093987">
        <w:rPr>
          <w:rFonts w:asciiTheme="majorBidi" w:hAnsiTheme="majorBidi"/>
          <w:color w:val="000000"/>
          <w:sz w:val="20"/>
        </w:rPr>
        <w:t xml:space="preserve"> 1. Tiek izveidota sistēma ziņošanai par būtisku nevēlamu ietekmi, kas saistīta ar kosmētikas līdzekļu lietošanu (turpmāk — “sistēma”).</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Sistēmas mērķis ir apstrādāt datus par būtisku nevēlamu ietekmi, kas paziņota saskaņā ar Regulas Nr. 1223/2009 23. pantu.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Sistēmas un personas datu uzraugs ir galvenais sanitārais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Lai nodrošinātu datu drošību sistēmas darbības laikā, galvenais sanitārais inspektors uztic sistēmā iekļauto datu apstrādi administratīvajam centram, kas noteikts saskaņā ar 13. pantu izdotajos noteikumos (turpmāk — “administratīvais centrs”).</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Administratīvais centrs atbilst šādām prasībām:</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vismaz 5 gadu pieredze jautājumos, kas saistīti ar būtiskas nevēlamas ietekmes novērtēšanas un klasificēšanas procesu;</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pieredze jautājumos, kas saistīti ar ķīmisko vielu un to maisījumu toksisko iedarbību;</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pieredze jautājumos, kas saistīti ar kosmētikas līdzekļu, ķīmisko vielu un to maisījumu ietekmi;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nodarbina personas, kurām ir atbilstoša kvalifikācija, lai novērtētu un klasificētu būtisku nevēlamu ietekmi;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izveido tādus organizatoriskos un tehniskos apstākļus, kas nodrošina apstrādāto datu aizsardzību pret neatļautu piekļuvi, nelikumīgu atklāšanu vai iegūšanu, kā arī pārveidošanu, bojāšanu, iznīcināšanu vai zaudēšanu.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6.</w:t>
      </w:r>
      <w:r w:rsidRPr="00093987">
        <w:rPr>
          <w:rFonts w:asciiTheme="majorBidi" w:hAnsiTheme="majorBidi"/>
          <w:color w:val="000000"/>
          <w:sz w:val="20"/>
        </w:rPr>
        <w:tab/>
        <w:t>Galvenais sanitārais inspektors var kontrolēt administratīvo centru attiecībā uz 5. punkta 5. apakšpunktā minēto apstākļu nodrošināšanu un veidu, kādā tiek sasniegti mērķi attiecībā uz uzticēto datu apstrādi sistēmā.</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7.</w:t>
      </w:r>
      <w:r w:rsidRPr="00093987">
        <w:rPr>
          <w:rFonts w:asciiTheme="majorBidi" w:hAnsiTheme="majorBidi"/>
          <w:color w:val="000000"/>
          <w:sz w:val="20"/>
        </w:rPr>
        <w:tab/>
        <w:t>Administratīvais centrs neuztic sistēmā iekļauto datu apstrādi citai personai.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8.</w:t>
      </w:r>
      <w:r w:rsidRPr="00093987">
        <w:rPr>
          <w:rFonts w:asciiTheme="majorBidi" w:hAnsiTheme="majorBidi"/>
          <w:color w:val="000000"/>
          <w:sz w:val="20"/>
        </w:rPr>
        <w:tab/>
        <w:t>Administratīvā centra uzdevumus apmaksā no tās valsts budžeta daļas, kuru pārvalda par veselības nozari atbildīgais ministrs.</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9. pants.</w:t>
      </w:r>
      <w:r w:rsidRPr="00093987">
        <w:rPr>
          <w:rFonts w:asciiTheme="majorBidi" w:hAnsiTheme="majorBidi"/>
          <w:color w:val="000000"/>
          <w:sz w:val="20"/>
        </w:rPr>
        <w:t xml:space="preserve"> 1. Informāciju par būtisku nevēlamu ietekmi paziņo administratīvajam centram.</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Ja ziņojumu par būtisku nevēlamu ietekmi administratīvajam centram iesniedz gala patērētājs, tajā norāda:</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tā kosmētikas līdzekļa nosaukumu, kura lietošana varētu būt radījusi būtisku nevēlamu ietekmi, kā arī tā partijas numuru;</w:t>
      </w:r>
    </w:p>
    <w:p w:rsidR="000A62E1" w:rsidRPr="00093987"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lietotāja personas datus:</w:t>
      </w:r>
    </w:p>
    <w:p w:rsidR="000A62E1" w:rsidRPr="00093987"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a)</w:t>
      </w:r>
      <w:r w:rsidRPr="00093987">
        <w:rPr>
          <w:rFonts w:asciiTheme="majorBidi" w:hAnsiTheme="majorBidi"/>
          <w:color w:val="000000"/>
          <w:sz w:val="20"/>
        </w:rPr>
        <w:tab/>
        <w:t>vārdu un uzvārdu;</w:t>
      </w:r>
    </w:p>
    <w:p w:rsidR="000A62E1" w:rsidRPr="00093987"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b)</w:t>
      </w:r>
      <w:r w:rsidRPr="00093987">
        <w:rPr>
          <w:rFonts w:asciiTheme="majorBidi" w:hAnsiTheme="majorBidi"/>
          <w:color w:val="000000"/>
          <w:sz w:val="20"/>
        </w:rPr>
        <w:tab/>
        <w:t>vecumu;</w:t>
      </w:r>
    </w:p>
    <w:p w:rsidR="000A62E1" w:rsidRPr="00093987"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c)</w:t>
      </w:r>
      <w:r w:rsidRPr="00093987">
        <w:rPr>
          <w:rFonts w:asciiTheme="majorBidi" w:hAnsiTheme="majorBidi"/>
          <w:color w:val="000000"/>
          <w:sz w:val="20"/>
        </w:rPr>
        <w:tab/>
        <w:t>savu nodarbošanos, ja tā ir saistīta ar kosmētikas līdzekļa lietošanu;</w:t>
      </w:r>
    </w:p>
    <w:p w:rsidR="000A62E1" w:rsidRPr="00093987"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d)</w:t>
      </w:r>
      <w:r w:rsidRPr="00093987">
        <w:rPr>
          <w:rFonts w:asciiTheme="majorBidi" w:hAnsiTheme="majorBidi"/>
          <w:color w:val="000000"/>
          <w:sz w:val="20"/>
        </w:rPr>
        <w:tab/>
        <w:t>dzīvesvietas adresi vai pasta adresi;</w:t>
      </w:r>
    </w:p>
    <w:p w:rsidR="000A62E1" w:rsidRPr="00093987"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e)</w:t>
      </w:r>
      <w:r w:rsidRPr="00093987">
        <w:rPr>
          <w:rFonts w:asciiTheme="majorBidi" w:hAnsiTheme="majorBidi"/>
          <w:color w:val="000000"/>
          <w:sz w:val="20"/>
        </w:rPr>
        <w:tab/>
        <w:t>e-pasta adresi, tālruņa numuru (ja ir);</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citus datus, kurus sniedz gala patērētājs saistībā ar ziņojumu;</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būtiskas nevēlamas ietekmes aprakstu un, ja tas ir pamatoti, citu ar gala patērētāju saistītu informāciju par veselību.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Administratīvais centrs pārbauda šā panta 2. punkta 1., 3. un 4. apakšpunktā minētos datus, lai noteiktu, vai ziņojums attiecas uz būtisku nevēlamu ietekmi, kas minēta Regulas Nr. 1223/2009 2. panta 1. punkta p) apakšpunktā.</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Ja ziņojumu par būtisku nevēlamu ietekmi administratīvajam centram iesniedz struktūra, kas veic terapeitisku darbību, vai medicīnas profesionālis, kurš strādā minētajā struktūrā, tajā iekļauj:</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tā kosmētikas līdzekļa nosaukumu, kura lietošana varētu būt radījusi būtisku nevēlamu ietekmi, kā arī tā partijas numuru;</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būtiskās nevēlamās ietekmes aprakstu;</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gala patērētāja vecumu un nodarbošanos, ja tā ir saistīta ar kosmētikas līdzekļa lietošanu (ja nepieciešams).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10. pants.</w:t>
      </w:r>
      <w:r w:rsidRPr="00093987">
        <w:rPr>
          <w:rFonts w:asciiTheme="majorBidi" w:hAnsiTheme="majorBidi"/>
          <w:color w:val="000000"/>
          <w:sz w:val="20"/>
        </w:rPr>
        <w:t xml:space="preserve"> 1. Administratīvais centrs apstrādā personas datus, lai izpildītu pienākumus saskaņā ar Regulas Nr. 1223/2009 23. panta 2.–4. punktu.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Personas datus uzglabā administratīvajā centrā saskaņā ar nosacījumiem, kas nepieļauj neatļautu personu piekļuvi tiem.</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Personas datus uzglabā administratīvajā centrā ne ilgāk par 1 gadu pēc nevēlamās ietekmes ziņojuma pārbaudes izbeigšanas.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Pēc datu apstrādes pārtraukšanas administratīvais centrs iesniedz galvenajam sanitārajam inspektoram minētos datus.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Administratīvais centrs un personas, kuras drīkst apstrādāt datus sistēmā, visu ar sistēmā iekļautajiem datiem saistīto informāciju glabā kā konfidenciālu.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11. pants.</w:t>
      </w:r>
      <w:r w:rsidRPr="00093987">
        <w:rPr>
          <w:rFonts w:asciiTheme="majorBidi" w:hAnsiTheme="majorBidi"/>
          <w:color w:val="000000"/>
          <w:sz w:val="20"/>
        </w:rPr>
        <w:t xml:space="preserve"> 1. Ja gala patērētājs paziņo par nevēlamu ietekmi atbildīgajai personai vai izplatītājam, atbildīgā persona vai izplatītājs apstrādā 9. panta 2. punkta 2)–4) apakšpunktā minētos personas datus un kļūst par to pārzini.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Atbildīgā persona vai izplatītājs apstrādā personas datus, lai izpildītu pienākumus saskaņā ar Regulas Nr. 1223/2009 10. panta 1. punktu, 11. panta 2. punkta b) apakšpunktu, 21. pantu, 23. panta 1. punktu.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Atbildīgā persona vai izplatītājs glabā personas datus saskaņā ar nosacījumiem, kas nepieļauj neatļautu personu piekļuvi tiem.</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Atbildīgā persona vai izplatītājs personas datus glabā ne ilgāk par 1 gadu pēc nevēlamās ietekmes ziņojuma pārbaudes izbeigšanas.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Atbildīgā persona vai izplatītājs izveido tādus organizatoriskos un tehniskos apstākļus, kas nodrošina apstrādāto datu aizsardzību pret neatļautu piekļuvi, nelikumīgu atklāšanu vai iegūšanu, kā arī pārveidošanu, bojāšanu, iznīcināšanu vai zaudēšanu.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6.</w:t>
      </w:r>
      <w:r w:rsidRPr="00093987">
        <w:rPr>
          <w:rFonts w:asciiTheme="majorBidi" w:hAnsiTheme="majorBidi"/>
          <w:color w:val="000000"/>
          <w:sz w:val="20"/>
        </w:rPr>
        <w:tab/>
        <w:t>Atbildīgā persona vai izplatītājs un personas, kuras drīkst apstrādāt datus minētajā struktūrā, visu ar datiem saistīto informāciju glabā kā konfidenciālu.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12. pants.</w:t>
      </w:r>
      <w:r w:rsidRPr="00093987">
        <w:rPr>
          <w:rFonts w:asciiTheme="majorBidi" w:hAnsiTheme="majorBidi"/>
          <w:color w:val="000000"/>
          <w:sz w:val="20"/>
        </w:rPr>
        <w:t xml:space="preserve"> 1. Administratīvais centrs paziņo galvenajam sanitārajam inspektoram par jebkādiem ziņojumiem par būtisku nevēlamu ietekmi. Šādā informācijā iekļauj datus, kas noteikti 9. panta 4. punktā, un, ja par būtisku nevēlamu ietekmi paziņo atbildīgā persona vai izplatītājs, — Regulas Nr. 1223/2009 23. panta 1. punkta c) apakšpunktā minētos datus.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Kompetentā iestāde attiecībā uz Regulas Nr. 1223/2009 23. panta 2.–4. punktā minētajiem jautājumiem ir galvenais sanitārais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13. pants.</w:t>
      </w:r>
      <w:r w:rsidRPr="00093987">
        <w:rPr>
          <w:rFonts w:asciiTheme="majorBidi" w:hAnsiTheme="majorBidi"/>
          <w:color w:val="000000"/>
          <w:sz w:val="20"/>
        </w:rPr>
        <w:t xml:space="preserve"> Par veselības nozari atbildīgais ministrs ar noteikumiem ieceļ administratīvo centru no tām zinātniskajām iestādēm, kas uzskaitītas 7. panta 1. punktā 2018. gada 20. jūlija Likumā par augstāko izglītību un zinātni (</w:t>
      </w:r>
      <w:r w:rsidRPr="00093987">
        <w:rPr>
          <w:rFonts w:asciiTheme="majorBidi" w:hAnsiTheme="majorBidi"/>
          <w:i/>
          <w:iCs/>
          <w:color w:val="000000"/>
          <w:sz w:val="20"/>
        </w:rPr>
        <w:t>Dz. U.</w:t>
      </w:r>
      <w:r w:rsidRPr="00093987">
        <w:rPr>
          <w:rFonts w:asciiTheme="majorBidi" w:hAnsiTheme="majorBidi"/>
          <w:color w:val="000000"/>
          <w:sz w:val="20"/>
        </w:rPr>
        <w:t xml:space="preserve"> Nr. 1668 un Nr. 2024), ņemot vērā uzdevumu izpildi saskaņā ar 23. pantu Regulā Nr. 1223/2009.</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 nodaļa</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093987">
        <w:rPr>
          <w:rFonts w:asciiTheme="majorBidi" w:hAnsiTheme="majorBidi"/>
          <w:b/>
          <w:color w:val="000000"/>
          <w:sz w:val="20"/>
        </w:rPr>
        <w:t>Kosmētikas līdzekļu uzraudzība</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14. pants.</w:t>
      </w:r>
      <w:r w:rsidRPr="00093987">
        <w:rPr>
          <w:rFonts w:asciiTheme="majorBidi" w:hAnsiTheme="majorBidi"/>
          <w:color w:val="000000"/>
          <w:sz w:val="20"/>
        </w:rPr>
        <w:t xml:space="preserve"> Likuma un Regulas Nr. 1223/2009 prasību ievērošanas uzraudzību savas kompetences ietvaros veic Valsts sanitārās inspekcijas un Tirdzniecības inspekcijas struktūras.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15. pants.</w:t>
      </w:r>
      <w:r w:rsidRPr="00093987">
        <w:rPr>
          <w:rFonts w:asciiTheme="majorBidi" w:hAnsiTheme="majorBidi"/>
          <w:color w:val="000000"/>
          <w:sz w:val="20"/>
        </w:rPr>
        <w:t xml:space="preserve"> 1. Kompetentā iestāde attiecībā uz Regulas Nr. 1223/2009 5.–7. pantā minētajiem jautājumiem ir Valsts sanitārā inspekcija.</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2.</w:t>
      </w:r>
      <w:r w:rsidRPr="00093987">
        <w:rPr>
          <w:rFonts w:asciiTheme="majorBidi" w:hAnsiTheme="majorBidi"/>
          <w:color w:val="000000"/>
          <w:sz w:val="20"/>
        </w:rPr>
        <w:tab/>
        <w:t>Kompetentā iestāde attiecībā uz Regulas Nr. 1223/2009 6. un 7. pantā minētajiem jautājumiem savas kompetences ietvaros ir Tirdzniecības inspekcijas struktūras.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16. pants.</w:t>
      </w:r>
      <w:r w:rsidRPr="00093987">
        <w:rPr>
          <w:rFonts w:asciiTheme="majorBidi" w:hAnsiTheme="majorBidi"/>
          <w:color w:val="000000"/>
          <w:sz w:val="20"/>
        </w:rPr>
        <w:t xml:space="preserve"> 1. Kompetentās iestādes attiecībā uz piekļuvi Regulas Nr. 1223/2009 11. panta 2. punktā minētajai informācijai un datiem ir Valsts sanitārās inspekcijas struktūras.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Kompetentās iestādes attiecībā uz piekļuvi Regulas Nr. 1223/2009 11. panta 2. panta d) apakšpunktā minētajai informācijai un datiem ir Tirdzniecības inspekcijas struktūras.</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17. pants.</w:t>
      </w:r>
      <w:r w:rsidRPr="00093987">
        <w:rPr>
          <w:rFonts w:asciiTheme="majorBidi" w:hAnsiTheme="majorBidi"/>
          <w:color w:val="000000"/>
          <w:sz w:val="20"/>
        </w:rPr>
        <w:t xml:space="preserve"> Regulas Nr. 1223/2009 13. panta 5. punktā minētās kompetentās iestādes ir:</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galvenais sanitārais inspektors;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Konkurences un patērētāju tiesību aizsardzības biroja prezidents;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Valsts sanitārās inspekcijas vojevodistes birojs;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Valsts sanitārās inspekcijas robežas birojs.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18. pants.</w:t>
      </w:r>
      <w:r w:rsidRPr="00093987">
        <w:rPr>
          <w:rFonts w:asciiTheme="majorBidi" w:hAnsiTheme="majorBidi"/>
          <w:color w:val="000000"/>
          <w:sz w:val="20"/>
        </w:rPr>
        <w:t xml:space="preserve"> 1. Piekļuvi informācijai par kosmētikas līdzekli, kura noteikta Regulas Nr. 1223/2009 13. panta 1.–3. punktā un kuru Eiropas Komisija ir darījusi pieejamu saskaņā ar minētās regulas 13. panta 6. punktu, centrs, kas ir pilnvarots piekļūt minētajai informācijai, piešķir ārstiem un zobārstiem ar mērķi nodrošināt ārstēšanu.</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Centrs atbilst šādām prasībām:</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sniedz toksikoloģiskās konsultācijas medicīnas jomas profesionāļiem;</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analizē saindēšanās cēloņus;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tam ir piekļuve zinātniskajām datubāzēm saistībā ar vielu toksikoloģiskajām īpašībām;</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tam ir tālrunis un elektroniskie līdzekļi saziņai ārkārtas situācijās.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Šā panta 1. punktā minēto uzdevumu apmaksā no tās valsts budžeta daļas, kuru pārvalda par veselības nozari atbildīgais ministrs.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Par veselības nozari atbildīgais ministrs ar noteikumiem ieceļ centru no tām zinātniskajām iestādēm, kas uzskaitītas 7. panta 1. punktā 2018. gada 20. jūlija Likumā par augstāko izglītību un zinātni, vai no citu iestāžu vidus, ņemot vērā uzdevumu izpildi saskaņā ar 13. panta 6. punktu Regulā Nr. 1223/2009.</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19. pants.</w:t>
      </w:r>
      <w:r w:rsidRPr="00093987">
        <w:rPr>
          <w:rFonts w:asciiTheme="majorBidi" w:hAnsiTheme="majorBidi"/>
          <w:color w:val="000000"/>
          <w:sz w:val="20"/>
        </w:rPr>
        <w:t xml:space="preserve"> Kompetentā iestāde, kas pieprasa Eiropas Komisijai atkāpes, kas minētas Regulas Nr. 1223/2009 18. panta 2. punktā, ir galvenais sanitārais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20. pants.</w:t>
      </w:r>
      <w:r w:rsidRPr="00093987">
        <w:rPr>
          <w:rFonts w:asciiTheme="majorBidi" w:hAnsiTheme="majorBidi"/>
          <w:color w:val="000000"/>
          <w:sz w:val="20"/>
        </w:rPr>
        <w:t xml:space="preserve"> 1. Galvenais sanitārais inspektors sadarbībā ar Konkurences un patērētāju tiesību aizsardzības biroja prezidentu sagatavo ziņojumu, kurā iekļauj uzraudzības pasākumu periodisko pārskatu un novērtējumu rezultātus saskaņā ar Regulas Nr. 1223/2009 22. pantu, iesniedz to Eiropas Komisijai un Eiropas Savienības dalībvalstīm vai Eiropas Brīvas tirdzniecības asociācijas (EBTA) valstīm, kas ir parakstījušas Līgumu par Eiropas Ekonomikas zonu.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Šā panta 1. punktā minēto ziņojumu dara pieejamu galvenais sanitārais inspektors savas tīmekļa vietnes Publiskās informācijas izdevumā.</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21. pants.</w:t>
      </w:r>
      <w:r w:rsidRPr="00093987">
        <w:rPr>
          <w:rFonts w:asciiTheme="majorBidi" w:hAnsiTheme="majorBidi"/>
          <w:color w:val="000000"/>
          <w:sz w:val="20"/>
        </w:rPr>
        <w:t xml:space="preserve"> 1. Regulas Nr. 1223/2009 24., 27. un 30. pantā minētā kompetentā iestāde ir galvenais sanitārais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Galvenais sanitārais inspektors var pieprasīt, lai vojevodistes, reģiona vai robežas sanitārais inspektors veiktu izmeklēšanu darbības jomā, kas minēta Regulas Nr. 1223/2009 24., 27. un 30. pantā, saistībā ar sadarbību starp Eiropas Savienības dalībvalstu vai EBTA valstu, kuras parakstījušas Līgumu par Eiropas ekonomikas zonu (EEZ), kompetentajām iestādēm.</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22. pants.</w:t>
      </w:r>
      <w:r w:rsidRPr="00093987">
        <w:rPr>
          <w:rFonts w:asciiTheme="majorBidi" w:hAnsiTheme="majorBidi"/>
          <w:color w:val="000000"/>
          <w:sz w:val="20"/>
        </w:rPr>
        <w:t xml:space="preserve"> Lai īstenotu Regulas Nr. 1223/2009 25. panta 2. un 4.–6. punkta prasības, reģiona līmeņa valsts sanitārais inspektors paziņo galvenajam sanitārajam inspektoram par īstenotajiem pasākumiem, kurš savukārt tos paziņo Eiropas Komisijai un Eiropas Savienības dalībvalstīm vai EBTA valstīm, kuras parakstījušas EEZ līgumu.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23. pants.</w:t>
      </w:r>
      <w:r w:rsidRPr="00093987">
        <w:rPr>
          <w:rFonts w:asciiTheme="majorBidi" w:hAnsiTheme="majorBidi"/>
          <w:color w:val="000000"/>
          <w:sz w:val="20"/>
        </w:rPr>
        <w:t xml:space="preserve"> Kompetentā iestāde, kas iebilst pret saskaņoto standartu, saskaņā ar Regulas Nr. 1223/2009 36. panta 1. punktu ir galvenais sanitārais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24. pants.</w:t>
      </w:r>
      <w:r w:rsidRPr="00093987">
        <w:rPr>
          <w:rFonts w:asciiTheme="majorBidi" w:hAnsiTheme="majorBidi"/>
          <w:color w:val="000000"/>
          <w:sz w:val="20"/>
        </w:rPr>
        <w:t xml:space="preserve"> 1. Valsts sanitārās inspekcijas struktūras ir kompetentas veikt Regulas Nr. 1223/2009 25. un 26. pantā minētos uzdevumus.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Tirdzniecības inspekcijas struktūras savas kompetences ietvaros var veikt uzdevumus, kas minēti Regulas Nr. 1223/2009 26. pantā.</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25. pants.</w:t>
      </w:r>
      <w:r w:rsidRPr="00093987">
        <w:rPr>
          <w:rFonts w:asciiTheme="majorBidi" w:hAnsiTheme="majorBidi"/>
          <w:color w:val="000000"/>
          <w:sz w:val="20"/>
        </w:rPr>
        <w:t xml:space="preserve"> 1. Uzraudzība, kas minēta 14. pantā, ietver tādu darbību veikšanu un tādu pasākumu piemērošanu, kas noteikti Likumā un Regulā Nr. 1223/2009, jo īpaši attiecībā uz kontroles īstenošanu, kosmētikas līdzekļu paraugu ņemšanu un laboratorijas pārbaužu veikšanu.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2.</w:t>
      </w:r>
      <w:r w:rsidRPr="00093987">
        <w:rPr>
          <w:rFonts w:asciiTheme="majorBidi" w:hAnsiTheme="majorBidi"/>
          <w:color w:val="000000"/>
          <w:sz w:val="20"/>
        </w:rPr>
        <w:tab/>
        <w:t>Kosmētikas līdzekļu paraugus pārbaudēm ņem bez maksas.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Par veselības nozari atbildīgais ministrs ar noteikumiem nosaka marķēšanas metodes kosmētikas līdzekļu paraugiem, kas nepieciešami kosmētikas līdzekļu drošuma pārbaudēm, ņemot vērā vajadzību nodrošināt patērētāju veselību un drošību, kā arī zinātnisko un tehnisko informāciju.</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 nodaļa</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093987">
        <w:rPr>
          <w:rFonts w:asciiTheme="majorBidi" w:hAnsiTheme="majorBidi"/>
          <w:b/>
          <w:color w:val="000000"/>
          <w:sz w:val="20"/>
        </w:rPr>
        <w:t>Naudas sodi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26. pants.</w:t>
      </w:r>
      <w:r w:rsidRPr="00093987">
        <w:rPr>
          <w:rFonts w:asciiTheme="majorBidi" w:hAnsiTheme="majorBidi"/>
          <w:color w:val="000000"/>
          <w:sz w:val="20"/>
        </w:rPr>
        <w:t xml:space="preserve"> 1. Visiem, kuri ražo kosmētikas līdzekli, neievērojot labas ražošanas prakses principus, piespriež naudas sodu apmērā līdz 50 000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Atbildīgajai personai, kura nenodrošina to, lai kosmētikas līdzeklis tiktu ražots saskaņā ar labas ražošanas prakses principiem, piespriež tādu pašu naudas sodu.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27. pants.</w:t>
      </w:r>
      <w:r w:rsidRPr="00093987">
        <w:rPr>
          <w:rFonts w:asciiTheme="majorBidi" w:hAnsiTheme="majorBidi"/>
          <w:color w:val="000000"/>
          <w:sz w:val="20"/>
        </w:rPr>
        <w:t xml:space="preserve"> Visi, kuri laiž tirgū kosmētikas līdzekli, kas neatbilst Regulas Nr. 1223/2009 10. pantā minētajām drošuma novērtējuma prasībām, piespriež naudas sodu apmērā līdz 100 000 PLN.</w:t>
      </w:r>
    </w:p>
    <w:p w:rsidR="00ED6ABA" w:rsidRPr="00093987" w:rsidRDefault="00ED6AB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28. pants.</w:t>
      </w:r>
      <w:r w:rsidRPr="00093987">
        <w:rPr>
          <w:rFonts w:asciiTheme="majorBidi" w:hAnsiTheme="majorBidi"/>
          <w:color w:val="000000"/>
          <w:sz w:val="20"/>
        </w:rPr>
        <w:t xml:space="preserve"> Visiem, kuri nepilda Regulas Nr. 1223/2009 5. panta 2. un 3. punktā un 6. panta 3.–5. punktā minētās prasības, piespriež naudas sodu apmērā līdz 50 000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29. pants.</w:t>
      </w:r>
      <w:r w:rsidRPr="00093987">
        <w:rPr>
          <w:rFonts w:asciiTheme="majorBidi" w:hAnsiTheme="majorBidi"/>
          <w:color w:val="000000"/>
          <w:sz w:val="20"/>
        </w:rPr>
        <w:t xml:space="preserve"> Visiem, kuri neievēro Regulas Nr. 1223/2009 11. panta 1. punktā noteikto pienākumu attiecībā uz laika periodu kosmētikas līdzekļa lietas glabāšanai, piespriež naudas sodu apmērā līdz 30 000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30. pants.</w:t>
      </w:r>
      <w:r w:rsidRPr="00093987">
        <w:rPr>
          <w:rFonts w:asciiTheme="majorBidi" w:hAnsiTheme="majorBidi"/>
          <w:color w:val="000000"/>
          <w:sz w:val="20"/>
        </w:rPr>
        <w:t xml:space="preserve"> Visiem, kuri laiž tirgū kosmētikas līdzekli, kas neatbilst Regulas Nr. 1223/2009 11. panta 2.–4. punktā minētajām kosmētikas līdzekļa lietas prasībām, piespriež naudas sodu apmērā līdz 100 000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31. pants.</w:t>
      </w:r>
      <w:r w:rsidRPr="00093987">
        <w:rPr>
          <w:rFonts w:asciiTheme="majorBidi" w:hAnsiTheme="majorBidi"/>
          <w:color w:val="000000"/>
          <w:sz w:val="20"/>
        </w:rPr>
        <w:t xml:space="preserve"> Visiem, kuri laiž tirgū kosmētikas līdzekli, neņemot paraugus un neveicot analīzi uzticamā un reproducējamā veidā, kā minēts Regulas Nr. 1223/2009 12. pantā, piespriež naudas sodu apmērā līdz 10 000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32. pants.</w:t>
      </w:r>
      <w:r w:rsidRPr="00093987">
        <w:rPr>
          <w:rFonts w:asciiTheme="majorBidi" w:hAnsiTheme="majorBidi"/>
          <w:color w:val="000000"/>
          <w:sz w:val="20"/>
        </w:rPr>
        <w:t xml:space="preserve"> 1. Visiem, kuri laiž tirgū kosmētikas līdzekli, kas neatbilst Regulas Nr. 1223/2009 13. panta 1.–4. punktā un 7. punktā un 16. panta 3. punktā minētajām paziņošanas prasībām, piespriež naudas sodu apmērā līdz 35 000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Izplatītājam, kurš dara tirgū pieejamu kosmētikas līdzekli, kas neatbilst Regulas Nr. 1223/2009 13. panta 3. un 4. punktā minētajām paziņošanas prasībām, piespriež tādu pašu naudas sodu.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33. pants.</w:t>
      </w:r>
      <w:r w:rsidRPr="00093987">
        <w:rPr>
          <w:rFonts w:asciiTheme="majorBidi" w:hAnsiTheme="majorBidi"/>
          <w:color w:val="000000"/>
          <w:sz w:val="20"/>
        </w:rPr>
        <w:t xml:space="preserve"> Visiem, kuri laiž tirgū kosmētikas līdzekli, neievērojot vielām noteiktos ierobežojumus, kuri minēti Regulas Nr. 1223/2009 14. pantā, 15. panta 1. un 2. punktā un 17. pantā, piespriež naudas sodu apmērā līdz 100 000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34. pants.</w:t>
      </w:r>
      <w:r w:rsidRPr="00093987">
        <w:rPr>
          <w:rFonts w:asciiTheme="majorBidi" w:hAnsiTheme="majorBidi"/>
          <w:color w:val="000000"/>
          <w:sz w:val="20"/>
        </w:rPr>
        <w:t xml:space="preserve"> Visiem, kuri laiž tirgū kosmētikas līdzekli, neievērojot aizliegumu pārbaudēm izmēģinājumos ar dzīvniekiem, kas minēti Regulas Nr. 1223/2009 18. panta 1. punktā, piespriež naudas sodu apmērā līdz 30 000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35. pants.</w:t>
      </w:r>
      <w:r w:rsidRPr="00093987">
        <w:rPr>
          <w:rFonts w:asciiTheme="majorBidi" w:hAnsiTheme="majorBidi"/>
          <w:color w:val="000000"/>
          <w:sz w:val="20"/>
        </w:rPr>
        <w:t xml:space="preserve"> Visiem, kuri, neievērojot aizliegumus, kas minēti Regulas Nr. 1223/2009 18. panta 1. punktā, veic pārbaudes izmēģinājumos ar dzīvniekiem, piespriež naudas sodu apmērā līdz 100 000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36. pants.</w:t>
      </w:r>
      <w:r w:rsidRPr="00093987">
        <w:rPr>
          <w:rFonts w:asciiTheme="majorBidi" w:hAnsiTheme="majorBidi"/>
          <w:color w:val="000000"/>
          <w:sz w:val="20"/>
        </w:rPr>
        <w:t xml:space="preserve"> 1. Visiem, kuri laiž tirgū kosmētikas līdzekli, kas neatbilst Regulas Nr. 1223/2009 19. panta 1.–3. punktā, 5. un 6. punktā minētajām marķēšanas prasībām, piespriež naudas sodu apmērā līdz 70 000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Visiem, kuri laiž tirgū vai dara pieejamu tirgū kosmētikas līdzekli, kas neatbilst 4. panta prasībām, piespriež tādu pašu naudas sodu.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37. pants.</w:t>
      </w:r>
      <w:r w:rsidRPr="00093987">
        <w:rPr>
          <w:rFonts w:asciiTheme="majorBidi" w:hAnsiTheme="majorBidi"/>
          <w:color w:val="000000"/>
          <w:sz w:val="20"/>
        </w:rPr>
        <w:t xml:space="preserve"> Visiem, kuri dara pieejamu tirgū kosmētikas līdzekli, kas neatbilst prasībām attiecībā uz Regulas Nr. 1223/2009 20. panta 1. vai 3. punktā minētajiem apgalvojumiem par kosmētikas līdzekli, piespriež naudas sodu apmērā līdz 20 000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38. pants.</w:t>
      </w:r>
      <w:r w:rsidRPr="00093987">
        <w:rPr>
          <w:rFonts w:asciiTheme="majorBidi" w:hAnsiTheme="majorBidi"/>
          <w:color w:val="000000"/>
          <w:sz w:val="20"/>
        </w:rPr>
        <w:t xml:space="preserve"> Atbildīgajai personai, kura nenodrošina piekļuvi publiskajai informācijai, kas minēta Regulas Nr. 1223/2009 21. pantā, piespriež naudas sodu apmērā līdz 10 000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39. pants.</w:t>
      </w:r>
      <w:r w:rsidRPr="00093987">
        <w:rPr>
          <w:rFonts w:asciiTheme="majorBidi" w:hAnsiTheme="majorBidi"/>
          <w:color w:val="000000"/>
          <w:sz w:val="20"/>
        </w:rPr>
        <w:t xml:space="preserve"> Atbildīgajai personai vai izplatītājam, kurš nepilda Regulas Nr. 1223/2009 23. panta 1.–3. punktā minēto pienākumu paziņot par būtisku nevēlamu ietekmi, piespriež naudas sodu apmērā līdz 100 000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40. pants.</w:t>
      </w:r>
      <w:r w:rsidRPr="00093987">
        <w:rPr>
          <w:rFonts w:asciiTheme="majorBidi" w:hAnsiTheme="majorBidi"/>
          <w:color w:val="000000"/>
          <w:sz w:val="20"/>
        </w:rPr>
        <w:t xml:space="preserve"> Atbildīgajai personai, kura neiesniedz informāciju, kas tiek pieprasīta saskaņā ar Regulas Nr. 1223/2009 24. pantu, piespriež naudas sodu apmērā līdz 20 000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41. pants.</w:t>
      </w:r>
      <w:r w:rsidRPr="00093987">
        <w:rPr>
          <w:rFonts w:asciiTheme="majorBidi" w:hAnsiTheme="majorBidi"/>
          <w:color w:val="000000"/>
          <w:sz w:val="20"/>
        </w:rPr>
        <w:t xml:space="preserve"> Visiem, kuri laiž tirgū vai dara pieejamu tirgū kosmētikas līdzekli pēc tā minimālā derīguma termiņa beigām, piespriež naudas sodu apmērā līdz 50 000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42. pants.</w:t>
      </w:r>
      <w:r w:rsidRPr="00093987">
        <w:rPr>
          <w:rFonts w:asciiTheme="majorBidi" w:hAnsiTheme="majorBidi"/>
          <w:color w:val="000000"/>
          <w:sz w:val="20"/>
        </w:rPr>
        <w:t xml:space="preserve"> Atbildīgajai personai, kura nepilda Regulas Nr. 1223/2009 25. panta 3. punktā minētos pienākumus, piespriež naudas sodu apmērā līdz 20 000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43. pants.</w:t>
      </w:r>
      <w:r w:rsidRPr="00093987">
        <w:rPr>
          <w:rFonts w:asciiTheme="majorBidi" w:hAnsiTheme="majorBidi"/>
          <w:color w:val="000000"/>
          <w:sz w:val="20"/>
        </w:rPr>
        <w:t xml:space="preserve"> 1. Visiem, kuri ražo kosmētikas līdzekli, neiesniedzot pieteikuma veidlapu, kas minēta 6. panta 2. punktā, vai ja ir pagājis 6. panta 4. punktā minētais laika ierobežojums, piespriež naudas sodu apmērā līdz 50 000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Visiem, kuri pārkāpj 6. panta 7. punktā minēto pienākumu, piespriež tādu pašu naudas sodu.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lastRenderedPageBreak/>
        <w:t>44. pants.</w:t>
      </w:r>
      <w:r w:rsidRPr="00093987">
        <w:rPr>
          <w:rFonts w:asciiTheme="majorBidi" w:hAnsiTheme="majorBidi"/>
          <w:color w:val="000000"/>
          <w:sz w:val="20"/>
        </w:rPr>
        <w:t xml:space="preserve"> Visiem, kuri nepilda Regulas Nr. 1223/2009 7. pantā minētos pienākumus, piespriež naudas sodu apmērā līdz 10 000 PLN.</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45. pants.</w:t>
      </w:r>
      <w:r w:rsidRPr="00093987">
        <w:rPr>
          <w:rFonts w:asciiTheme="majorBidi" w:hAnsiTheme="majorBidi"/>
          <w:color w:val="000000"/>
          <w:sz w:val="20"/>
        </w:rPr>
        <w:t xml:space="preserve"> Atbildīgajai personai, kura nepilda 3. pantā minēto pienākumu, piespriež naudas sodu apmērā līdz 10 000 PLN.</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46. pants. </w:t>
      </w:r>
      <w:r w:rsidRPr="00093987">
        <w:rPr>
          <w:rFonts w:asciiTheme="majorBidi" w:hAnsiTheme="majorBidi"/>
          <w:color w:val="000000"/>
          <w:sz w:val="20"/>
        </w:rPr>
        <w:t>1. Naudas sodus, kas minēti: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šā likuma 26., 27., 29.–35., 38.–40., 42., 43. un 45. pantā, ar lēmumu piespriež kompetentais reģiona līmeņa valsts sanitārais inspektors;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šā likuma 28., 36., 37., 41. un 44. pantā, ar lēmumu piespriež attiecīgi kompetentais reģiona līmeņa valsts sanitārais inspektors vai Tirdzniecības inspekcijas vojevodistes inspektors.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Ienākumus no naudas sodiem, kas minēti 26.–45. pantā, iemaksā valsts budžetā.</w:t>
      </w:r>
    </w:p>
    <w:p w:rsidR="000A62E1" w:rsidRPr="00093987"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6. nodaļa</w:t>
      </w:r>
    </w:p>
    <w:p w:rsidR="000A62E1" w:rsidRPr="00093987"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Grozījumi noteikumos</w:t>
      </w:r>
    </w:p>
    <w:p w:rsidR="000A62E1" w:rsidRPr="00093987"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47. pants. </w:t>
      </w:r>
      <w:r w:rsidRPr="00093987">
        <w:rPr>
          <w:rFonts w:asciiTheme="majorBidi" w:hAnsiTheme="majorBidi"/>
          <w:color w:val="000000"/>
          <w:sz w:val="20"/>
        </w:rPr>
        <w:t xml:space="preserve">1985. gada 14. marta Likumu par Valsts sanitāro inspekciju (2017. gada </w:t>
      </w:r>
      <w:r w:rsidRPr="00093987">
        <w:rPr>
          <w:rFonts w:asciiTheme="majorBidi" w:hAnsiTheme="majorBidi"/>
          <w:i/>
          <w:iCs/>
          <w:color w:val="000000"/>
          <w:sz w:val="20"/>
        </w:rPr>
        <w:t>Dz. U.</w:t>
      </w:r>
      <w:r w:rsidRPr="00093987">
        <w:rPr>
          <w:rFonts w:asciiTheme="majorBidi" w:hAnsiTheme="majorBidi"/>
          <w:color w:val="000000"/>
          <w:sz w:val="20"/>
        </w:rPr>
        <w:t xml:space="preserve"> Nr. 1261 un Nr. 2111; 2018. gada </w:t>
      </w:r>
      <w:r w:rsidRPr="00093987">
        <w:rPr>
          <w:rFonts w:asciiTheme="majorBidi" w:hAnsiTheme="majorBidi"/>
          <w:i/>
          <w:iCs/>
          <w:color w:val="000000"/>
          <w:sz w:val="20"/>
        </w:rPr>
        <w:t>Dz. U.</w:t>
      </w:r>
      <w:r w:rsidRPr="00093987">
        <w:rPr>
          <w:rFonts w:asciiTheme="majorBidi" w:hAnsiTheme="majorBidi"/>
          <w:color w:val="000000"/>
          <w:sz w:val="20"/>
        </w:rPr>
        <w:t xml:space="preserve"> Nr. 138, Nr. 650 un Nr. 1490) groza šādi: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likuma 1. panta 6) apakšpunktā tekstu “patēriņa preces” aizstāj ar tekstu “kosmētikas līdzekļi”;</w:t>
      </w:r>
    </w:p>
    <w:p w:rsidR="000A62E1" w:rsidRPr="00093987"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likuma 4. panta 1. punktā:</w:t>
      </w:r>
    </w:p>
    <w:p w:rsidR="000A62E1" w:rsidRPr="00093987"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a)</w:t>
      </w:r>
      <w:r w:rsidRPr="00093987">
        <w:rPr>
          <w:rFonts w:asciiTheme="majorBidi" w:hAnsiTheme="majorBidi"/>
          <w:color w:val="000000"/>
          <w:sz w:val="20"/>
        </w:rPr>
        <w:tab/>
        <w:t>4) apakšpunktu aizstāj ar šādu:</w:t>
      </w:r>
    </w:p>
    <w:p w:rsidR="000A62E1" w:rsidRPr="00093987"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veselības nosacījumi materiālu ražošanai un tādu materiālu un produktu tirdzniecībai, kas paredzēti saskarei ar pārtiku, kosmētikas līdzekļu un citu izstrādājumu, kuri var ietekmēt cilvēku veselību, tirdzniecībai;”;</w:t>
      </w:r>
    </w:p>
    <w:p w:rsidR="000A62E1" w:rsidRPr="00093987"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b)</w:t>
      </w:r>
      <w:r w:rsidRPr="00093987">
        <w:rPr>
          <w:rFonts w:asciiTheme="majorBidi" w:hAnsiTheme="majorBidi"/>
          <w:color w:val="000000"/>
          <w:sz w:val="20"/>
        </w:rPr>
        <w:tab/>
        <w:t>pēc 4) apakšpunkta iekļauj šādu 4.a) apakšpunktu:</w:t>
      </w:r>
    </w:p>
    <w:p w:rsidR="000A62E1" w:rsidRPr="00093987"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“4.a)</w:t>
      </w:r>
      <w:r w:rsidRPr="00093987">
        <w:rPr>
          <w:rFonts w:asciiTheme="majorBidi" w:hAnsiTheme="majorBidi"/>
          <w:color w:val="000000"/>
          <w:sz w:val="20"/>
        </w:rPr>
        <w:tab/>
        <w:t>uzraudzība attiecībā uz 2018. gada 4. oktobra Likuma par kosmētikas līdzekļiem (</w:t>
      </w:r>
      <w:r w:rsidRPr="00093987">
        <w:rPr>
          <w:rFonts w:asciiTheme="majorBidi" w:hAnsiTheme="majorBidi"/>
          <w:i/>
          <w:iCs/>
          <w:color w:val="000000"/>
          <w:sz w:val="20"/>
        </w:rPr>
        <w:t>Dz. U.</w:t>
      </w:r>
      <w:r w:rsidRPr="00093987">
        <w:rPr>
          <w:rFonts w:asciiTheme="majorBidi" w:hAnsiTheme="majorBidi"/>
          <w:color w:val="000000"/>
          <w:sz w:val="20"/>
        </w:rPr>
        <w:t xml:space="preserve"> Nr. 2227) un Eiropas Parlamenta un Padomes 2009. gada 30. novembra Regulas (EK) Nr. 1223/2009 par kosmētikas līdzekļiem (pārstrādāta versija) (OV L 342, 22.12.2009., 59. lpp., ar grozījumiem</w:t>
      </w:r>
      <w:r w:rsidR="00346C9E" w:rsidRPr="00093987">
        <w:rPr>
          <w:rStyle w:val="FootnoteReference"/>
          <w:rFonts w:asciiTheme="majorBidi" w:eastAsia="Times New Roman" w:hAnsiTheme="majorBidi" w:cstheme="majorBidi"/>
          <w:color w:val="000000"/>
          <w:sz w:val="20"/>
          <w:szCs w:val="20"/>
        </w:rPr>
        <w:footnoteReference w:id="5"/>
      </w:r>
      <w:r w:rsidRPr="00093987">
        <w:rPr>
          <w:rFonts w:asciiTheme="majorBidi" w:hAnsiTheme="majorBidi"/>
          <w:color w:val="000000"/>
          <w:sz w:val="20"/>
          <w:vertAlign w:val="superscript"/>
        </w:rPr>
        <w:t>)</w:t>
      </w:r>
      <w:r w:rsidRPr="00093987">
        <w:rPr>
          <w:rFonts w:asciiTheme="majorBidi" w:hAnsiTheme="majorBidi"/>
          <w:color w:val="000000"/>
          <w:sz w:val="20"/>
        </w:rPr>
        <w:t>) noteikumu ievērošanu saistībā ar minētās regulas 19. pantā noteiktā pareizas marķēšanas pienākuma izpildi;”;</w:t>
      </w:r>
    </w:p>
    <w:p w:rsidR="000A62E1" w:rsidRPr="00093987"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likuma 27. pantā 2. punktu aizstāj ar šādu:</w:t>
      </w:r>
    </w:p>
    <w:p w:rsidR="000A62E1" w:rsidRPr="00093987"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 Ja 1. punktā minēto prasību pārkāpums ir izraisījis tiešu risku cilvēku dzīvībai vai veselībai, valsts sanitārais inspektors norīko rūpnīcas vai tās daļas (darba stacijas, iekārtas vai citas ierīces) imobilizāciju, publiskās iestādes slēgšanu, transportlīdzekļa ekspluatācijas pārtraukšanu, pārtikas produkta, saskarei ar pārtiku paredzēta materiāla vai produkta, kosmētikas līdzekļu vai citu produktu, kuri var ietekmēt cilvēku veselību, izņemšanu no tirgus, kā arī veikt vai pārtraukt citas darbības; lēmumi par to stājas spēkā nekavējoties.”;</w:t>
      </w:r>
    </w:p>
    <w:p w:rsidR="000A62E1" w:rsidRPr="00093987"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4)</w:t>
      </w:r>
      <w:r w:rsidRPr="00093987">
        <w:rPr>
          <w:rFonts w:asciiTheme="majorBidi" w:hAnsiTheme="majorBidi"/>
          <w:color w:val="000000"/>
          <w:sz w:val="20"/>
        </w:rPr>
        <w:tab/>
        <w:t>likuma 29. pantu aizstāj ar šādu:</w:t>
      </w:r>
    </w:p>
    <w:p w:rsidR="000A62E1" w:rsidRPr="00093987"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 xml:space="preserve">“29. pants. Gadījumos, kas minēti 27.–28. pantā, valsts sanitārajiem inspektoriem ir tiesības aizsargāt telpas, transportlīdzekļus, iekārtas vai citas ierīces, pārtikas produktus, materiālus un produktus, kas paredzēti saskarei ar pārtiku, kosmētikas līdzekļus, mazgāšanas līdzekļus, ķīmiskās vielas un to maisījumus, kā arī produktus 2011. gada 25. februāra Likuma par ķīmiskajām vielām un to maisījumiem izpratnē, kā arī citus produktus, kuri var ietekmēt cilvēku veselību. Aizsardzības procedūrai piemēro prasības, kas noteiktas 1966. gada 17. jūnija Likumā par administrācijas izpildes procesu (2018. gada </w:t>
      </w:r>
      <w:r w:rsidRPr="00093987">
        <w:rPr>
          <w:rFonts w:asciiTheme="majorBidi" w:hAnsiTheme="majorBidi"/>
          <w:i/>
          <w:iCs/>
          <w:color w:val="000000"/>
          <w:sz w:val="20"/>
        </w:rPr>
        <w:t>Dz. U.</w:t>
      </w:r>
      <w:r w:rsidRPr="00093987">
        <w:rPr>
          <w:rFonts w:asciiTheme="majorBidi" w:hAnsiTheme="majorBidi"/>
          <w:color w:val="000000"/>
          <w:sz w:val="20"/>
        </w:rPr>
        <w:t xml:space="preserve"> Nr. 1314, Nr. 1356, Nr. 1499, Nr. 1629, Nr. 2192 un Nr. 2193), ja vien īpašos noteikumos nav noteikts citādi.”;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5)</w:t>
      </w:r>
      <w:r w:rsidRPr="00093987">
        <w:rPr>
          <w:rFonts w:asciiTheme="majorBidi" w:hAnsiTheme="majorBidi"/>
          <w:color w:val="000000"/>
          <w:sz w:val="20"/>
        </w:rPr>
        <w:tab/>
        <w:t>36. panta 3. punktā vārdu “kosmētika” aizstāj ar vārdu “kosmētikas līdzekļi”.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48. pants.</w:t>
      </w:r>
      <w:r w:rsidRPr="00093987">
        <w:rPr>
          <w:rFonts w:asciiTheme="majorBidi" w:hAnsiTheme="majorBidi"/>
          <w:color w:val="000000"/>
          <w:sz w:val="20"/>
        </w:rPr>
        <w:t xml:space="preserve"> 1995. gada 9. novembra Likuma par veselības aizsardzību pret tabakas un tabakas izstrādājumu lietošanas sekām (2018. gada </w:t>
      </w:r>
      <w:r w:rsidRPr="00093987">
        <w:rPr>
          <w:rFonts w:asciiTheme="majorBidi" w:hAnsiTheme="majorBidi"/>
          <w:i/>
          <w:iCs/>
          <w:color w:val="000000"/>
          <w:sz w:val="20"/>
        </w:rPr>
        <w:t>Dz. U.</w:t>
      </w:r>
      <w:r w:rsidRPr="00093987">
        <w:rPr>
          <w:rFonts w:asciiTheme="majorBidi" w:hAnsiTheme="majorBidi"/>
          <w:color w:val="000000"/>
          <w:sz w:val="20"/>
        </w:rPr>
        <w:t xml:space="preserve"> Nr. 1446) 8. panta 4. punkta 4) apakšpunktā vārdu “kosmētika” aizstāj ar tekstu “kosmētikas līdzeklis”.</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49. pants.</w:t>
      </w:r>
      <w:r w:rsidRPr="00093987">
        <w:rPr>
          <w:rFonts w:asciiTheme="majorBidi" w:hAnsiTheme="majorBidi"/>
          <w:color w:val="000000"/>
          <w:sz w:val="20"/>
        </w:rPr>
        <w:t xml:space="preserve"> 1997. gada 4. septembra Likuma par valsts administratīvo iestāžu nodaļām (2018. gada </w:t>
      </w:r>
      <w:r w:rsidRPr="00093987">
        <w:rPr>
          <w:rFonts w:asciiTheme="majorBidi" w:hAnsiTheme="majorBidi"/>
          <w:i/>
          <w:iCs/>
          <w:color w:val="000000"/>
          <w:sz w:val="20"/>
        </w:rPr>
        <w:t>Dz. U.</w:t>
      </w:r>
      <w:r w:rsidRPr="00093987">
        <w:rPr>
          <w:rFonts w:asciiTheme="majorBidi" w:hAnsiTheme="majorBidi"/>
          <w:color w:val="000000"/>
          <w:sz w:val="20"/>
        </w:rPr>
        <w:t xml:space="preserve"> Nr. 762, ar grozījumiem</w:t>
      </w:r>
      <w:r w:rsidR="00346C9E" w:rsidRPr="00093987">
        <w:rPr>
          <w:rStyle w:val="FootnoteReference"/>
          <w:rFonts w:asciiTheme="majorBidi" w:eastAsia="Times New Roman" w:hAnsiTheme="majorBidi" w:cstheme="majorBidi"/>
          <w:color w:val="000000"/>
          <w:sz w:val="20"/>
          <w:szCs w:val="20"/>
        </w:rPr>
        <w:footnoteReference w:id="6"/>
      </w:r>
      <w:r w:rsidRPr="00093987">
        <w:rPr>
          <w:rFonts w:asciiTheme="majorBidi" w:hAnsiTheme="majorBidi"/>
          <w:color w:val="000000"/>
          <w:sz w:val="20"/>
          <w:vertAlign w:val="superscript"/>
        </w:rPr>
        <w:t>)</w:t>
      </w:r>
      <w:r w:rsidRPr="00093987">
        <w:rPr>
          <w:rFonts w:asciiTheme="majorBidi" w:hAnsiTheme="majorBidi"/>
          <w:color w:val="000000"/>
          <w:sz w:val="20"/>
        </w:rPr>
        <w:t>) 33. panta 1. punkta 2) apakšpunktā vārdu “kosmētika” aizstāj ar tekstu “kosmētikas līdzekļi”.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lastRenderedPageBreak/>
        <w:t>50. pants.</w:t>
      </w:r>
      <w:r w:rsidRPr="00093987">
        <w:rPr>
          <w:rFonts w:asciiTheme="majorBidi" w:hAnsiTheme="majorBidi"/>
          <w:color w:val="000000"/>
          <w:sz w:val="20"/>
        </w:rPr>
        <w:t xml:space="preserve"> 1999. gada 10. septembra Likuma “Fiskālo pārkāpumu kodekss” (2018. gada </w:t>
      </w:r>
      <w:r w:rsidRPr="00093987">
        <w:rPr>
          <w:rFonts w:asciiTheme="majorBidi" w:hAnsiTheme="majorBidi"/>
          <w:i/>
          <w:iCs/>
          <w:color w:val="000000"/>
          <w:sz w:val="20"/>
        </w:rPr>
        <w:t>Dz. U.</w:t>
      </w:r>
      <w:r w:rsidRPr="00093987">
        <w:rPr>
          <w:rFonts w:asciiTheme="majorBidi" w:hAnsiTheme="majorBidi"/>
          <w:color w:val="000000"/>
          <w:sz w:val="20"/>
        </w:rPr>
        <w:t xml:space="preserve"> Nr. 1958, Nr. 2192 un Nr. 2193) 31. panta 5. punktā vārdu “kosmētika” aizstāj ar tekstu “kosmētikas līdzekļi”.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 xml:space="preserve">51. pants. </w:t>
      </w:r>
      <w:r w:rsidRPr="00093987">
        <w:rPr>
          <w:rFonts w:asciiTheme="majorBidi" w:hAnsiTheme="majorBidi"/>
          <w:color w:val="000000"/>
          <w:sz w:val="20"/>
        </w:rPr>
        <w:t xml:space="preserve">2000. gada 29. novembra Kodollikumā (2018. gada </w:t>
      </w:r>
      <w:r w:rsidRPr="00093987">
        <w:rPr>
          <w:rFonts w:asciiTheme="majorBidi" w:hAnsiTheme="majorBidi"/>
          <w:i/>
          <w:iCs/>
          <w:color w:val="000000"/>
          <w:sz w:val="20"/>
        </w:rPr>
        <w:t>Dz. U.</w:t>
      </w:r>
      <w:r w:rsidRPr="00093987">
        <w:rPr>
          <w:rFonts w:asciiTheme="majorBidi" w:hAnsiTheme="majorBidi"/>
          <w:color w:val="000000"/>
          <w:sz w:val="20"/>
        </w:rPr>
        <w:t xml:space="preserve"> Nr. 792 un Nr. 1669) 4. panta 2. punktā vārdu “kosmētika” aizstāj ar tekstu “kosmētikas līdzekļi”.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52. pants.</w:t>
      </w:r>
      <w:r w:rsidRPr="00093987">
        <w:rPr>
          <w:rFonts w:asciiTheme="majorBidi" w:hAnsiTheme="majorBidi"/>
          <w:color w:val="000000"/>
          <w:sz w:val="20"/>
        </w:rPr>
        <w:t xml:space="preserve"> 2000. gada 15. decembra Likuma par tirdzniecības kontroli (2018. gada </w:t>
      </w:r>
      <w:r w:rsidRPr="00093987">
        <w:rPr>
          <w:rFonts w:asciiTheme="majorBidi" w:hAnsiTheme="majorBidi"/>
          <w:i/>
          <w:iCs/>
          <w:color w:val="000000"/>
          <w:sz w:val="20"/>
        </w:rPr>
        <w:t>Dz. U.</w:t>
      </w:r>
      <w:r w:rsidRPr="00093987">
        <w:rPr>
          <w:rFonts w:asciiTheme="majorBidi" w:hAnsiTheme="majorBidi"/>
          <w:color w:val="000000"/>
          <w:sz w:val="20"/>
        </w:rPr>
        <w:t xml:space="preserve"> Nr. 1930) 3. panta 1. punktā pēc 2.h) apakšpunkta iekļauj šādu 2.i) apakšpunktu:</w:t>
      </w:r>
    </w:p>
    <w:p w:rsidR="000A62E1" w:rsidRPr="00093987" w:rsidRDefault="00AC5F6A" w:rsidP="00ED6ABA">
      <w:pPr>
        <w:spacing w:before="120"/>
        <w:ind w:left="504" w:right="72"/>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“2.i)</w:t>
      </w:r>
      <w:r w:rsidRPr="00093987">
        <w:rPr>
          <w:rFonts w:asciiTheme="majorBidi" w:hAnsiTheme="majorBidi"/>
          <w:color w:val="000000"/>
          <w:sz w:val="20"/>
        </w:rPr>
        <w:tab/>
        <w:t>izplatītāju atbilstības uzraudzība attiecībā uz prasībām par kosmētikas līdzekļiem;”.</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53. pants.</w:t>
      </w:r>
      <w:r w:rsidRPr="00093987">
        <w:rPr>
          <w:rFonts w:asciiTheme="majorBidi" w:hAnsiTheme="majorBidi"/>
          <w:color w:val="000000"/>
          <w:sz w:val="20"/>
        </w:rPr>
        <w:t xml:space="preserve"> 2001. gada 22. jūnija Likuma par mikroorganismiem un ģenētiski modificētiem organismiem (2017. gada </w:t>
      </w:r>
      <w:r w:rsidRPr="00093987">
        <w:rPr>
          <w:rFonts w:asciiTheme="majorBidi" w:hAnsiTheme="majorBidi"/>
          <w:i/>
          <w:iCs/>
          <w:color w:val="000000"/>
          <w:sz w:val="20"/>
        </w:rPr>
        <w:t>Dz. U.</w:t>
      </w:r>
      <w:r w:rsidRPr="00093987">
        <w:rPr>
          <w:rFonts w:asciiTheme="majorBidi" w:hAnsiTheme="majorBidi"/>
          <w:color w:val="000000"/>
          <w:sz w:val="20"/>
        </w:rPr>
        <w:t xml:space="preserve"> Nr. 2134 un 2018. gada </w:t>
      </w:r>
      <w:r w:rsidRPr="00093987">
        <w:rPr>
          <w:rFonts w:asciiTheme="majorBidi" w:hAnsiTheme="majorBidi"/>
          <w:i/>
          <w:iCs/>
          <w:color w:val="000000"/>
          <w:sz w:val="20"/>
        </w:rPr>
        <w:t>Dz. U.</w:t>
      </w:r>
      <w:r w:rsidRPr="00093987">
        <w:rPr>
          <w:rFonts w:asciiTheme="majorBidi" w:hAnsiTheme="majorBidi"/>
          <w:color w:val="000000"/>
          <w:sz w:val="20"/>
        </w:rPr>
        <w:t xml:space="preserve"> Nr. 810 un Nr. 1669) 15.s panta 4. punkta h) apakšpunktā vārdu “kosmētika” aizstāj ar tekstu “kosmētikas līdzekļi”.</w:t>
      </w:r>
    </w:p>
    <w:p w:rsidR="000A62E1" w:rsidRPr="00093987"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54. pants.</w:t>
      </w:r>
      <w:r w:rsidRPr="00093987">
        <w:rPr>
          <w:rFonts w:asciiTheme="majorBidi" w:hAnsiTheme="majorBidi"/>
          <w:color w:val="000000"/>
          <w:sz w:val="20"/>
        </w:rPr>
        <w:t xml:space="preserve"> 2001. gada 6. septembra Zāļu likumu (2017. gada </w:t>
      </w:r>
      <w:r w:rsidRPr="00093987">
        <w:rPr>
          <w:rFonts w:asciiTheme="majorBidi" w:hAnsiTheme="majorBidi"/>
          <w:i/>
          <w:iCs/>
          <w:color w:val="000000"/>
          <w:sz w:val="20"/>
        </w:rPr>
        <w:t>Dz. U.</w:t>
      </w:r>
      <w:r w:rsidRPr="00093987">
        <w:rPr>
          <w:rFonts w:asciiTheme="majorBidi" w:hAnsiTheme="majorBidi"/>
          <w:color w:val="000000"/>
          <w:sz w:val="20"/>
        </w:rPr>
        <w:t xml:space="preserve"> Nr. 2211, ar grozījumiem</w:t>
      </w:r>
      <w:r w:rsidR="00346C9E" w:rsidRPr="00093987">
        <w:rPr>
          <w:rStyle w:val="FootnoteReference"/>
          <w:rFonts w:asciiTheme="majorBidi" w:eastAsia="Times New Roman" w:hAnsiTheme="majorBidi" w:cstheme="majorBidi"/>
          <w:color w:val="000000"/>
          <w:sz w:val="20"/>
          <w:szCs w:val="20"/>
        </w:rPr>
        <w:footnoteReference w:id="7"/>
      </w:r>
      <w:r w:rsidRPr="00093987">
        <w:rPr>
          <w:rFonts w:asciiTheme="majorBidi" w:hAnsiTheme="majorBidi"/>
          <w:color w:val="000000"/>
          <w:sz w:val="20"/>
          <w:vertAlign w:val="superscript"/>
        </w:rPr>
        <w:t>)</w:t>
      </w:r>
      <w:r w:rsidRPr="00093987">
        <w:rPr>
          <w:rFonts w:asciiTheme="majorBidi" w:hAnsiTheme="majorBidi"/>
          <w:color w:val="000000"/>
          <w:sz w:val="20"/>
        </w:rPr>
        <w:t>) groza šādi: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likuma 3.a pantā vārdu “kosmētika” aizstāj ar vārdu “kosmētikas līdzeklis”;</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likuma 55. panta 2. punkta 1) apakšpunkta d) daļā vārdu “kosmētika” aizstāj ar vārdu “kosmētikas līdzekļi”;</w:t>
      </w:r>
    </w:p>
    <w:p w:rsidR="000A62E1" w:rsidRPr="00093987"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likuma 72. panta 5. punkta 3) apakšpunktu aizstāj ar šādu:</w:t>
      </w:r>
    </w:p>
    <w:p w:rsidR="000A62E1" w:rsidRPr="00093987"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“3)</w:t>
      </w:r>
      <w:r w:rsidRPr="00093987">
        <w:rPr>
          <w:rFonts w:asciiTheme="majorBidi" w:hAnsiTheme="majorBidi"/>
          <w:color w:val="000000"/>
          <w:sz w:val="20"/>
        </w:rPr>
        <w:tab/>
        <w:t>kosmētikas līdzekļi tādā nozīmē, kā minēts 2. panta 1. punkta a) apakšpunktā Eiropas Parlamenta un Padomes 2009. gada 30. novembra Regulā (EK) Nr. 1223/2009 par kosmētikas līdzekļiem (pārstrādāta versija) (OV L 342, 22.12.2009., 59. lpp., ar grozījumiem</w:t>
      </w:r>
      <w:r w:rsidR="00346C9E" w:rsidRPr="00093987">
        <w:rPr>
          <w:rStyle w:val="FootnoteReference"/>
          <w:rFonts w:asciiTheme="majorBidi" w:eastAsia="Times New Roman" w:hAnsiTheme="majorBidi" w:cstheme="majorBidi"/>
          <w:color w:val="000000"/>
          <w:sz w:val="20"/>
          <w:szCs w:val="20"/>
        </w:rPr>
        <w:footnoteReference w:id="8"/>
      </w:r>
      <w:r w:rsidRPr="00093987">
        <w:rPr>
          <w:rFonts w:asciiTheme="majorBidi" w:hAnsiTheme="majorBidi"/>
          <w:color w:val="000000"/>
          <w:sz w:val="20"/>
          <w:vertAlign w:val="superscript"/>
        </w:rPr>
        <w:t>)</w:t>
      </w:r>
      <w:r w:rsidRPr="00093987">
        <w:rPr>
          <w:rFonts w:asciiTheme="majorBidi" w:hAnsiTheme="majorBidi"/>
          <w:color w:val="000000"/>
          <w:sz w:val="20"/>
        </w:rPr>
        <w:t>), izņemot kosmētikas līdzekļus, kas paredzēti smaržināšanai vai izskaistināšanai,”.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55. pants.</w:t>
      </w:r>
      <w:r w:rsidRPr="00093987">
        <w:rPr>
          <w:rFonts w:asciiTheme="majorBidi" w:hAnsiTheme="majorBidi"/>
          <w:color w:val="000000"/>
          <w:sz w:val="20"/>
        </w:rPr>
        <w:t xml:space="preserve"> 2004. gada 19. marta Muitas likuma (2018. gada </w:t>
      </w:r>
      <w:r w:rsidRPr="00093987">
        <w:rPr>
          <w:rFonts w:asciiTheme="majorBidi" w:hAnsiTheme="majorBidi"/>
          <w:i/>
          <w:iCs/>
          <w:color w:val="000000"/>
          <w:sz w:val="20"/>
        </w:rPr>
        <w:t>Dz. U.</w:t>
      </w:r>
      <w:r w:rsidRPr="00093987">
        <w:rPr>
          <w:rFonts w:asciiTheme="majorBidi" w:hAnsiTheme="majorBidi"/>
          <w:color w:val="000000"/>
          <w:sz w:val="20"/>
        </w:rPr>
        <w:t xml:space="preserve"> Nr. 167, Nr. 1544, Nr. 1669 un Nr. 1697) 31. panta 5. punktā vārdu “kosmētika” aizstāj ar tekstu “kosmētikas līdzekļi”.</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56. pants.</w:t>
      </w:r>
      <w:r w:rsidRPr="00093987">
        <w:rPr>
          <w:rFonts w:asciiTheme="majorBidi" w:hAnsiTheme="majorBidi"/>
          <w:color w:val="000000"/>
          <w:sz w:val="20"/>
        </w:rPr>
        <w:t xml:space="preserve"> 2006. gada 25. augusta Likuma par pārtikas un uztura nekaitīgumu (2018. gada </w:t>
      </w:r>
      <w:r w:rsidRPr="00093987">
        <w:rPr>
          <w:rFonts w:asciiTheme="majorBidi" w:hAnsiTheme="majorBidi"/>
          <w:i/>
          <w:iCs/>
          <w:color w:val="000000"/>
          <w:sz w:val="20"/>
        </w:rPr>
        <w:t>Dz. U.</w:t>
      </w:r>
      <w:r w:rsidRPr="00093987">
        <w:rPr>
          <w:rFonts w:asciiTheme="majorBidi" w:hAnsiTheme="majorBidi"/>
          <w:color w:val="000000"/>
          <w:sz w:val="20"/>
        </w:rPr>
        <w:t xml:space="preserve"> Nr. 1541, Nr. 1669 un Nr. 2136) 30. panta 1. punkta 2) apakšpunktā tekstu “kosmētika noteikumu par kosmētiku nozīmē” aizstāj ar tekstu “kosmētikas līdzeklis noteikumu par kosmētikas līdzekļiem nozīmē”.</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b/>
          <w:color w:val="000000"/>
          <w:sz w:val="20"/>
        </w:rPr>
        <w:t>57. pants.</w:t>
      </w:r>
      <w:r w:rsidRPr="00093987">
        <w:rPr>
          <w:rFonts w:asciiTheme="majorBidi" w:hAnsiTheme="majorBidi"/>
          <w:color w:val="000000"/>
          <w:sz w:val="20"/>
        </w:rPr>
        <w:t xml:space="preserve"> 2008. gada 6. decembra Likuma par akcīzes nodokli (2018. gada </w:t>
      </w:r>
      <w:r w:rsidRPr="00093987">
        <w:rPr>
          <w:rFonts w:asciiTheme="majorBidi" w:hAnsiTheme="majorBidi"/>
          <w:i/>
          <w:iCs/>
          <w:color w:val="000000"/>
          <w:sz w:val="20"/>
        </w:rPr>
        <w:t>Dz. U.</w:t>
      </w:r>
      <w:r w:rsidRPr="00093987">
        <w:rPr>
          <w:rFonts w:asciiTheme="majorBidi" w:hAnsiTheme="majorBidi"/>
          <w:color w:val="000000"/>
          <w:sz w:val="20"/>
        </w:rPr>
        <w:t xml:space="preserve"> Nr. 1114, Nr. 1039, Nr. 1356, Nr. 1629 un Nr. 1697) 7.c panta 2. punkta 1) apakšpunktā vārdu “kosmētika” aizstāj ar tekstu “kosmētikas līdzekļi”.</w:t>
      </w:r>
    </w:p>
    <w:p w:rsidR="000A62E1" w:rsidRPr="00093987"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bookmarkStart w:id="0" w:name="_GoBack"/>
      <w:bookmarkEnd w:id="0"/>
      <w:r w:rsidRPr="00093987">
        <w:rPr>
          <w:rFonts w:asciiTheme="majorBidi" w:hAnsiTheme="majorBidi"/>
          <w:b/>
          <w:color w:val="000000"/>
          <w:sz w:val="20"/>
        </w:rPr>
        <w:t xml:space="preserve">58. pants. </w:t>
      </w:r>
      <w:r w:rsidRPr="00093987">
        <w:rPr>
          <w:rFonts w:asciiTheme="majorBidi" w:hAnsiTheme="majorBidi"/>
          <w:color w:val="000000"/>
          <w:sz w:val="20"/>
        </w:rPr>
        <w:t xml:space="preserve">2011. gada 25. februāra Likumu par ķīmiskajām vielām un to maisījumiem (2018. gada </w:t>
      </w:r>
      <w:r w:rsidRPr="00093987">
        <w:rPr>
          <w:rFonts w:asciiTheme="majorBidi" w:hAnsiTheme="majorBidi"/>
          <w:i/>
          <w:iCs/>
          <w:color w:val="000000"/>
          <w:sz w:val="20"/>
        </w:rPr>
        <w:t>Dz. U.</w:t>
      </w:r>
      <w:r w:rsidRPr="00093987">
        <w:rPr>
          <w:rFonts w:asciiTheme="majorBidi" w:hAnsiTheme="majorBidi"/>
          <w:color w:val="000000"/>
          <w:sz w:val="20"/>
        </w:rPr>
        <w:t xml:space="preserve"> Nr. 143 un Nr. 1637) groza šādi:</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1)</w:t>
      </w:r>
      <w:r w:rsidRPr="00093987">
        <w:rPr>
          <w:rFonts w:asciiTheme="majorBidi" w:hAnsiTheme="majorBidi"/>
          <w:color w:val="000000"/>
          <w:sz w:val="20"/>
        </w:rPr>
        <w:tab/>
        <w:t>1. panta 4. punkta 3) apakšpunkta e) daļā tekstu “kosmētika noteikumu par kosmētiku nozīmē” aizstāj ar tekstu “kosmētikas līdzekļi noteikumu par kosmētikas līdzekļiem nozīmē”;</w:t>
      </w:r>
    </w:p>
    <w:p w:rsidR="000A62E1" w:rsidRPr="00093987"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2)</w:t>
      </w:r>
      <w:r w:rsidRPr="00093987">
        <w:rPr>
          <w:rFonts w:asciiTheme="majorBidi" w:hAnsiTheme="majorBidi"/>
          <w:color w:val="000000"/>
          <w:sz w:val="20"/>
        </w:rPr>
        <w:tab/>
        <w:t>22. panta 1. punkta 5) apakšpunkta b) daļā vārdu “kosmētika” aizstāj ar tekstu “kosmētikas līdzekļi”.</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t>7. nodaļa</w:t>
      </w:r>
    </w:p>
    <w:p w:rsidR="000A62E1" w:rsidRPr="00093987"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sidRPr="00093987">
        <w:rPr>
          <w:rFonts w:asciiTheme="majorBidi" w:hAnsiTheme="majorBidi"/>
          <w:b/>
          <w:color w:val="000000"/>
          <w:sz w:val="20"/>
        </w:rPr>
        <w:t>Pielāgošanas, pārejas un nobeiguma noteikumi</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59. pants. </w:t>
      </w:r>
      <w:r w:rsidRPr="00093987">
        <w:rPr>
          <w:rFonts w:asciiTheme="majorBidi" w:hAnsiTheme="majorBidi"/>
          <w:color w:val="000000"/>
          <w:sz w:val="20"/>
        </w:rPr>
        <w:t>Atbildīgā persona pielāgo Regulas Nr. 1223/2009 11. panta 2. punktā paredzēto kosmētikas līdzekļa lietu šā likuma 3. pantā noteiktajām prasībām 9 mēnešu laikā pēc šā likuma stāšanās spēkā.</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60. pants. </w:t>
      </w:r>
      <w:r w:rsidRPr="00093987">
        <w:rPr>
          <w:rFonts w:asciiTheme="majorBidi" w:hAnsiTheme="majorBidi"/>
          <w:color w:val="000000"/>
          <w:sz w:val="20"/>
        </w:rPr>
        <w:t>Galvenā sanitārā inspekcija sadarbībā ar Konkurences un patērētāju tiesību aizsardzības biroja prezidentu sagatavo pirmo ziņojumu, kas minēts 20. panta 1. punktā, un iesniedz to Eiropas Komisijai un Eiropas Savienības dalībvalstīm vai EBTA valstīm, kuras parakstījušas EEZ līgumu, un dara to pieejamu Galvenās sanitārās inspekcijas tīmekļa vietnes Publiskās informācijas izdevumā divu gadu laikā pēc šā likuma stāšanās spēkā.</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61. pants. </w:t>
      </w:r>
      <w:r w:rsidRPr="00093987">
        <w:rPr>
          <w:rFonts w:asciiTheme="majorBidi" w:hAnsiTheme="majorBidi"/>
          <w:color w:val="000000"/>
          <w:sz w:val="20"/>
        </w:rPr>
        <w:t>Ražotāji, kuri veic ar kosmētikas līdzekļu ražošanu saistītas darbības šā likuma stāšanās spēkā dienā, pieprasa iekļaut viņus kosmētikas līdzekļu ražotājrūpnīcu sarakstā deviņu mēnešu laikā pēc šā likuma stāšanās spēkā.</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62. pants. </w:t>
      </w:r>
      <w:r w:rsidRPr="00093987">
        <w:rPr>
          <w:rFonts w:asciiTheme="majorBidi" w:hAnsiTheme="majorBidi"/>
          <w:color w:val="000000"/>
          <w:sz w:val="20"/>
        </w:rPr>
        <w:t>1. Likvidē valsts informācijas sistēmu attiecībā uz tirgū laisto kosmētiku, kura tiek uzturēta saskaņā ar 8. pantu likumā, kas tiek atcelts ar 64. pantu.</w:t>
      </w:r>
    </w:p>
    <w:p w:rsidR="000A62E1" w:rsidRPr="00093987" w:rsidRDefault="00AC5F6A" w:rsidP="0013072C">
      <w:pPr>
        <w:spacing w:before="120"/>
        <w:ind w:firstLine="431"/>
        <w:jc w:val="both"/>
        <w:textAlignment w:val="baseline"/>
        <w:rPr>
          <w:rFonts w:asciiTheme="majorBidi" w:eastAsia="Times New Roman" w:hAnsiTheme="majorBidi" w:cstheme="majorBidi"/>
          <w:color w:val="000000"/>
          <w:sz w:val="20"/>
          <w:szCs w:val="20"/>
        </w:rPr>
      </w:pPr>
      <w:r w:rsidRPr="00093987">
        <w:rPr>
          <w:rFonts w:asciiTheme="majorBidi" w:hAnsiTheme="majorBidi"/>
          <w:color w:val="000000"/>
          <w:sz w:val="20"/>
        </w:rPr>
        <w:lastRenderedPageBreak/>
        <w:t>2.</w:t>
      </w:r>
      <w:r w:rsidRPr="00093987">
        <w:rPr>
          <w:rFonts w:asciiTheme="majorBidi" w:hAnsiTheme="majorBidi"/>
          <w:color w:val="000000"/>
          <w:sz w:val="20"/>
        </w:rPr>
        <w:tab/>
        <w:t>Valsts informācijas sistēmā attiecībā uz tirgū laisto kosmētiku, kura tiek uzturēta saskaņā ar 8. pantu likumā, kas tiek atcelts ar 64. pantu, apkopotos datus, kuri savākti pirms šā likuma stāšanās spēkā, glabā līdz 2020. gada 11. jūlijam; jaunus datus šajā sistēmā nevāc.</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63. pants. </w:t>
      </w:r>
      <w:r w:rsidRPr="00093987">
        <w:rPr>
          <w:rFonts w:asciiTheme="majorBidi" w:hAnsiTheme="majorBidi"/>
          <w:color w:val="000000"/>
          <w:sz w:val="20"/>
        </w:rPr>
        <w:t>Šā likuma īstenošanas noteikumi, kas ir spēkā saskaņā ar 13. panta 3. punktu likumā, kas tiek atcelts ar 64. pantu, paliek spēkā līdz dienai, kad stājās spēkā īstenošanas noteikumi saskaņā ar 25. panta 3. punktu, bet ne ilgāk kā 12 mēnešus pēc dienas, kad stājas spēkā šis likums.</w:t>
      </w:r>
    </w:p>
    <w:p w:rsidR="000A62E1" w:rsidRPr="00093987"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sidRPr="00093987">
        <w:rPr>
          <w:rFonts w:asciiTheme="majorBidi" w:hAnsiTheme="majorBidi"/>
          <w:b/>
          <w:color w:val="000000"/>
          <w:sz w:val="20"/>
        </w:rPr>
        <w:t xml:space="preserve">64. pants. </w:t>
      </w:r>
      <w:r w:rsidRPr="00093987">
        <w:rPr>
          <w:rFonts w:asciiTheme="majorBidi" w:hAnsiTheme="majorBidi"/>
          <w:color w:val="000000"/>
          <w:sz w:val="20"/>
        </w:rPr>
        <w:t xml:space="preserve">Atceļ 2001. gada 30. marta Likumu par kosmētiku (2013. gada </w:t>
      </w:r>
      <w:r w:rsidRPr="00093987">
        <w:rPr>
          <w:rFonts w:asciiTheme="majorBidi" w:hAnsiTheme="majorBidi"/>
          <w:i/>
          <w:iCs/>
          <w:color w:val="000000"/>
          <w:sz w:val="20"/>
        </w:rPr>
        <w:t>Dz. U.</w:t>
      </w:r>
      <w:r w:rsidRPr="00093987">
        <w:rPr>
          <w:rFonts w:asciiTheme="majorBidi" w:hAnsiTheme="majorBidi"/>
          <w:color w:val="000000"/>
          <w:sz w:val="20"/>
        </w:rPr>
        <w:t xml:space="preserve"> Nr. 475; 2018. gada </w:t>
      </w:r>
      <w:r w:rsidRPr="00093987">
        <w:rPr>
          <w:rFonts w:asciiTheme="majorBidi" w:hAnsiTheme="majorBidi"/>
          <w:i/>
          <w:iCs/>
          <w:color w:val="000000"/>
          <w:sz w:val="20"/>
        </w:rPr>
        <w:t>Dz. U.</w:t>
      </w:r>
      <w:r w:rsidRPr="00093987">
        <w:rPr>
          <w:rFonts w:asciiTheme="majorBidi" w:hAnsiTheme="majorBidi"/>
          <w:color w:val="000000"/>
          <w:sz w:val="20"/>
        </w:rPr>
        <w:t xml:space="preserve"> Nr. 650 un Nr. 1669).</w:t>
      </w:r>
    </w:p>
    <w:p w:rsidR="000A62E1" w:rsidRPr="00093987"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sidRPr="00093987">
        <w:rPr>
          <w:rFonts w:asciiTheme="majorBidi" w:hAnsiTheme="majorBidi"/>
          <w:b/>
          <w:color w:val="000000"/>
          <w:sz w:val="20"/>
        </w:rPr>
        <w:t xml:space="preserve">65. pants. </w:t>
      </w:r>
      <w:r w:rsidRPr="00093987">
        <w:rPr>
          <w:rFonts w:asciiTheme="majorBidi" w:hAnsiTheme="majorBidi"/>
          <w:color w:val="000000"/>
          <w:sz w:val="20"/>
        </w:rPr>
        <w:t>Šis likums stājas spēkā 2019. gada 1. janvārī, izņemot 62. panta 1. punktu, kas stājas spēkā 2020. gada 12. jūlijā.</w:t>
      </w:r>
    </w:p>
    <w:p w:rsidR="00346C9E" w:rsidRPr="00093987"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093987" w:rsidRDefault="00ED6ABA" w:rsidP="00346C9E">
      <w:pPr>
        <w:spacing w:before="120"/>
        <w:jc w:val="right"/>
        <w:textAlignment w:val="baseline"/>
        <w:rPr>
          <w:rFonts w:asciiTheme="majorBidi" w:eastAsiaTheme="minorEastAsia" w:hAnsiTheme="majorBidi" w:cstheme="majorBidi"/>
          <w:sz w:val="20"/>
          <w:szCs w:val="20"/>
        </w:rPr>
      </w:pPr>
      <w:r w:rsidRPr="00093987">
        <w:rPr>
          <w:rFonts w:asciiTheme="majorBidi" w:hAnsiTheme="majorBidi"/>
          <w:color w:val="000000"/>
          <w:sz w:val="20"/>
        </w:rPr>
        <w:t xml:space="preserve">Polijas Republikas prezidents </w:t>
      </w:r>
      <w:r w:rsidRPr="00093987">
        <w:rPr>
          <w:rFonts w:asciiTheme="majorBidi" w:hAnsiTheme="majorBidi"/>
          <w:i/>
          <w:color w:val="000000"/>
          <w:sz w:val="20"/>
        </w:rPr>
        <w:t>A. Duda</w:t>
      </w:r>
    </w:p>
    <w:sectPr w:rsidR="000A62E1" w:rsidRPr="00093987"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ABF" w:rsidRDefault="00F22ABF" w:rsidP="008578F9">
      <w:r>
        <w:separator/>
      </w:r>
    </w:p>
  </w:endnote>
  <w:endnote w:type="continuationSeparator" w:id="0">
    <w:p w:rsidR="00F22ABF" w:rsidRDefault="00F22ABF"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ABF" w:rsidRDefault="00F22ABF" w:rsidP="008578F9">
      <w:r>
        <w:separator/>
      </w:r>
    </w:p>
  </w:footnote>
  <w:footnote w:type="continuationSeparator" w:id="0">
    <w:p w:rsidR="00F22ABF" w:rsidRDefault="00F22ABF" w:rsidP="008578F9">
      <w:r>
        <w:continuationSeparator/>
      </w:r>
    </w:p>
  </w:footnote>
  <w:footnote w:id="1">
    <w:p w:rsidR="00247C0C" w:rsidRPr="00C42B42" w:rsidRDefault="00247C0C" w:rsidP="00054A35">
      <w:pPr>
        <w:pStyle w:val="FootnoteText"/>
        <w:ind w:left="308" w:hanging="280"/>
        <w:jc w:val="both"/>
        <w:rPr>
          <w:rFonts w:eastAsiaTheme="minorEastAsia"/>
          <w:sz w:val="16"/>
          <w:szCs w:val="16"/>
        </w:rPr>
      </w:pPr>
      <w:r>
        <w:rPr>
          <w:rStyle w:val="FootnoteReference"/>
          <w:sz w:val="16"/>
          <w:szCs w:val="16"/>
        </w:rPr>
        <w:footnoteRef/>
      </w:r>
      <w:r>
        <w:rPr>
          <w:sz w:val="16"/>
        </w:rPr>
        <w:t>)</w:t>
      </w:r>
      <w:r>
        <w:rPr>
          <w:sz w:val="16"/>
        </w:rPr>
        <w:tab/>
      </w:r>
      <w:r>
        <w:rPr>
          <w:rFonts w:asciiTheme="majorBidi" w:hAnsiTheme="majorBidi"/>
          <w:color w:val="000000"/>
          <w:sz w:val="16"/>
        </w:rPr>
        <w:t>Eiropas Komisijai par šo likumu 2018. gada 30. aprīlī nosūtīts paziņojums Nr. 2018/0186/PL saskaņā ar 4. pantu Ministru padomes 2002. gada 23. decembra Rīkojumā par standartu un tiesību aktu paziņošanas valsts sistēmas darbību (</w:t>
      </w:r>
      <w:r>
        <w:rPr>
          <w:rFonts w:asciiTheme="majorBidi" w:hAnsiTheme="majorBidi"/>
          <w:i/>
          <w:iCs/>
          <w:color w:val="000000"/>
          <w:sz w:val="16"/>
        </w:rPr>
        <w:t>Dz. U.</w:t>
      </w:r>
      <w:r>
        <w:rPr>
          <w:rFonts w:asciiTheme="majorBidi" w:hAnsiTheme="majorBidi"/>
          <w:color w:val="000000"/>
          <w:sz w:val="16"/>
        </w:rPr>
        <w:t xml:space="preserve"> [Polijas Republikas oficiālais vēstnesis </w:t>
      </w:r>
      <w:r>
        <w:rPr>
          <w:rFonts w:asciiTheme="majorBidi" w:hAnsiTheme="majorBidi"/>
          <w:i/>
          <w:iCs/>
          <w:color w:val="000000"/>
          <w:sz w:val="16"/>
        </w:rPr>
        <w:t>Dziennik Ustaw</w:t>
      </w:r>
      <w:r>
        <w:rPr>
          <w:rFonts w:asciiTheme="majorBidi" w:hAnsiTheme="majorBidi"/>
          <w:color w:val="000000"/>
          <w:sz w:val="16"/>
        </w:rPr>
        <w:t xml:space="preserve">] Nr. 2039 un 2004. gada </w:t>
      </w:r>
      <w:r>
        <w:rPr>
          <w:rFonts w:asciiTheme="majorBidi" w:hAnsiTheme="majorBidi"/>
          <w:i/>
          <w:iCs/>
          <w:color w:val="000000"/>
          <w:sz w:val="16"/>
        </w:rPr>
        <w:t>Dz. U.</w:t>
      </w:r>
      <w:r>
        <w:rPr>
          <w:rFonts w:asciiTheme="majorBidi" w:hAnsiTheme="majorBidi"/>
          <w:color w:val="000000"/>
          <w:sz w:val="16"/>
        </w:rPr>
        <w:t xml:space="preserve"> Nr. 597), ar kuru īsteno noteikumus, kas izklāstīti Eiropas Parlamenta un Padomes 2015. gada 9. septembra Direktīvā (ES) 2015/1535, ar ko nosaka informācijas sniegšanas kārtību tehnisko noteikumu un Informācijas sabiedrības pakalpojumu noteikumu jomā (OV L 241, 17.9.2015., 1. lpp.).</w:t>
      </w:r>
    </w:p>
  </w:footnote>
  <w:footnote w:id="2">
    <w:p w:rsidR="00247C0C" w:rsidRPr="00C42B42" w:rsidRDefault="00247C0C" w:rsidP="00054A3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Šā likuma mērķis ir piemērot Eiropas Parlamenta un Padomes 2009. gada 30. novembra Regulu (EK) Nr. 1223/2009 par kosmētikas līdzekļiem (pārstrādāta versija) (OV L 342, 22.12.2009., 59. lpp., OV L 114, 25.4.2013., 1. lpp., OV L 139, 25.5.2013., 8. lpp., OV L 190, 11.7.2013., 38. lpp., OV L 315, 26.11.2013., 34. lpp., OV L 107, 10.4.2014., 5. lpp., OV L 238, 9.8.2014., 3. lpp., OV L 254, 28.8.2014., 39. lpp., OV L 282, 26.9.2014., 1. lpp., OV L 282, 26.9.2014., 5. lpp., OV L 193, 21.7.2015., 115. lpp., OV L 199, 29.7.2015., 22. lpp., OV L 60, 5.3.2016., 59. lpp., OV L 106, 22.4.2016., 4. lpp., OV L 106, 22.4.2016., 7. lpp., OV L 187, 12.7.2016., 1. lpp., OV L 187, 12.7.2016., 4. lpp., OV L 189, 14.7.2016., 40. lpp., OV L 198, 23.7.2016., 10. lpp., OV L 17, 21.1.2017., 52. lpp., OV L 36, 11.2.2017., 12. lpp., OV L 36, 11.2.2017., 37. lpp., OV L 117, 5.5.2017., 1. lpp., OV L 174, 7.7.2017., 16. lpp., OV L 202, 3.8.2017., 1. lpp., OV L 203, 4.8.2017., 1. lpp., OV L 319, 5.12.2017., 2. lpp., OV L 326, 9.12.2017., 55. lpp., OV L 158, 21.6.2018., 1. lpp., OV L 158, 21.6.2018., 1. lpp. un OV L 176, 12.7.2018., 3. lpp.).</w:t>
      </w:r>
    </w:p>
  </w:footnote>
  <w:footnote w:id="3">
    <w:p w:rsidR="00247C0C" w:rsidRPr="00C42B42" w:rsidRDefault="00247C0C" w:rsidP="00054A35">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Ar šo likumu:</w:t>
      </w:r>
    </w:p>
    <w:p w:rsidR="00247C0C" w:rsidRPr="00C42B42" w:rsidRDefault="00247C0C" w:rsidP="00054A35">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groza šādus tiesību aktus: 1985. gada 14. marta Likumu par Valsts veselības inspekciju; 1995. gada 9. novembra Likumu par veselības aizsardzību no tabakas un tabakas izstrādājumu lietošanas sekām; 1997. gada 4. septembra Likumu par valsts administratīvo iestāžu nodaļām; 1999. gada 10. septembra Likumu “Fiskālo pārkāpumu kodekss”; 2000. gada 29. novembra Kodollikumu; 2000. gada 15. decembra Likumu par tirdzniecības kontroli; 2001. gada 22. jūnija Likumu par mikroorganismiem un ģenētiski modificētiem organismiem; 2001. gada 6. septembra Zāļu likumu; 2004. gada 19. marta Muitas likumu, 2006. gada 25. augusta Likumu par pārtikas un uztura nekaitīgumu; 2008. gada 6. decembra Likumu par akcīzes nodokli un 2011. gada 25. februāra Likumu par ķīmiskajām vielām un to maisījumiem;</w:t>
      </w:r>
    </w:p>
    <w:p w:rsidR="00247C0C" w:rsidRPr="00C42B42" w:rsidRDefault="00247C0C" w:rsidP="00054A35">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atceļ 2001. gada 30. marta Likumu par kosmētiku.</w:t>
      </w:r>
    </w:p>
  </w:footnote>
  <w:footnote w:id="4">
    <w:p w:rsidR="00247C0C" w:rsidRPr="00C42B42" w:rsidRDefault="00247C0C" w:rsidP="00054A3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rFonts w:asciiTheme="majorBidi" w:hAnsiTheme="majorBidi"/>
          <w:color w:val="000000"/>
          <w:sz w:val="16"/>
        </w:rPr>
        <w:tab/>
        <w:t>Regulas grozījumi tika paziņoti OV L 114, 25.4.2013., 1. lpp., OV L 139, 25.5.2013., 8. lpp., OV L 190, 11.7.2013., 38. lpp., OV L 315, 26.11.2013., 34. lpp., OV L 107, 10.4.2014., 5. lpp., OV L 238, 9.8.2014., 3. lpp., OV L 254, 28.8.2014., 39. lpp., OV L 282, 26.9.2014., 1. lpp., OV L 282, 26.9.2014., 5. lpp., OV L 193, 21.7.2015., 115. lpp., OV L 199, 29.7.2015., 22. lpp., OV L 60, 5.3.2016., 59. lpp., OV L 106, 22.4.2016., 4. lpp., OV L 106, 22.4.2016., 7. lpp., OV L 187, 12.7.2016., 1. lpp., OV L 187, 12.7.2016., 4. lpp., OV L 189, 14.7.2016., 40. lpp., OV L 198, 23.7.2016., 10. lpp., OV L 17, 21.1.2017., 52. lpp., OV L 36, 11.2.2017., 12. lpp., OV L 36, 11.2.2017., 37. lpp., OV L 117, 5.5.2017., 1. lpp., OV L 174, 7.7.2017., 16. lpp., OV L 202, 3.8.2017., 1. lpp., OV L 203, 4.8.2017., 1. lpp., OV L 319, 5.12.2017., OV L 326, 9.12.2017., 55. lpp., OV L 158, 21.6.2018., 1. lpp. un OV L 176, 12.7.2018., 3. lpp.</w:t>
      </w:r>
    </w:p>
  </w:footnote>
  <w:footnote w:id="5">
    <w:p w:rsidR="00346C9E" w:rsidRPr="00C42B42" w:rsidRDefault="00346C9E" w:rsidP="00054A3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 xml:space="preserve"> </w:t>
      </w:r>
      <w:r>
        <w:rPr>
          <w:sz w:val="16"/>
        </w:rPr>
        <w:tab/>
      </w:r>
      <w:r>
        <w:rPr>
          <w:rFonts w:asciiTheme="majorBidi" w:hAnsiTheme="majorBidi"/>
          <w:color w:val="000000"/>
          <w:sz w:val="16"/>
        </w:rPr>
        <w:t>Regulas grozījumi tika paziņoti OV L 114, 25.4.2013., 1. lpp., OV L 139, 25.5.2013., 8. lpp., OV L 190, 11.7.2013., 38. lpp., OV L 315, 26.11.2013., 34. lpp., OV L 107, 10.4.2014., 5. lpp., OV L 238, 9.8.2014., 3. lpp., OV L 254, 28.8.2014., 39. lpp., OV L 282, 26.9.2014., 1. lpp., OV L 282, 26.9.2014., 5. lpp., OV L 193, 21.7.2015., 115. lpp., OV L 199, 29.7.2015., 22. lpp., OV L 60, 5.3.2016., 59. lpp., OV L 106, 22.4.2016., 4. lpp., OV L 106, 22.4.2016., 7. lpp., OV L 187, 12.7.2016., 1. lpp., OV L 187, 12.7.2016., 4. lpp., OV L 189, 14.7.2016., 40. lpp., OV L 198, 23.7.2016., 10. lpp., OV L 17, 21.1.2017., 52. lpp., OV L 36, 11.2.2017., 12. lpp., OV L 36, 11.2.2017., 37. lpp., OV L 117, 5.5.2017., 1. lpp., OV L 174, 7.7.2017., 16. lpp., OV L 202, 3.8.2017., 1. lpp., OV L 203, 4.8.2017., 1. lpp., OV L 319, 5.12.2017., OV L 326, 9.12.2017., 55. lpp., OV L 158, 21.6.2018., 1. lpp. un OV L 176, 12.7.2018., 3. lpp.</w:t>
      </w:r>
    </w:p>
  </w:footnote>
  <w:footnote w:id="6">
    <w:p w:rsidR="00346C9E" w:rsidRPr="00C42B42" w:rsidRDefault="00346C9E" w:rsidP="00054A3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 xml:space="preserve">Grozījumi minētā likuma konsolidētajā tekstā tika paziņoti 2018. gada </w:t>
      </w:r>
      <w:r>
        <w:rPr>
          <w:rFonts w:asciiTheme="majorBidi" w:hAnsiTheme="majorBidi"/>
          <w:i/>
          <w:iCs/>
          <w:color w:val="000000"/>
          <w:sz w:val="16"/>
        </w:rPr>
        <w:t>Dz. U.</w:t>
      </w:r>
      <w:r>
        <w:rPr>
          <w:rFonts w:asciiTheme="majorBidi" w:hAnsiTheme="majorBidi"/>
          <w:color w:val="000000"/>
          <w:sz w:val="16"/>
        </w:rPr>
        <w:t xml:space="preserve"> Nr. 810, Nr. 1090, Nr. 1467, Nr. 1544, Nr. 1560, Nr. 1669 un Nr. 1693.</w:t>
      </w:r>
    </w:p>
  </w:footnote>
  <w:footnote w:id="7">
    <w:p w:rsidR="00346C9E" w:rsidRPr="00C42B42" w:rsidRDefault="00346C9E" w:rsidP="00054A35">
      <w:pPr>
        <w:pStyle w:val="FootnoteText"/>
        <w:ind w:left="308" w:hanging="280"/>
        <w:jc w:val="both"/>
        <w:rPr>
          <w:rFonts w:eastAsiaTheme="minorEastAsia"/>
          <w:sz w:val="16"/>
          <w:szCs w:val="16"/>
        </w:rPr>
      </w:pPr>
      <w:r>
        <w:rPr>
          <w:rStyle w:val="FootnoteReference"/>
          <w:sz w:val="16"/>
          <w:szCs w:val="16"/>
        </w:rPr>
        <w:footnoteRef/>
      </w:r>
      <w:r>
        <w:rPr>
          <w:sz w:val="16"/>
          <w:vertAlign w:val="superscript"/>
        </w:rPr>
        <w:t>)</w:t>
      </w:r>
      <w:r>
        <w:rPr>
          <w:sz w:val="16"/>
        </w:rPr>
        <w:tab/>
        <w:t xml:space="preserve">Grozījumi minētā likuma konsolidētajā tekstā tika paziņoti 2018. gada </w:t>
      </w:r>
      <w:r>
        <w:rPr>
          <w:i/>
          <w:iCs/>
          <w:sz w:val="16"/>
        </w:rPr>
        <w:t>Dz. U.</w:t>
      </w:r>
      <w:r>
        <w:rPr>
          <w:sz w:val="16"/>
        </w:rPr>
        <w:t xml:space="preserve"> Nr. 650, Nr. 697, Nr. 1039, Nr. 1375, Nr. 1515, Nr. 1544, Nr. 1629, Nr. 1637 un Nr. 1669.</w:t>
      </w:r>
    </w:p>
  </w:footnote>
  <w:footnote w:id="8">
    <w:p w:rsidR="00346C9E" w:rsidRPr="00C42B42" w:rsidRDefault="00346C9E" w:rsidP="00054A35">
      <w:pPr>
        <w:pStyle w:val="FootnoteText"/>
        <w:ind w:left="308" w:hanging="280"/>
        <w:jc w:val="both"/>
        <w:rPr>
          <w:sz w:val="16"/>
          <w:szCs w:val="16"/>
        </w:rPr>
      </w:pPr>
      <w:r>
        <w:rPr>
          <w:rStyle w:val="FootnoteReference"/>
          <w:sz w:val="16"/>
          <w:szCs w:val="16"/>
        </w:rPr>
        <w:footnoteRef/>
      </w:r>
      <w:r>
        <w:rPr>
          <w:sz w:val="16"/>
          <w:vertAlign w:val="superscript"/>
        </w:rPr>
        <w:t>)</w:t>
      </w:r>
      <w:r>
        <w:rPr>
          <w:rFonts w:asciiTheme="majorBidi" w:hAnsiTheme="majorBidi"/>
          <w:color w:val="000000"/>
          <w:sz w:val="16"/>
        </w:rPr>
        <w:tab/>
        <w:t>Regulas grozījumi tika paziņoti OV L 114, 25.4.2013., 1. lpp., OV L 139, 25.5.2013., 8. lpp., OV L 190, 11.7.2013., 38. lpp., OV L 315, 26.11.2013., 34. lpp., OV L 107, 10.4.2014., 5. lpp., OV L 238, 9.8.2014., 3. lpp., OV L 254, 28.8.2014., 39. lpp., OV L 282, 26.9.2014., 1. lpp., OV L 282, 26.9.2014., 5. lpp., OV L 193, 21.7.2015., 115. lpp., OV L 199, 29.7.2015., 22. lpp., OV L 60, 5.3.2016., 59. lpp., OV L 106, 22.4.2016., 4. lpp., OV L 106, 22.4.2016., 7. lpp., OV L 187, 12.7.2016., 1. lpp., OV L 187, 12.7.2016., 4. lpp., OV L 189, 14.7.2016., 40. lpp., OV L 198, 23.7.2016., 10. lpp., OV L 17, 21.1.2017., 52. lpp., OV L 36, 11.2.2017., 12. lpp., OV L 36, 11.2.2017., 37. lpp., OV L 117, 5.5.2017., 1. lpp., OV L 174, 7.7.2017., 16. lpp., OV L 202, 3.8.2017., 1. lpp., OV L 203, 4.8.2017., 1. lpp., OV L 319, 5.12.2017., OV L 326, 9.12.2017., 55. lpp., OV L 158, 21.6.2018., 1. lpp. un OV L 176, 12.7.2018., 3.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i/>
              <w:iCs/>
              <w:color w:val="000000"/>
              <w:sz w:val="20"/>
            </w:rPr>
            <w:t>Dziennik Ustaw</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F80DC9">
            <w:rPr>
              <w:rFonts w:eastAsiaTheme="minorEastAsia"/>
              <w:noProof/>
              <w:color w:val="000000"/>
              <w:sz w:val="20"/>
            </w:rPr>
            <w:t>9</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Nr.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Dokumentu</w:t>
          </w:r>
        </w:p>
        <w:p w:rsidR="008578F9" w:rsidRPr="0073741E" w:rsidRDefault="008578F9" w:rsidP="00A120FC">
          <w:pPr>
            <w:pStyle w:val="Header"/>
            <w:rPr>
              <w:rFonts w:eastAsiaTheme="minorEastAsia"/>
              <w:sz w:val="16"/>
              <w:szCs w:val="16"/>
            </w:rPr>
          </w:pPr>
          <w:r>
            <w:rPr>
              <w:sz w:val="16"/>
            </w:rPr>
            <w:t>parakstījis</w:t>
          </w:r>
        </w:p>
        <w:p w:rsidR="008578F9" w:rsidRPr="0073741E" w:rsidRDefault="008578F9" w:rsidP="00A120FC">
          <w:pPr>
            <w:pStyle w:val="Header"/>
            <w:rPr>
              <w:rFonts w:eastAsiaTheme="minorEastAsia"/>
              <w:sz w:val="16"/>
              <w:szCs w:val="16"/>
            </w:rPr>
          </w:pPr>
          <w:r>
            <w:rPr>
              <w:i/>
              <w:iCs/>
              <w:sz w:val="16"/>
            </w:rPr>
            <w:t>Marek Głuch</w:t>
          </w:r>
        </w:p>
        <w:p w:rsidR="008578F9" w:rsidRPr="0073741E" w:rsidRDefault="008578F9" w:rsidP="00937A61">
          <w:pPr>
            <w:pStyle w:val="Header"/>
            <w:rPr>
              <w:rFonts w:eastAsiaTheme="minorEastAsia"/>
              <w:sz w:val="16"/>
              <w:szCs w:val="16"/>
            </w:rPr>
          </w:pPr>
          <w:r>
            <w:rPr>
              <w:sz w:val="16"/>
            </w:rPr>
            <w:t>Datums: 29.11.2018.</w:t>
          </w:r>
        </w:p>
        <w:p w:rsidR="008578F9" w:rsidRPr="0073741E" w:rsidRDefault="00937A61" w:rsidP="00A120FC">
          <w:pPr>
            <w:pStyle w:val="Header"/>
            <w:rPr>
              <w:rFonts w:eastAsiaTheme="minorEastAsia"/>
              <w:sz w:val="16"/>
              <w:szCs w:val="16"/>
            </w:rPr>
          </w:pPr>
          <w:r>
            <w:rPr>
              <w:sz w:val="16"/>
            </w:rPr>
            <w:t xml:space="preserve">15:24:59 </w:t>
          </w:r>
          <w:r>
            <w:rPr>
              <w:i/>
              <w:iCs/>
              <w:sz w:val="16"/>
            </w:rPr>
            <w:t>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54A35"/>
    <w:rsid w:val="00093987"/>
    <w:rsid w:val="000A62E1"/>
    <w:rsid w:val="000F6BB0"/>
    <w:rsid w:val="0013072C"/>
    <w:rsid w:val="00247C0C"/>
    <w:rsid w:val="00346C9E"/>
    <w:rsid w:val="00457CA7"/>
    <w:rsid w:val="0049567D"/>
    <w:rsid w:val="004977DC"/>
    <w:rsid w:val="006B7437"/>
    <w:rsid w:val="006E6058"/>
    <w:rsid w:val="00832480"/>
    <w:rsid w:val="0083361C"/>
    <w:rsid w:val="008578F9"/>
    <w:rsid w:val="008D7B8C"/>
    <w:rsid w:val="00911BBF"/>
    <w:rsid w:val="00937A61"/>
    <w:rsid w:val="009A576E"/>
    <w:rsid w:val="00A84446"/>
    <w:rsid w:val="00AA66E7"/>
    <w:rsid w:val="00AC5F6A"/>
    <w:rsid w:val="00BF6705"/>
    <w:rsid w:val="00C42B42"/>
    <w:rsid w:val="00CC159E"/>
    <w:rsid w:val="00D01294"/>
    <w:rsid w:val="00D91DA0"/>
    <w:rsid w:val="00ED6ABA"/>
    <w:rsid w:val="00F15CDF"/>
    <w:rsid w:val="00F22ABF"/>
    <w:rsid w:val="00F80DC9"/>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lv-LV"/>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0AA98-3450-47C4-A4CE-7CA9C0D4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6</cp:revision>
  <dcterms:created xsi:type="dcterms:W3CDTF">2020-09-17T17:22:00Z</dcterms:created>
  <dcterms:modified xsi:type="dcterms:W3CDTF">2020-09-24T13:25:00Z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