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A45088" w:rsidRPr="00A45088" w14:paraId="173847B1" w14:textId="77777777" w:rsidTr="00284CCF">
        <w:trPr>
          <w:tblCellSpacing w:w="15" w:type="dxa"/>
          <w:jc w:val="center"/>
        </w:trPr>
        <w:tc>
          <w:tcPr>
            <w:tcW w:w="5000" w:type="pct"/>
            <w:vAlign w:val="center"/>
          </w:tcPr>
          <w:p w14:paraId="39A8AE6C" w14:textId="35792FC8" w:rsidR="00A45088" w:rsidRPr="00A45088" w:rsidRDefault="00A45088" w:rsidP="00A45088">
            <w:pPr>
              <w:spacing w:after="0" w:line="240" w:lineRule="auto"/>
              <w:jc w:val="center"/>
              <w:rPr>
                <w:rFonts w:ascii="Times New Roman" w:eastAsia="Times New Roman" w:hAnsi="Times New Roman" w:cs="Times New Roman"/>
                <w:sz w:val="24"/>
                <w:szCs w:val="24"/>
                <w:lang w:eastAsia="en-GB"/>
              </w:rPr>
            </w:pPr>
          </w:p>
        </w:tc>
      </w:tr>
    </w:tbl>
    <w:p w14:paraId="3FAD88BF"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r>
      <w:r>
        <w:rPr>
          <w:rFonts w:ascii="Times New Roman" w:hAnsi="Times New Roman"/>
          <w:color w:val="000000"/>
          <w:sz w:val="27"/>
        </w:rPr>
        <w:br/>
        <w:t>27 LUTEGO 2023 r. - Dekret królewski określający warunki dotyczące reklamy gier hazardowych</w:t>
      </w:r>
    </w:p>
    <w:p w14:paraId="75B0BB42"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FILIP, król Belgów,</w:t>
      </w:r>
    </w:p>
    <w:p w14:paraId="4ADE7956"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wszystkim obecnym i przyszłym pokoleniom, nasze pozdrowienia.</w:t>
      </w:r>
    </w:p>
    <w:p w14:paraId="4886D964"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Uwzględniając ustawę z dnia 7 maja 1999 r. o grach hazardowych, zakładach, salonach gier hazardowych i o ochronie graczy, art. 61 ust. 2 dodany ustawą z dnia 7 maja 2019 r.,</w:t>
      </w:r>
      <w:r>
        <w:rPr>
          <w:rFonts w:ascii="Times New Roman" w:hAnsi="Times New Roman"/>
          <w:color w:val="000000"/>
          <w:sz w:val="27"/>
        </w:rPr>
        <w:br/>
        <w:t>uwzględniając dekret królewski z dnia 25 października 2018 r. w sprawie warunków gier hazardowych i zakładów z wykorzystaniem instrumentów społeczeństwa informacyjnego,</w:t>
      </w:r>
      <w:r>
        <w:rPr>
          <w:rFonts w:ascii="Times New Roman" w:hAnsi="Times New Roman"/>
          <w:color w:val="000000"/>
          <w:sz w:val="27"/>
        </w:rPr>
        <w:br/>
        <w:t>uwzględniając opinię Komisji ds. gier hazardowych z dnia 5 kwietnia 2022 r.,</w:t>
      </w:r>
    </w:p>
    <w:p w14:paraId="0F5DAB39" w14:textId="7A3FC1B1" w:rsidR="00A45088" w:rsidRPr="00A45088" w:rsidRDefault="00A45088" w:rsidP="00A45088">
      <w:pPr>
        <w:spacing w:after="0" w:line="240" w:lineRule="auto"/>
        <w:rPr>
          <w:rFonts w:ascii="Times New Roman" w:eastAsia="Times New Roman" w:hAnsi="Times New Roman" w:cs="Times New Roman"/>
          <w:sz w:val="24"/>
          <w:szCs w:val="24"/>
        </w:rPr>
      </w:pPr>
      <w:r>
        <w:rPr>
          <w:rFonts w:ascii="Times New Roman" w:hAnsi="Times New Roman"/>
          <w:color w:val="000000"/>
          <w:sz w:val="27"/>
        </w:rPr>
        <w:t>uwzględniając opinię Inspektora ds. Finansów z dnia 28 kwietnia 2022 r.,</w:t>
      </w:r>
      <w:r>
        <w:rPr>
          <w:rFonts w:ascii="Times New Roman" w:hAnsi="Times New Roman"/>
          <w:color w:val="000000"/>
          <w:sz w:val="27"/>
        </w:rPr>
        <w:br/>
        <w:t>uwzględniając zgodę sekretarza stanu ds. budżetu z dnia 4 maja 2022 r.,</w:t>
      </w:r>
      <w:r>
        <w:rPr>
          <w:rFonts w:ascii="Times New Roman" w:hAnsi="Times New Roman"/>
          <w:color w:val="000000"/>
          <w:sz w:val="27"/>
        </w:rPr>
        <w:br/>
        <w:t>uwzględniając komunikat 2022/0332/B do Komisji Europejskiej z dnia 8 maja 2022 r., zgodnie z art. 5 ust. 1 dyrektywy (UE) 2015/1535 Parlamentu Europejskiego i Rady z dnia 9 września 2015 r. ustanawiającej procedurę udzielania informacji w dziedzinie przepisów technicznych oraz zasad dotyczących usług społeczeństwa informacyjnego,</w:t>
      </w:r>
      <w:r>
        <w:rPr>
          <w:rFonts w:ascii="Times New Roman" w:hAnsi="Times New Roman"/>
          <w:color w:val="000000"/>
          <w:sz w:val="27"/>
        </w:rPr>
        <w:br/>
        <w:t>uwzględniając opinię nr 72.190/4 Rady Państwa wydaną dnia 12 października 2022 r. oraz opinię nr 72.838/4 Rady Państwa wydaną dnia 6 lutego 2023 r., na podstawie art. 84 § 1 ust. 1 pkt 2 ustaw o Radzie Państwa skonsolidowanych w dniu 12 stycznia 1973 r.,</w:t>
      </w:r>
      <w:r>
        <w:rPr>
          <w:rFonts w:ascii="Times New Roman" w:hAnsi="Times New Roman"/>
          <w:color w:val="000000"/>
          <w:sz w:val="27"/>
        </w:rPr>
        <w:br/>
        <w:t>na wniosek Ministra Gospodarki, Ministra Finansów, odpowiedzialnego za Loterię Państwową, Ministra Zdrowia Publicznego, Ministra Sprawiedliwości oraz Ministra Spraw Wewnętrznych,</w:t>
      </w:r>
      <w:r>
        <w:rPr>
          <w:rFonts w:ascii="Times New Roman" w:hAnsi="Times New Roman"/>
          <w:color w:val="000000"/>
          <w:sz w:val="27"/>
        </w:rPr>
        <w:br/>
        <w:t>niniejszym zarządzamy, co następuje:</w:t>
      </w:r>
      <w:r>
        <w:rPr>
          <w:rFonts w:ascii="Times New Roman" w:hAnsi="Times New Roman"/>
          <w:color w:val="000000"/>
          <w:sz w:val="27"/>
        </w:rPr>
        <w:br/>
        <w:t>Rozdział 1. – Zakres i definicje</w:t>
      </w:r>
      <w:r>
        <w:rPr>
          <w:rFonts w:ascii="Times New Roman" w:hAnsi="Times New Roman"/>
          <w:color w:val="000000"/>
          <w:sz w:val="27"/>
        </w:rPr>
        <w:br/>
        <w:t>Artykuł 1. Z zastrzeżeniem dekretu królewskiego z dnia 22 grudnia 2010 r. ustanawiającego warunki prowadzenia zakładów poza salonami gier hazardowych klasy IV, niniejszy dekret ma zastosowanie do posiadaczy licencji klasy A, A+, B, B+, F1, F1+, F1P, F2 i E na gry hazardowe.</w:t>
      </w:r>
      <w:r>
        <w:rPr>
          <w:rFonts w:ascii="Times New Roman" w:hAnsi="Times New Roman"/>
          <w:color w:val="000000"/>
          <w:sz w:val="27"/>
        </w:rPr>
        <w:br/>
        <w:t>Jedynie licencjobiorcy, o których mowa w ust. 1, mogą podejmować działania reklamowe na warunkach określonych w niniejszym dekrecie.</w:t>
      </w:r>
      <w:r>
        <w:rPr>
          <w:rFonts w:ascii="Times New Roman" w:hAnsi="Times New Roman"/>
          <w:color w:val="000000"/>
          <w:sz w:val="27"/>
        </w:rPr>
        <w:br/>
        <w:t>Artykuł 2. Dozwolone są wyłącznie formy reklamy, o których mowa w rozdziale 2.</w:t>
      </w:r>
      <w:r>
        <w:rPr>
          <w:rFonts w:ascii="Times New Roman" w:hAnsi="Times New Roman"/>
          <w:color w:val="000000"/>
          <w:sz w:val="27"/>
        </w:rPr>
        <w:br/>
        <w:t>Artykuł 3. Do celów niniejszego dekretu stosuje się następujące definicje:</w:t>
      </w:r>
      <w:r>
        <w:rPr>
          <w:rFonts w:ascii="Times New Roman" w:hAnsi="Times New Roman"/>
          <w:color w:val="000000"/>
          <w:sz w:val="27"/>
        </w:rPr>
        <w:br/>
        <w:t>1. „ustawa o grach”: ustawa z dnia 7 maja 1999 r. o grach hazardowych, zakładach, salonach gier hazardowych i o ochronie graczy;</w:t>
      </w:r>
      <w:r>
        <w:rPr>
          <w:rFonts w:ascii="Times New Roman" w:hAnsi="Times New Roman"/>
          <w:color w:val="000000"/>
          <w:sz w:val="27"/>
        </w:rPr>
        <w:br/>
        <w:t>2. „gry hazardowe”: gry hazardowe, o których mowa w art. 2 ust. 1 ustawy o grach;</w:t>
      </w:r>
      <w:r>
        <w:rPr>
          <w:rFonts w:ascii="Times New Roman" w:hAnsi="Times New Roman"/>
          <w:color w:val="000000"/>
          <w:sz w:val="27"/>
        </w:rPr>
        <w:br/>
        <w:t xml:space="preserve">3. „reklama”: wszelkie formy komunikacji lub działania, inne niż te, o których </w:t>
      </w:r>
      <w:r>
        <w:rPr>
          <w:rFonts w:ascii="Times New Roman" w:hAnsi="Times New Roman"/>
          <w:color w:val="000000"/>
          <w:sz w:val="27"/>
        </w:rPr>
        <w:lastRenderedPageBreak/>
        <w:t>mowa w art. 60 ust. 2 akapit drugi ustawy o grach, mające na celu bezpośrednio lub pośrednio promowanie gier hazardowych lub zachęcanie do gier hazardowych, niezależnie od miejsca, zastosowanych środków komunikacji lub wykorzystanych technik. Do celów niniejszego dekretu, umieszczenie marki lub logo, lub obu tych elementów, jest traktowane jako reklama;</w:t>
      </w:r>
      <w:r>
        <w:rPr>
          <w:rFonts w:ascii="Times New Roman" w:hAnsi="Times New Roman"/>
          <w:color w:val="000000"/>
          <w:sz w:val="27"/>
        </w:rPr>
        <w:br/>
        <w:t>4. „sponsoring sportowy”: wspieranie stowarzyszeń sportowych i wydarzeń sportowych poprzez zapewnienie im środków finansowych lub innych form wsparcia w celu uzyskania większej rozpoznawalności, bez wykorzystywania marki lub logo licencjobiorcy, o którym mowa w art. 1, w nazwie stowarzyszenia sportowego lub wydarzenia sportowego. Do celów niniejszego dekretu sponsoring sportowy traktuje się jak reklamę;</w:t>
      </w:r>
      <w:r>
        <w:rPr>
          <w:rFonts w:ascii="Times New Roman" w:hAnsi="Times New Roman"/>
          <w:color w:val="000000"/>
          <w:sz w:val="27"/>
        </w:rPr>
        <w:br/>
        <w:t>5. „zawodowe stowarzyszenie sportowe”: stowarzyszenie sportowe, w którym sport jest uprawiany zawodowo, a sportowcy uczestniczą w Igrzyskach Olimpijskich, Igrzyskach Paraolimpijskich, Igrzyskach Sportów Nieolimpijskich, Mistrzostwach Świata, Mistrzostwach Europy, Mistrzostwach Belgii lub najwyższych dywizjach zawodów krajowych organizowanych przez uznaną federację sportową lub pod jej nadzorem;</w:t>
      </w:r>
      <w:r>
        <w:rPr>
          <w:rFonts w:ascii="Times New Roman" w:hAnsi="Times New Roman"/>
          <w:color w:val="000000"/>
          <w:sz w:val="27"/>
        </w:rPr>
        <w:br/>
        <w:t>6. „niezawodowe stowarzyszenie sportowe”: każde stowarzyszenie sportowe, które nie spełnia definicji, o której mowa w pkt 5;</w:t>
      </w:r>
      <w:r>
        <w:rPr>
          <w:rFonts w:ascii="Times New Roman" w:hAnsi="Times New Roman"/>
          <w:color w:val="000000"/>
          <w:sz w:val="27"/>
        </w:rPr>
        <w:br/>
        <w:t>7. „marka”: połączenie nie więcej niż trzech słów umożliwiające odróżnienie licencjobiorców, o których mowa w art. 1;</w:t>
      </w:r>
      <w:r>
        <w:rPr>
          <w:rFonts w:ascii="Times New Roman" w:hAnsi="Times New Roman"/>
          <w:color w:val="000000"/>
          <w:sz w:val="27"/>
        </w:rPr>
        <w:br/>
        <w:t>8. „logo”: element graficzny lub półgraficzny umożliwiający odróżnienie licencjobiorców , o których mowa w art. 1.</w:t>
      </w:r>
      <w:r>
        <w:rPr>
          <w:rFonts w:ascii="Times New Roman" w:hAnsi="Times New Roman"/>
          <w:color w:val="000000"/>
          <w:sz w:val="27"/>
        </w:rPr>
        <w:br/>
      </w:r>
      <w:r>
        <w:rPr>
          <w:rFonts w:ascii="Times New Roman" w:hAnsi="Times New Roman"/>
          <w:caps/>
          <w:color w:val="000000"/>
          <w:sz w:val="27"/>
        </w:rPr>
        <w:t>Rozdział 2.</w:t>
      </w:r>
      <w:r>
        <w:rPr>
          <w:rFonts w:ascii="Times New Roman" w:hAnsi="Times New Roman"/>
          <w:color w:val="000000"/>
          <w:sz w:val="27"/>
        </w:rPr>
        <w:t xml:space="preserve"> – Formy dozwolonej reklamy</w:t>
      </w:r>
      <w:r>
        <w:rPr>
          <w:rFonts w:ascii="Times New Roman" w:hAnsi="Times New Roman"/>
          <w:color w:val="000000"/>
          <w:sz w:val="27"/>
        </w:rPr>
        <w:br/>
        <w:t>Artykuł 4. Licencjobiorcy, o których mowa w art. 1, mogą reklamować siebie i oferowane przez siebie usługi w zakresie gier hazardowych, pod warunkiem że ta reklama jest przeznaczona wyłącznie dla osób pracujących w sektorze gier hazardowych.</w:t>
      </w:r>
      <w:r>
        <w:rPr>
          <w:rFonts w:ascii="Times New Roman" w:hAnsi="Times New Roman"/>
          <w:color w:val="000000"/>
          <w:sz w:val="27"/>
        </w:rPr>
        <w:br/>
        <w:t>Artykuł 5. Dozwolona jest reklama incydentalna związana z relacjonowaniem zawodów i imprez sportowych.</w:t>
      </w:r>
      <w:r>
        <w:rPr>
          <w:rFonts w:ascii="Times New Roman" w:hAnsi="Times New Roman"/>
          <w:color w:val="000000"/>
          <w:sz w:val="27"/>
        </w:rPr>
        <w:br/>
        <w:t>Artykuł 6. § 1. Sponsoring sportowy podejmowany przez licencjobiorców, o których mowa w art. 1, mogą realizować:</w:t>
      </w:r>
      <w:r>
        <w:rPr>
          <w:rFonts w:ascii="Times New Roman" w:hAnsi="Times New Roman"/>
          <w:color w:val="000000"/>
          <w:sz w:val="27"/>
        </w:rPr>
        <w:br/>
        <w:t>1) niezawodowe stowarzyszenia sportowe;</w:t>
      </w:r>
      <w:r>
        <w:rPr>
          <w:rFonts w:ascii="Times New Roman" w:hAnsi="Times New Roman"/>
          <w:color w:val="000000"/>
          <w:sz w:val="27"/>
        </w:rPr>
        <w:br/>
        <w:t>2) zawodowe stowarzyszenia sportowe.</w:t>
      </w:r>
      <w:r>
        <w:rPr>
          <w:rFonts w:ascii="Times New Roman" w:hAnsi="Times New Roman"/>
          <w:color w:val="000000"/>
          <w:sz w:val="27"/>
        </w:rPr>
        <w:br/>
        <w:t>§ 2. Sponsoring sportowy jest dozwolony tylko poprzez umieszczenie marki lub logo, lub obu tych elementów, na:</w:t>
      </w:r>
      <w:r>
        <w:rPr>
          <w:rFonts w:ascii="Times New Roman" w:hAnsi="Times New Roman"/>
          <w:color w:val="000000"/>
          <w:sz w:val="27"/>
        </w:rPr>
        <w:br/>
        <w:t>1. odzieży sportowej zawodników innych niż osoby niepełnoletnie lub drużyn sportowych;</w:t>
      </w:r>
      <w:r>
        <w:rPr>
          <w:rFonts w:ascii="Times New Roman" w:hAnsi="Times New Roman"/>
          <w:color w:val="000000"/>
          <w:sz w:val="27"/>
        </w:rPr>
        <w:br/>
        <w:t>2. w miejscu, w którym uprawiany jest sport.</w:t>
      </w:r>
      <w:r>
        <w:rPr>
          <w:rFonts w:ascii="Times New Roman" w:hAnsi="Times New Roman"/>
          <w:color w:val="000000"/>
          <w:sz w:val="27"/>
        </w:rPr>
        <w:br/>
        <w:t>Reklama, o której mowa w ust. 1 pkt 1, ma zastosowanie do wszystkich odpowiednich licencjobiorców i nie może zajmować więcej niż 50 cm</w:t>
      </w:r>
      <w:r>
        <w:rPr>
          <w:rFonts w:ascii="Times New Roman" w:hAnsi="Times New Roman"/>
          <w:color w:val="000000"/>
          <w:sz w:val="24"/>
          <w:vertAlign w:val="superscript"/>
        </w:rPr>
        <w:t>2</w:t>
      </w:r>
      <w:r>
        <w:rPr>
          <w:rFonts w:ascii="Times New Roman" w:hAnsi="Times New Roman"/>
          <w:color w:val="000000"/>
          <w:sz w:val="27"/>
        </w:rPr>
        <w:t xml:space="preserve"> łącznej powierzchni odzieży sportowej zawodników ani nie może być umieszczana na przedniej stronie odzieży sportowej.</w:t>
      </w:r>
      <w:r>
        <w:rPr>
          <w:rFonts w:ascii="Times New Roman" w:hAnsi="Times New Roman"/>
          <w:color w:val="000000"/>
          <w:sz w:val="27"/>
        </w:rPr>
        <w:br/>
        <w:t xml:space="preserve">§ 3. Licencjobiorcy, o których mowa w art. 1, mogą nadawać sportowe przekazy </w:t>
      </w:r>
      <w:r>
        <w:rPr>
          <w:rFonts w:ascii="Times New Roman" w:hAnsi="Times New Roman"/>
          <w:color w:val="000000"/>
          <w:sz w:val="27"/>
        </w:rPr>
        <w:lastRenderedPageBreak/>
        <w:t>sponsorskie z wykorzystaniem swojej marki lub swojego logo, lub obu tych elementów, w odniesieniu do następujących wydarzeń:</w:t>
      </w:r>
      <w:r>
        <w:rPr>
          <w:rFonts w:ascii="Times New Roman" w:hAnsi="Times New Roman"/>
          <w:color w:val="000000"/>
          <w:sz w:val="27"/>
        </w:rPr>
        <w:br/>
        <w:t>1. międzynarodowe i europejskie zawody sportowe;</w:t>
      </w:r>
      <w:r>
        <w:rPr>
          <w:rFonts w:ascii="Times New Roman" w:hAnsi="Times New Roman"/>
          <w:color w:val="000000"/>
          <w:sz w:val="27"/>
        </w:rPr>
        <w:br/>
        <w:t>2. belgijskie zawody sportowe.</w:t>
      </w:r>
      <w:r>
        <w:rPr>
          <w:rFonts w:ascii="Times New Roman" w:hAnsi="Times New Roman"/>
          <w:color w:val="000000"/>
          <w:sz w:val="27"/>
        </w:rPr>
        <w:br/>
        <w:t>Wszystkie sportowe przekazy sponsorskie muszą spełniać następujące warunki:</w:t>
      </w:r>
      <w:r>
        <w:rPr>
          <w:rFonts w:ascii="Times New Roman" w:hAnsi="Times New Roman"/>
          <w:color w:val="000000"/>
          <w:sz w:val="27"/>
        </w:rPr>
        <w:br/>
        <w:t>1. czas trwania sportowych przekazów sponsorskich nie przekracza 5 sekund;</w:t>
      </w:r>
      <w:r>
        <w:rPr>
          <w:rFonts w:ascii="Times New Roman" w:hAnsi="Times New Roman"/>
          <w:color w:val="000000"/>
          <w:sz w:val="27"/>
        </w:rPr>
        <w:br/>
        <w:t>2. liczba sportowych przekazów sponsorskich na godzinę nie przekracza dwóch;</w:t>
      </w:r>
      <w:r>
        <w:rPr>
          <w:rFonts w:ascii="Times New Roman" w:hAnsi="Times New Roman"/>
          <w:color w:val="000000"/>
          <w:sz w:val="27"/>
        </w:rPr>
        <w:br/>
        <w:t>3. sportowy przekaz sponsorski nadawany jest w ciągu piętnastu minut poprzedzających rozpoczęcie i piętnastu minut następujących po zakończeniu relacji na żywo z zawodów sportowych, tj. w okresie od faktycznego rozpoczęcia danych zawodów sportowych na żywo do faktycznego ich zakończenia.</w:t>
      </w:r>
      <w:r>
        <w:rPr>
          <w:rFonts w:ascii="Times New Roman" w:hAnsi="Times New Roman"/>
          <w:color w:val="000000"/>
          <w:sz w:val="27"/>
        </w:rPr>
        <w:br/>
        <w:t xml:space="preserve">Artykuł 7. Bez uszczerbku dla przepisów obowiązujących na szczeblu regionalnym i gminnym, posiadacze licencji A, B, F1, F1P i F2 mogą reklamować się za pomocą swojej marki lub swojego logo, lub obu tych elementów, na fasadach swojego salonu gier hazardowych. </w:t>
      </w:r>
      <w:r>
        <w:rPr>
          <w:rFonts w:ascii="Times New Roman" w:hAnsi="Times New Roman"/>
          <w:color w:val="000000"/>
        </w:rPr>
        <w:t>Zamontowana reklama może zajmować maksymalnie 30% całkowitej powierzchni fasady i nie może zajmować więcej niż 20 </w:t>
      </w:r>
      <w:r>
        <w:rPr>
          <w:rFonts w:ascii="Times New Roman" w:hAnsi="Times New Roman"/>
          <w:color w:val="000000"/>
          <w:sz w:val="27"/>
        </w:rPr>
        <w:t>m</w:t>
      </w:r>
      <w:r>
        <w:rPr>
          <w:rFonts w:ascii="Times New Roman" w:hAnsi="Times New Roman"/>
          <w:color w:val="000000"/>
          <w:sz w:val="24"/>
          <w:vertAlign w:val="superscript"/>
        </w:rPr>
        <w:t>2</w:t>
      </w:r>
      <w:r>
        <w:rPr>
          <w:rFonts w:ascii="Times New Roman" w:hAnsi="Times New Roman"/>
          <w:color w:val="000000"/>
          <w:sz w:val="27"/>
        </w:rPr>
        <w:t>.</w:t>
      </w:r>
      <w:r>
        <w:rPr>
          <w:rFonts w:ascii="Times New Roman" w:hAnsi="Times New Roman"/>
          <w:color w:val="000000"/>
          <w:sz w:val="27"/>
        </w:rPr>
        <w:br/>
        <w:t>Jedynie licencjobiorcy, o których mowa w art. 1, mogą wykorzystywać swoją markę lub logo, lub oba te elementy, i to tylko w przypadku placówek handlowych zajmujących się głównie prowadzeniem gier losowych.</w:t>
      </w:r>
      <w:r>
        <w:rPr>
          <w:rFonts w:ascii="Times New Roman" w:hAnsi="Times New Roman"/>
          <w:color w:val="000000"/>
          <w:sz w:val="27"/>
        </w:rPr>
        <w:br/>
        <w:t>Artykuł 8. Posiadacze licencji A, B, F1 i F2 mogą prowadzić działania reklamowe w obrębie swojego salonu gier hazardowych i tylko w odniesieniu do produktów w zakresie gier hazardowych, które oferują w swoim salonie.</w:t>
      </w:r>
      <w:r>
        <w:rPr>
          <w:rFonts w:ascii="Times New Roman" w:hAnsi="Times New Roman"/>
          <w:color w:val="000000"/>
          <w:sz w:val="27"/>
        </w:rPr>
        <w:br/>
        <w:t>Artykuł 9. Licencjobiorcy, o których mowa w art. 1, mogą prowadzić działania reklamowe polegające na lokowaniu produktu w programach telewizyjnych lub radiowych lub przekazach w innych mediach audiowizualnych nagrywanych za granicą, chyba że programy te są przeznaczone specjalnie na rynek belgijski. Lokowanie produktu obejmuje wszelkie formy komercyjnego przekazu audiowizualnego polegające na włączeniu produktu, usługi lub marki, lub odwołaniu się do nich, poprzez umieszczenie ich w programie lub w treściach stworzonych przez użytkownika za wynagrodzeniem lub w inny sposób.</w:t>
      </w:r>
      <w:r>
        <w:rPr>
          <w:rFonts w:ascii="Times New Roman" w:hAnsi="Times New Roman"/>
          <w:color w:val="000000"/>
          <w:sz w:val="27"/>
        </w:rPr>
        <w:br/>
        <w:t>Artykuł 10. Licencjobiorcy, o których mowa w art. 1, mogą sami prowadzić działania reklamowe z wykorzystaniem swojej marki lub swojego logo, lub obu tych elementów, za pomocą instrumentów społeczeństwa informacyjnego wyłącznie w ramach programu reklamowego, za pośrednictwem którego licencjobiorca może reklamować się na stronie wyników wyszukiwania, po wprowadzeniu w wyszukiwarce haseł związanych z hazardem, i w którym reklama może być uznana za wynik wyszukiwania ze względu na fakt, że jest ona umieszczana na górze strony za opłatą.</w:t>
      </w:r>
      <w:r>
        <w:rPr>
          <w:rFonts w:ascii="Times New Roman" w:hAnsi="Times New Roman"/>
          <w:color w:val="000000"/>
          <w:sz w:val="27"/>
        </w:rPr>
        <w:br/>
        <w:t>Artykuł 11. Licencjobiorcy, o których mowa w art. 1, mogą reklamować siebie oraz oferowane przez siebie produkty w zakresie gier hazardowych na własnej stronie internetowej, pod warunkiem że:</w:t>
      </w:r>
      <w:r>
        <w:rPr>
          <w:rFonts w:ascii="Times New Roman" w:hAnsi="Times New Roman"/>
          <w:color w:val="000000"/>
          <w:sz w:val="27"/>
        </w:rPr>
        <w:br/>
        <w:t>1. reklamy te nie pozwalają na żadną interakcję;</w:t>
      </w:r>
      <w:r>
        <w:rPr>
          <w:rFonts w:ascii="Times New Roman" w:hAnsi="Times New Roman"/>
          <w:color w:val="000000"/>
          <w:sz w:val="27"/>
        </w:rPr>
        <w:br/>
        <w:t>2. nie oferują żadnego wynagrodzenia osobom trzecim za reklamę;</w:t>
      </w:r>
      <w:r>
        <w:rPr>
          <w:rFonts w:ascii="Times New Roman" w:hAnsi="Times New Roman"/>
          <w:color w:val="000000"/>
          <w:sz w:val="27"/>
        </w:rPr>
        <w:br/>
        <w:t xml:space="preserve">3. czas trwania reklamy z wykorzystaniem ruchomych obrazów nie przekracza 5 </w:t>
      </w:r>
      <w:r>
        <w:rPr>
          <w:rFonts w:ascii="Times New Roman" w:hAnsi="Times New Roman"/>
          <w:color w:val="000000"/>
          <w:sz w:val="27"/>
        </w:rPr>
        <w:lastRenderedPageBreak/>
        <w:t>sekund.</w:t>
      </w:r>
      <w:r>
        <w:rPr>
          <w:rFonts w:ascii="Times New Roman" w:hAnsi="Times New Roman"/>
          <w:color w:val="000000"/>
          <w:sz w:val="27"/>
        </w:rPr>
        <w:br/>
        <w:t>Artykuł 12. Licencjobiorcy, o których mowa w art. 1, mogą reklamować oferowane przez siebie produkty w zakresie gier hazardowych wyłącznie na kontach, które posiadają na platformach udostępniania treści online, pod warunkiem że:</w:t>
      </w:r>
      <w:r>
        <w:rPr>
          <w:rFonts w:ascii="Times New Roman" w:hAnsi="Times New Roman"/>
          <w:color w:val="000000"/>
          <w:sz w:val="27"/>
        </w:rPr>
        <w:br/>
        <w:t>1. reklamy te nie pozwalają na żadną interakcję;</w:t>
      </w:r>
      <w:r>
        <w:rPr>
          <w:rFonts w:ascii="Times New Roman" w:hAnsi="Times New Roman"/>
          <w:color w:val="000000"/>
          <w:sz w:val="27"/>
        </w:rPr>
        <w:br/>
        <w:t>2. nie oferują żadnego wynagrodzenia osobom trzecim za reklamę;</w:t>
      </w:r>
      <w:r>
        <w:rPr>
          <w:rFonts w:ascii="Times New Roman" w:hAnsi="Times New Roman"/>
          <w:color w:val="000000"/>
          <w:sz w:val="27"/>
        </w:rPr>
        <w:br/>
        <w:t>3. czas trwania reklamy z wykorzystaniem ruchomych obrazów nie przekracza 5 sekund.</w:t>
      </w:r>
      <w:r>
        <w:rPr>
          <w:rFonts w:ascii="Times New Roman" w:hAnsi="Times New Roman"/>
          <w:color w:val="000000"/>
          <w:sz w:val="27"/>
        </w:rPr>
        <w:br/>
      </w:r>
      <w:r>
        <w:rPr>
          <w:rFonts w:ascii="Times New Roman" w:hAnsi="Times New Roman"/>
          <w:caps/>
          <w:color w:val="000000"/>
          <w:sz w:val="27"/>
        </w:rPr>
        <w:t>Rozdział 3.</w:t>
      </w:r>
      <w:r>
        <w:rPr>
          <w:rFonts w:ascii="Times New Roman" w:hAnsi="Times New Roman"/>
          <w:color w:val="000000"/>
          <w:sz w:val="27"/>
        </w:rPr>
        <w:t xml:space="preserve"> – Przepisy ogólne dotyczące dozwolonej reklamy</w:t>
      </w:r>
      <w:r>
        <w:rPr>
          <w:rFonts w:ascii="Times New Roman" w:hAnsi="Times New Roman"/>
          <w:color w:val="000000"/>
          <w:sz w:val="27"/>
        </w:rPr>
        <w:br/>
        <w:t>Artykuł 13. Reklama dotyczy wyłącznie gier hazardowych dozwolonych na podstawie ustawy o grach.</w:t>
      </w:r>
      <w:r>
        <w:rPr>
          <w:rFonts w:ascii="Times New Roman" w:hAnsi="Times New Roman"/>
          <w:color w:val="000000"/>
          <w:sz w:val="27"/>
        </w:rPr>
        <w:br/>
        <w:t>Artykuł 14. Zgodnie z warunkami określonymi w rozdziale 2, licencjobiorca, o którym mowa w art. 1, może reklamować siebie lub oferowane przez siebie gry hazardowe, lub obie te rzeczy jednocześnie.</w:t>
      </w:r>
      <w:r>
        <w:rPr>
          <w:rFonts w:ascii="Times New Roman" w:hAnsi="Times New Roman"/>
          <w:color w:val="000000"/>
          <w:sz w:val="27"/>
        </w:rPr>
        <w:br/>
        <w:t>Artykuł 15. Reklama nie może być skierowana konkretnie do grup szczególnie wrażliwych społecznie. Grupy szczególnie wrażliwe społecznie obejmują osoby, które nie spełniają wymogów w zakresie minimalnego wieku, oraz wszystkie inne osoby objęte art. 54 ustawy o grach, a także osoby, które wykazują cechy ryzykownych zachowań hazardowych.</w:t>
      </w:r>
      <w:r>
        <w:rPr>
          <w:rFonts w:ascii="Times New Roman" w:hAnsi="Times New Roman"/>
          <w:color w:val="000000"/>
          <w:sz w:val="27"/>
        </w:rPr>
        <w:br/>
        <w:t>Artykuł 16. Reklamy nie mogą być spersonalizowane.</w:t>
      </w:r>
      <w:r>
        <w:rPr>
          <w:rFonts w:ascii="Times New Roman" w:hAnsi="Times New Roman"/>
          <w:color w:val="000000"/>
          <w:sz w:val="27"/>
        </w:rPr>
        <w:br/>
        <w:t>Artykuł 17. Reklama nie może przedstawiać osób fizycznych ani postaci fikcyjnych.</w:t>
      </w:r>
      <w:r>
        <w:rPr>
          <w:rFonts w:ascii="Times New Roman" w:hAnsi="Times New Roman"/>
          <w:color w:val="000000"/>
          <w:sz w:val="27"/>
        </w:rPr>
        <w:br/>
        <w:t>W reklamie nie można używać głosu znanych osób fizycznych ani znanych postaci fikcyjnych.</w:t>
      </w:r>
      <w:r>
        <w:rPr>
          <w:rFonts w:ascii="Times New Roman" w:hAnsi="Times New Roman"/>
          <w:color w:val="000000"/>
          <w:sz w:val="27"/>
        </w:rPr>
        <w:br/>
        <w:t>Artykuł 18. Reklama promująca gry hazardowe oferowane przez licencjobiorców, o których mowa w art. 1, jest dozwolona tylko wtedy, gdy jej treść:</w:t>
      </w:r>
      <w:r>
        <w:rPr>
          <w:rFonts w:ascii="Times New Roman" w:hAnsi="Times New Roman"/>
          <w:color w:val="000000"/>
          <w:sz w:val="27"/>
        </w:rPr>
        <w:br/>
        <w:t>1. nie zawiera żadnych bezpodstawnych oświadczeń dotyczących wygranych, których gracze mogą się spodziewać;</w:t>
      </w:r>
      <w:r>
        <w:rPr>
          <w:rFonts w:ascii="Times New Roman" w:hAnsi="Times New Roman"/>
          <w:color w:val="000000"/>
          <w:sz w:val="27"/>
        </w:rPr>
        <w:br/>
        <w:t>2. nie zachęca do nieodpowiedzialnego i agresywnego hazardu;</w:t>
      </w:r>
      <w:r>
        <w:rPr>
          <w:rFonts w:ascii="Times New Roman" w:hAnsi="Times New Roman"/>
          <w:color w:val="000000"/>
          <w:sz w:val="27"/>
        </w:rPr>
        <w:br/>
        <w:t>3. nie sugeruje, że wygrana zależy od znajomości gry lub umiejętności gracza;</w:t>
      </w:r>
      <w:r>
        <w:rPr>
          <w:rFonts w:ascii="Times New Roman" w:hAnsi="Times New Roman"/>
          <w:color w:val="000000"/>
          <w:sz w:val="27"/>
        </w:rPr>
        <w:br/>
        <w:t>4. nie chwali osób, które grają, ani nie krytykuje osób, które nie grają;</w:t>
      </w:r>
      <w:r>
        <w:rPr>
          <w:rFonts w:ascii="Times New Roman" w:hAnsi="Times New Roman"/>
          <w:color w:val="000000"/>
          <w:sz w:val="27"/>
        </w:rPr>
        <w:br/>
        <w:t>5. nie wywiera nacisku na osobę, która nie chce uczestniczyć w grze;</w:t>
      </w:r>
      <w:r>
        <w:rPr>
          <w:rFonts w:ascii="Times New Roman" w:hAnsi="Times New Roman"/>
          <w:color w:val="000000"/>
          <w:sz w:val="27"/>
        </w:rPr>
        <w:br/>
        <w:t>6. nie sugeruje, że gry hazardowe są alternatywą dla pracy i oszczędzania, sposobem na szybkie wzbogacenie się lub rozwiązaniem problemów finansowych;</w:t>
      </w:r>
      <w:r>
        <w:rPr>
          <w:rFonts w:ascii="Times New Roman" w:hAnsi="Times New Roman"/>
          <w:color w:val="000000"/>
          <w:sz w:val="27"/>
        </w:rPr>
        <w:br/>
        <w:t>7. nie łączy hazardu z sukcesem społecznym, finansowym i seksualnym;</w:t>
      </w:r>
      <w:r>
        <w:rPr>
          <w:rFonts w:ascii="Times New Roman" w:hAnsi="Times New Roman"/>
          <w:color w:val="000000"/>
          <w:sz w:val="27"/>
        </w:rPr>
        <w:br/>
        <w:t>8. nie przedstawia sytuacji, w których ludzie grający w grę hazardową lub dokonujący zakładu jednocześnie spożywają wyroby alkoholowe lub palą tytoń;</w:t>
      </w:r>
      <w:r>
        <w:rPr>
          <w:rFonts w:ascii="Times New Roman" w:hAnsi="Times New Roman"/>
          <w:color w:val="000000"/>
          <w:sz w:val="27"/>
        </w:rPr>
        <w:br/>
        <w:t>9. nie promuje pożyczek ani nie kojarzy się z reklamami oferującymi pożyczki, które można uzyskać w celu uprawiania hazardu;</w:t>
      </w:r>
      <w:r>
        <w:rPr>
          <w:rFonts w:ascii="Times New Roman" w:hAnsi="Times New Roman"/>
          <w:color w:val="000000"/>
          <w:sz w:val="27"/>
        </w:rPr>
        <w:br/>
        <w:t>10. nie wykorzystuje wzorów lub technik marketingowych, które odwołują się do postaci, obrazów lub wyrażeń popularnych lub modnych wśród osób, o których mowa w art. 15.</w:t>
      </w:r>
      <w:r>
        <w:rPr>
          <w:rFonts w:ascii="Times New Roman" w:hAnsi="Times New Roman"/>
          <w:color w:val="000000"/>
          <w:sz w:val="27"/>
        </w:rPr>
        <w:br/>
        <w:t xml:space="preserve">Artykuł 19. Reklama gier hazardowych oferowanych przez licencjobiorców, o </w:t>
      </w:r>
      <w:r>
        <w:rPr>
          <w:rFonts w:ascii="Times New Roman" w:hAnsi="Times New Roman"/>
          <w:color w:val="000000"/>
          <w:sz w:val="27"/>
        </w:rPr>
        <w:lastRenderedPageBreak/>
        <w:t>których mowa w art. 1, powinna zawierać informację o minimalnym wieku wymaganym do uczestnictwa w tych grach hazardowych. Minister Sprawiedliwości oraz Minister Zdrowia Publicznego, po konsultacji z Najwyższą Radą Zdrowia, określą sposób, w jaki to oznaczenie wieku musi być zgodne z przepisami.</w:t>
      </w:r>
      <w:r>
        <w:rPr>
          <w:rFonts w:ascii="Times New Roman" w:hAnsi="Times New Roman"/>
          <w:color w:val="000000"/>
          <w:sz w:val="27"/>
        </w:rPr>
        <w:br/>
        <w:t>Artykuł 20. Niezależnie od środka przekazu każda reklama gier hazardowych zawiera komunikat o charakterze prewencyjnym. Minister Sprawiedliwości oraz Minister Zdrowia Publicznego, po konsultacji z Najwyższą Radą Zdrowia, określą sposób, w jaki ten komunikat prewencyjny musi być zgodny z przepisami.</w:t>
      </w:r>
      <w:r>
        <w:rPr>
          <w:rFonts w:ascii="Times New Roman" w:hAnsi="Times New Roman"/>
          <w:color w:val="000000"/>
          <w:sz w:val="27"/>
        </w:rPr>
        <w:br/>
        <w:t>Rozdział 4. - Przepis tymczasowy</w:t>
      </w:r>
      <w:r>
        <w:rPr>
          <w:rFonts w:ascii="Times New Roman" w:hAnsi="Times New Roman"/>
          <w:color w:val="000000"/>
          <w:sz w:val="27"/>
        </w:rPr>
        <w:br/>
        <w:t>Artykuł 21. Reklama, o której mowa w art. 6 § 2 ust. 1 pkt 1, dotyczy wszystkich zainteresowanych licencjobiorców i nie może zajmować więcej niż 75 cm2 łącznej powierzchni odzieży sportowej zawodników ani nie może być umieszczana na przedniej stronie odzieży sportowej.</w:t>
      </w:r>
      <w:r>
        <w:rPr>
          <w:rFonts w:ascii="Times New Roman" w:hAnsi="Times New Roman"/>
          <w:color w:val="000000"/>
          <w:sz w:val="27"/>
        </w:rPr>
        <w:br/>
        <w:t>Ust. 1 obowiązuje od 1</w:t>
      </w:r>
      <w:r>
        <w:rPr>
          <w:rFonts w:ascii="Times New Roman" w:hAnsi="Times New Roman"/>
          <w:color w:val="000000"/>
          <w:sz w:val="24"/>
          <w:vertAlign w:val="superscript"/>
        </w:rPr>
        <w:t> </w:t>
      </w:r>
      <w:r>
        <w:rPr>
          <w:rFonts w:ascii="Times New Roman" w:hAnsi="Times New Roman"/>
          <w:color w:val="000000"/>
        </w:rPr>
        <w:t>s</w:t>
      </w:r>
      <w:r>
        <w:rPr>
          <w:rFonts w:ascii="Times New Roman" w:hAnsi="Times New Roman"/>
          <w:color w:val="000000"/>
          <w:sz w:val="27"/>
        </w:rPr>
        <w:t>tycznia 2025 r. do 31 grudnia 2027 r.</w:t>
      </w:r>
      <w:r>
        <w:rPr>
          <w:rFonts w:ascii="Times New Roman" w:hAnsi="Times New Roman"/>
          <w:color w:val="000000"/>
          <w:sz w:val="27"/>
        </w:rPr>
        <w:br/>
      </w:r>
      <w:r>
        <w:rPr>
          <w:rFonts w:ascii="Times New Roman" w:hAnsi="Times New Roman"/>
          <w:caps/>
          <w:color w:val="000000"/>
          <w:sz w:val="27"/>
        </w:rPr>
        <w:t>Rozdział 5.</w:t>
      </w:r>
      <w:r>
        <w:rPr>
          <w:rFonts w:ascii="Times New Roman" w:hAnsi="Times New Roman"/>
          <w:color w:val="000000"/>
          <w:sz w:val="27"/>
        </w:rPr>
        <w:t xml:space="preserve"> - Uchylane przepisy</w:t>
      </w:r>
      <w:r>
        <w:rPr>
          <w:rFonts w:ascii="Times New Roman" w:hAnsi="Times New Roman"/>
          <w:color w:val="000000"/>
          <w:sz w:val="27"/>
        </w:rPr>
        <w:br/>
        <w:t>Artykuł 22. Art. 6 § 2 ust. 1 pkt 2 oraz § 3 ust. 2 niniejszego dekretu tracą moc z dniem 1</w:t>
      </w:r>
      <w:r>
        <w:rPr>
          <w:rFonts w:ascii="Times New Roman" w:hAnsi="Times New Roman"/>
          <w:color w:val="000000"/>
          <w:sz w:val="24"/>
          <w:vertAlign w:val="superscript"/>
        </w:rPr>
        <w:t> </w:t>
      </w:r>
      <w:r>
        <w:rPr>
          <w:rFonts w:ascii="Times New Roman" w:hAnsi="Times New Roman"/>
          <w:color w:val="000000"/>
          <w:sz w:val="27"/>
        </w:rPr>
        <w:t>stycznia 2025 r.</w:t>
      </w:r>
      <w:r>
        <w:rPr>
          <w:rFonts w:ascii="Times New Roman" w:hAnsi="Times New Roman"/>
          <w:color w:val="000000"/>
          <w:sz w:val="27"/>
        </w:rPr>
        <w:br/>
        <w:t>Artykuł 23. Art. 6 § 1 ust. 2 niniejszego dekretu traci moc z dniem 1</w:t>
      </w:r>
      <w:r>
        <w:rPr>
          <w:rFonts w:ascii="Times New Roman" w:hAnsi="Times New Roman"/>
          <w:color w:val="000000"/>
          <w:sz w:val="24"/>
          <w:vertAlign w:val="superscript"/>
        </w:rPr>
        <w:t> </w:t>
      </w:r>
      <w:r>
        <w:rPr>
          <w:rFonts w:ascii="Times New Roman" w:hAnsi="Times New Roman"/>
          <w:color w:val="000000"/>
          <w:sz w:val="27"/>
        </w:rPr>
        <w:t>stycznia 2028 r.</w:t>
      </w:r>
      <w:r>
        <w:rPr>
          <w:rFonts w:ascii="Times New Roman" w:hAnsi="Times New Roman"/>
          <w:color w:val="000000"/>
          <w:sz w:val="27"/>
        </w:rPr>
        <w:br/>
      </w:r>
      <w:r>
        <w:rPr>
          <w:rFonts w:ascii="Times New Roman" w:hAnsi="Times New Roman"/>
          <w:caps/>
          <w:color w:val="000000"/>
          <w:sz w:val="27"/>
        </w:rPr>
        <w:t>Rozdział</w:t>
      </w:r>
      <w:r>
        <w:rPr>
          <w:rFonts w:ascii="Times New Roman" w:hAnsi="Times New Roman"/>
          <w:color w:val="000000"/>
          <w:sz w:val="27"/>
        </w:rPr>
        <w:t> 6. - Przepisy przejściowe</w:t>
      </w:r>
      <w:r>
        <w:rPr>
          <w:rFonts w:ascii="Times New Roman" w:hAnsi="Times New Roman"/>
          <w:color w:val="000000"/>
          <w:sz w:val="27"/>
        </w:rPr>
        <w:br/>
        <w:t>Artykuł 24. Umowy reklamowe, które na dzień publikacji niniejszego dekretu w belgijskim dzienniku urzędowym zostały zawarte przed 9 maja 2022 r. między licencjobiorcami, o których mowa w art. 1, a agencjami reklamowymi, zachowują ważność na tych samych warunkach do 31 grudnia 2024 r., pod warunkiem że tacy licencjobiorcy przestrzegają art. 13-16 oraz 18-20 niniejszego dekretu.</w:t>
      </w:r>
      <w:r>
        <w:rPr>
          <w:rFonts w:ascii="Times New Roman" w:hAnsi="Times New Roman"/>
          <w:color w:val="000000"/>
          <w:sz w:val="27"/>
        </w:rPr>
        <w:br/>
        <w:t>W przypadku logo już istniejących w momencie publikacji niniejszego dekretu art. 17 wchodzi w życie z dniem 1</w:t>
      </w:r>
      <w:r>
        <w:rPr>
          <w:rFonts w:ascii="Times New Roman" w:hAnsi="Times New Roman"/>
          <w:color w:val="000000"/>
          <w:sz w:val="24"/>
          <w:vertAlign w:val="superscript"/>
        </w:rPr>
        <w:t xml:space="preserve"> </w:t>
      </w:r>
      <w:r>
        <w:rPr>
          <w:rFonts w:ascii="Times New Roman" w:hAnsi="Times New Roman"/>
          <w:color w:val="000000"/>
          <w:sz w:val="27"/>
        </w:rPr>
        <w:t>stycznia 2025 r.</w:t>
      </w:r>
      <w:r>
        <w:rPr>
          <w:rFonts w:ascii="Times New Roman" w:hAnsi="Times New Roman"/>
          <w:color w:val="000000"/>
          <w:sz w:val="27"/>
        </w:rPr>
        <w:br/>
        <w:t>Artykuł 25. W przypadku braku określenia przez Ministra Sprawiedliwości oraz Ministra Zdrowia Publicznego w chwili wejścia w życie niniejszego dekretu, warunków, jakie powinny spełniać oznaczenie wieku i komunikat prewencyjny, o których mowa w art. 19 i 20, wielkość liter oznaczenia wieku i komunikatu prewencyjnego powinna stanowić co najmniej 4% wielkości powierzchni reklamowej a litery powinny mieć wielkość czcionki co najmniej 7, przy czym wielkość czcionki nie może być mniejsza niż jedna czwarta wielkości czcionki największych znaków użytych w reklamie.</w:t>
      </w:r>
      <w:r>
        <w:rPr>
          <w:rFonts w:ascii="Times New Roman" w:hAnsi="Times New Roman"/>
          <w:color w:val="000000"/>
          <w:sz w:val="27"/>
        </w:rPr>
        <w:br/>
        <w:t>W przypadku braku decyzji Ministra Sprawiedliwości i Ministra Zdrowia Publicznego komunikat zapobiegawczy, o którym mowa w art. 20, musi zawierać następujące przesłanie: „ Hazard może uzależniać. Zatrzymaj się na czas!</w:t>
      </w:r>
      <w:r>
        <w:rPr>
          <w:rFonts w:ascii="Times New Roman" w:hAnsi="Times New Roman"/>
          <w:color w:val="000000"/>
          <w:sz w:val="27"/>
        </w:rPr>
        <w:br/>
        <w:t>Więcej informacji na stronie www.arretezvousatemps.be”.</w:t>
      </w:r>
      <w:r>
        <w:rPr>
          <w:rFonts w:ascii="Times New Roman" w:hAnsi="Times New Roman"/>
          <w:color w:val="000000"/>
          <w:sz w:val="27"/>
        </w:rPr>
        <w:br/>
      </w:r>
      <w:r>
        <w:rPr>
          <w:rFonts w:ascii="Times New Roman" w:hAnsi="Times New Roman"/>
          <w:caps/>
          <w:color w:val="000000"/>
          <w:sz w:val="27"/>
        </w:rPr>
        <w:t>Rozdział 7.</w:t>
      </w:r>
      <w:r>
        <w:rPr>
          <w:rFonts w:ascii="Times New Roman" w:hAnsi="Times New Roman"/>
          <w:color w:val="000000"/>
          <w:sz w:val="27"/>
        </w:rPr>
        <w:t xml:space="preserve"> - Wejście w życie i postanowienie końcowe</w:t>
      </w:r>
      <w:r>
        <w:rPr>
          <w:rFonts w:ascii="Times New Roman" w:hAnsi="Times New Roman"/>
          <w:color w:val="000000"/>
          <w:sz w:val="27"/>
        </w:rPr>
        <w:br/>
        <w:t>Artykuł 26. Niniejszy dekret wchodzi w życie z dniem 1 lipca</w:t>
      </w:r>
      <w:r>
        <w:rPr>
          <w:rFonts w:ascii="Times New Roman" w:hAnsi="Times New Roman"/>
          <w:color w:val="000000"/>
          <w:sz w:val="24"/>
          <w:vertAlign w:val="superscript"/>
        </w:rPr>
        <w:t xml:space="preserve"> </w:t>
      </w:r>
      <w:r>
        <w:rPr>
          <w:rFonts w:ascii="Times New Roman" w:hAnsi="Times New Roman"/>
          <w:color w:val="000000"/>
          <w:sz w:val="27"/>
        </w:rPr>
        <w:t>2023 r., z wyjątkiem art. 6 § 2 ust. 2, który wchodzi w życie z dniem 1</w:t>
      </w:r>
      <w:r>
        <w:rPr>
          <w:rFonts w:ascii="Times New Roman" w:hAnsi="Times New Roman"/>
          <w:color w:val="000000"/>
          <w:sz w:val="24"/>
          <w:vertAlign w:val="superscript"/>
        </w:rPr>
        <w:t xml:space="preserve"> </w:t>
      </w:r>
      <w:r>
        <w:rPr>
          <w:rFonts w:ascii="Times New Roman" w:hAnsi="Times New Roman"/>
          <w:color w:val="000000"/>
          <w:sz w:val="27"/>
        </w:rPr>
        <w:t>stycznia 2028 r.</w:t>
      </w:r>
      <w:r>
        <w:rPr>
          <w:rFonts w:ascii="Times New Roman" w:hAnsi="Times New Roman"/>
          <w:color w:val="000000"/>
          <w:sz w:val="27"/>
        </w:rPr>
        <w:br/>
        <w:t xml:space="preserve">Artykuł 27. Minister Gospodarki, Minister Finansów odpowiedzialny za Loterię </w:t>
      </w:r>
      <w:r>
        <w:rPr>
          <w:rFonts w:ascii="Times New Roman" w:hAnsi="Times New Roman"/>
          <w:color w:val="000000"/>
          <w:sz w:val="27"/>
        </w:rPr>
        <w:lastRenderedPageBreak/>
        <w:t>Państwową, Minister Zdrowia Publicznego, Minister Sprawiedliwości i Minister Spraw Wewnętrznych są odpowiedzialni, każdy w zakresie swoich kompetencji, za wykonanie niniejszego dekretu.</w:t>
      </w:r>
      <w:r>
        <w:rPr>
          <w:rFonts w:ascii="Times New Roman" w:hAnsi="Times New Roman"/>
          <w:color w:val="000000"/>
          <w:sz w:val="27"/>
        </w:rPr>
        <w:br/>
        <w:t>Sporządzono w Brukseli w dniu 27 lutego 2023 r.</w:t>
      </w:r>
      <w:r>
        <w:rPr>
          <w:rFonts w:ascii="Times New Roman" w:hAnsi="Times New Roman"/>
          <w:color w:val="000000"/>
          <w:sz w:val="27"/>
        </w:rPr>
        <w:br/>
        <w:t>FILIP</w:t>
      </w:r>
      <w:r>
        <w:rPr>
          <w:rFonts w:ascii="Times New Roman" w:hAnsi="Times New Roman"/>
          <w:color w:val="000000"/>
          <w:sz w:val="27"/>
        </w:rPr>
        <w:br/>
        <w:t>W imieniu króla:</w:t>
      </w:r>
      <w:r>
        <w:rPr>
          <w:rFonts w:ascii="Times New Roman" w:hAnsi="Times New Roman"/>
          <w:color w:val="000000"/>
          <w:sz w:val="27"/>
        </w:rPr>
        <w:br/>
        <w:t>W imieniu Ministra Gospodarki, nieobecnego:</w:t>
      </w:r>
      <w:r>
        <w:rPr>
          <w:rFonts w:ascii="Times New Roman" w:hAnsi="Times New Roman"/>
          <w:color w:val="000000"/>
          <w:sz w:val="27"/>
        </w:rPr>
        <w:br/>
        <w:t>Minister Emerytur,</w:t>
      </w:r>
      <w:r>
        <w:rPr>
          <w:rFonts w:ascii="Times New Roman" w:hAnsi="Times New Roman"/>
          <w:color w:val="000000"/>
          <w:sz w:val="27"/>
        </w:rPr>
        <w:br/>
        <w:t>K. LALIEUX</w:t>
      </w:r>
      <w:r>
        <w:rPr>
          <w:rFonts w:ascii="Times New Roman" w:hAnsi="Times New Roman"/>
          <w:color w:val="000000"/>
          <w:sz w:val="27"/>
        </w:rPr>
        <w:br/>
        <w:t>Minister Finansów odpowiedzialny za Loterię Państwową,</w:t>
      </w:r>
      <w:r>
        <w:rPr>
          <w:rFonts w:ascii="Times New Roman" w:hAnsi="Times New Roman"/>
          <w:color w:val="000000"/>
          <w:sz w:val="27"/>
        </w:rPr>
        <w:br/>
        <w:t>V. VAN PETEGHEM</w:t>
      </w:r>
      <w:r>
        <w:rPr>
          <w:rFonts w:ascii="Times New Roman" w:hAnsi="Times New Roman"/>
          <w:color w:val="000000"/>
          <w:sz w:val="27"/>
        </w:rPr>
        <w:br/>
        <w:t>Minister Zdrowia Publicznego,</w:t>
      </w:r>
      <w:r>
        <w:rPr>
          <w:rFonts w:ascii="Times New Roman" w:hAnsi="Times New Roman"/>
          <w:color w:val="000000"/>
          <w:sz w:val="27"/>
        </w:rPr>
        <w:br/>
        <w:t>F. VANDENBROUCKE</w:t>
      </w:r>
      <w:r>
        <w:rPr>
          <w:rFonts w:ascii="Times New Roman" w:hAnsi="Times New Roman"/>
          <w:color w:val="000000"/>
          <w:sz w:val="27"/>
        </w:rPr>
        <w:br/>
        <w:t>Minister Sprawiedliwości,</w:t>
      </w:r>
      <w:r>
        <w:rPr>
          <w:rFonts w:ascii="Times New Roman" w:hAnsi="Times New Roman"/>
          <w:color w:val="000000"/>
          <w:sz w:val="27"/>
        </w:rPr>
        <w:br/>
        <w:t>V. VAN QUICKENBORNE</w:t>
      </w:r>
      <w:r>
        <w:rPr>
          <w:rFonts w:ascii="Times New Roman" w:hAnsi="Times New Roman"/>
          <w:color w:val="000000"/>
          <w:sz w:val="27"/>
        </w:rPr>
        <w:br/>
        <w:t>Minister Spraw Wewnętrznych,</w:t>
      </w:r>
      <w:r>
        <w:rPr>
          <w:rFonts w:ascii="Times New Roman" w:hAnsi="Times New Roman"/>
          <w:color w:val="000000"/>
          <w:sz w:val="27"/>
        </w:rPr>
        <w:br/>
        <w:t>A. VERLINDEN</w:t>
      </w:r>
      <w:r>
        <w:rPr>
          <w:rFonts w:ascii="Times New Roman" w:hAnsi="Times New Roman"/>
          <w:color w:val="000000"/>
          <w:sz w:val="27"/>
        </w:rPr>
        <w:br/>
      </w:r>
      <w:bookmarkStart w:id="0" w:name="end"/>
      <w:bookmarkEnd w:id="0"/>
      <w:r>
        <w:rPr>
          <w:rFonts w:ascii="Times New Roman" w:hAnsi="Times New Roman"/>
          <w:color w:val="000000"/>
          <w:sz w:val="27"/>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26"/>
        <w:gridCol w:w="3771"/>
        <w:gridCol w:w="3429"/>
      </w:tblGrid>
      <w:tr w:rsidR="00A45088" w:rsidRPr="00A45088" w14:paraId="56C1F2DD" w14:textId="77777777" w:rsidTr="00A45088">
        <w:trPr>
          <w:tblCellSpacing w:w="15" w:type="dxa"/>
        </w:trPr>
        <w:tc>
          <w:tcPr>
            <w:tcW w:w="1000" w:type="pct"/>
            <w:vAlign w:val="center"/>
            <w:hideMark/>
          </w:tcPr>
          <w:p w14:paraId="177E564B" w14:textId="77777777" w:rsidR="00A45088" w:rsidRPr="00A45088" w:rsidRDefault="001D04DE" w:rsidP="00A45088">
            <w:pPr>
              <w:spacing w:after="0" w:line="240" w:lineRule="auto"/>
              <w:jc w:val="center"/>
              <w:rPr>
                <w:rFonts w:ascii="Times New Roman" w:eastAsia="Times New Roman" w:hAnsi="Times New Roman" w:cs="Times New Roman"/>
                <w:sz w:val="24"/>
                <w:szCs w:val="24"/>
              </w:rPr>
            </w:pPr>
            <w:hyperlink r:id="rId6" w:anchor="top" w:tgtFrame="_self" w:history="1">
              <w:r w:rsidR="00D71506">
                <w:rPr>
                  <w:rFonts w:ascii="Times New Roman" w:hAnsi="Times New Roman"/>
                  <w:color w:val="0000FF"/>
                  <w:sz w:val="24"/>
                  <w:u w:val="single"/>
                </w:rPr>
                <w:t>początek</w:t>
              </w:r>
            </w:hyperlink>
          </w:p>
        </w:tc>
        <w:tc>
          <w:tcPr>
            <w:tcW w:w="2100" w:type="pct"/>
            <w:vAlign w:val="center"/>
            <w:hideMark/>
          </w:tcPr>
          <w:p w14:paraId="64C131A4" w14:textId="77777777" w:rsidR="00A45088" w:rsidRPr="00A45088" w:rsidRDefault="00A45088" w:rsidP="00A45088">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629A5BD5" w14:textId="77777777" w:rsidR="00A45088" w:rsidRPr="00A45088" w:rsidRDefault="00A45088" w:rsidP="00A450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hAnsi="Times New Roman"/>
                <w:b/>
                <w:color w:val="FF0000"/>
                <w:sz w:val="27"/>
              </w:rPr>
              <w:t>Opublikowano dnia: 08 marca 2023 r.</w:t>
            </w:r>
            <w:r>
              <w:rPr>
                <w:rFonts w:ascii="Times New Roman" w:hAnsi="Times New Roman"/>
                <w:b/>
                <w:color w:val="FF0000"/>
                <w:sz w:val="27"/>
              </w:rPr>
              <w:br/>
              <w:t>Numac: 2023030509</w:t>
            </w:r>
          </w:p>
        </w:tc>
      </w:tr>
    </w:tbl>
    <w:p w14:paraId="13666DB2" w14:textId="77777777" w:rsidR="00A36095" w:rsidRDefault="00A36095"/>
    <w:sectPr w:rsidR="00A3609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43F25" w14:textId="77777777" w:rsidR="001D04DE" w:rsidRDefault="001D04DE" w:rsidP="00A45088">
      <w:pPr>
        <w:spacing w:after="0" w:line="240" w:lineRule="auto"/>
      </w:pPr>
      <w:r>
        <w:separator/>
      </w:r>
    </w:p>
  </w:endnote>
  <w:endnote w:type="continuationSeparator" w:id="0">
    <w:p w14:paraId="498AF7AC" w14:textId="77777777" w:rsidR="001D04DE" w:rsidRDefault="001D04DE" w:rsidP="00A4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558423"/>
      <w:docPartObj>
        <w:docPartGallery w:val="Page Numbers (Bottom of Page)"/>
        <w:docPartUnique/>
      </w:docPartObj>
    </w:sdtPr>
    <w:sdtEndPr/>
    <w:sdtContent>
      <w:p w14:paraId="543FCD2A" w14:textId="7EEDB47B" w:rsidR="00A45088" w:rsidRDefault="00A45088">
        <w:pPr>
          <w:pStyle w:val="Footer"/>
          <w:jc w:val="right"/>
        </w:pPr>
        <w:r>
          <w:fldChar w:fldCharType="begin"/>
        </w:r>
        <w:r>
          <w:instrText>PAGE   \* MERGEFORMAT</w:instrText>
        </w:r>
        <w:r>
          <w:fldChar w:fldCharType="separate"/>
        </w:r>
        <w:r>
          <w:t>2</w:t>
        </w:r>
        <w:r>
          <w:fldChar w:fldCharType="end"/>
        </w:r>
      </w:p>
    </w:sdtContent>
  </w:sdt>
  <w:p w14:paraId="1F543304" w14:textId="77777777" w:rsidR="00A45088" w:rsidRDefault="00A45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6690" w14:textId="77777777" w:rsidR="001D04DE" w:rsidRDefault="001D04DE" w:rsidP="00A45088">
      <w:pPr>
        <w:spacing w:after="0" w:line="240" w:lineRule="auto"/>
      </w:pPr>
      <w:r>
        <w:separator/>
      </w:r>
    </w:p>
  </w:footnote>
  <w:footnote w:type="continuationSeparator" w:id="0">
    <w:p w14:paraId="4F99769D" w14:textId="77777777" w:rsidR="001D04DE" w:rsidRDefault="001D04DE" w:rsidP="00A450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88"/>
    <w:rsid w:val="0012791B"/>
    <w:rsid w:val="001D04DE"/>
    <w:rsid w:val="00284CCF"/>
    <w:rsid w:val="0060226B"/>
    <w:rsid w:val="00A36095"/>
    <w:rsid w:val="00A45088"/>
    <w:rsid w:val="00B15609"/>
    <w:rsid w:val="00B62F55"/>
    <w:rsid w:val="00D71506"/>
    <w:rsid w:val="00F47EB5"/>
    <w:rsid w:val="00FB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C7CD"/>
  <w15:chartTrackingRefBased/>
  <w15:docId w15:val="{41F1EDB3-AE12-4D2B-9DE8-FA3DB8B7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088"/>
  </w:style>
  <w:style w:type="paragraph" w:styleId="Footer">
    <w:name w:val="footer"/>
    <w:basedOn w:val="Normal"/>
    <w:link w:val="FooterChar"/>
    <w:uiPriority w:val="99"/>
    <w:unhideWhenUsed/>
    <w:rsid w:val="00A45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8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justice.just.fgov.be/cgi/article_body.pl?language=fr&amp;caller=summary&amp;pub_date=2023-03-08&amp;numac=2023030509%0D%0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2034</Words>
  <Characters>12150</Characters>
  <Application>Microsoft Office Word</Application>
  <DocSecurity>0</DocSecurity>
  <Lines>244</Lines>
  <Paragraphs>7</Paragraphs>
  <ScaleCrop>false</ScaleCrop>
  <Company>Federal Justice Belgium</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Ragnhild Efraimsson</cp:lastModifiedBy>
  <cp:revision>2</cp:revision>
  <dcterms:created xsi:type="dcterms:W3CDTF">2023-04-20T09:50:00Z</dcterms:created>
  <dcterms:modified xsi:type="dcterms:W3CDTF">2023-04-20T09:50:00Z</dcterms:modified>
</cp:coreProperties>
</file>