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6D526" w14:textId="0B6499C4" w:rsidR="003C524C" w:rsidRPr="00835148" w:rsidRDefault="003C524C" w:rsidP="009A3E29">
      <w:pPr>
        <w:pStyle w:val="BodyText"/>
        <w:spacing w:line="276" w:lineRule="auto"/>
        <w:ind w:left="0"/>
        <w:jc w:val="center"/>
        <w:rPr>
          <w:sz w:val="24"/>
          <w:szCs w:val="24"/>
        </w:rPr>
      </w:pPr>
      <w:r>
        <w:rPr>
          <w:noProof/>
          <w:sz w:val="24"/>
        </w:rPr>
        <w:drawing>
          <wp:inline distT="0" distB="0" distL="0" distR="0" wp14:anchorId="16E54954" wp14:editId="753ADE0D">
            <wp:extent cx="474637" cy="768096"/>
            <wp:effectExtent l="0" t="0" r="0" b="0"/>
            <wp:docPr id="3" name="image2.jpeg" descr="Dia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Diagram  Description automatically generated"/>
                    <pic:cNvPicPr/>
                  </pic:nvPicPr>
                  <pic:blipFill>
                    <a:blip r:embed="rId13" cstate="print"/>
                    <a:stretch>
                      <a:fillRect/>
                    </a:stretch>
                  </pic:blipFill>
                  <pic:spPr>
                    <a:xfrm>
                      <a:off x="0" y="0"/>
                      <a:ext cx="474637" cy="768096"/>
                    </a:xfrm>
                    <a:prstGeom prst="rect">
                      <a:avLst/>
                    </a:prstGeom>
                  </pic:spPr>
                </pic:pic>
              </a:graphicData>
            </a:graphic>
          </wp:inline>
        </w:drawing>
      </w:r>
    </w:p>
    <w:p w14:paraId="2D6B9A1E" w14:textId="77777777" w:rsidR="00F72393" w:rsidRPr="00835148" w:rsidRDefault="00F72393" w:rsidP="009A3E29">
      <w:pPr>
        <w:pStyle w:val="BodyText"/>
        <w:spacing w:line="276" w:lineRule="auto"/>
        <w:ind w:left="0"/>
        <w:jc w:val="center"/>
        <w:rPr>
          <w:sz w:val="24"/>
          <w:szCs w:val="24"/>
          <w:lang w:val="en-IE"/>
        </w:rPr>
      </w:pPr>
    </w:p>
    <w:p w14:paraId="164BE514" w14:textId="77777777" w:rsidR="003C524C" w:rsidRPr="00835148" w:rsidRDefault="003C524C" w:rsidP="009A3E29">
      <w:pPr>
        <w:pStyle w:val="BodyText"/>
        <w:spacing w:before="1" w:line="276" w:lineRule="auto"/>
        <w:ind w:left="0"/>
        <w:jc w:val="center"/>
        <w:rPr>
          <w:sz w:val="24"/>
          <w:szCs w:val="24"/>
        </w:rPr>
      </w:pPr>
      <w:r>
        <w:rPr>
          <w:noProof/>
          <w:sz w:val="24"/>
        </w:rPr>
        <mc:AlternateContent>
          <mc:Choice Requires="wps">
            <w:drawing>
              <wp:anchor distT="0" distB="0" distL="0" distR="0" simplePos="0" relativeHeight="251660288" behindDoc="0" locked="0" layoutInCell="1" allowOverlap="1" wp14:anchorId="6E657DF3" wp14:editId="469DBC67">
                <wp:simplePos x="0" y="0"/>
                <wp:positionH relativeFrom="page">
                  <wp:posOffset>3241040</wp:posOffset>
                </wp:positionH>
                <wp:positionV relativeFrom="paragraph">
                  <wp:posOffset>143510</wp:posOffset>
                </wp:positionV>
                <wp:extent cx="1079500" cy="0"/>
                <wp:effectExtent l="12065" t="6350" r="13335" b="12700"/>
                <wp:wrapTopAndBottom/>
                <wp:docPr id="5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line">
                          <a:avLst/>
                        </a:prstGeom>
                        <a:noFill/>
                        <a:ln w="25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DD5CC" id="Line 16"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2pt,11.3pt" to="340.2pt,11.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UOWGzAEAAIQDAAAOAAAAZHJzL2Uyb0RvYy54bWysU02P0zAQvSPxHyzfaZKKFoia7qFluRSo tMsPmNpOYuF4LNtt0n/P2P3YBW6IHCyPZ+bNmzeT1cM0GHZSPmi0Da9mJWfKCpTadg3/8fz47iNn IYKVYNCqhp9V4A/rt29Wo6vVHHs0UnlGIDbUo2t4H6OriyKIXg0QZuiUJWeLfoBIpu8K6WEk9MEU 87JcFiN66TwKFQK9bi9Ovs74batE/N62QUVmGk7cYj59Pg/pLNYrqDsPrtfiSgP+gcUA2lLRO9QW IrCj139BDVp4DNjGmcChwLbVQuUeqJuq/KObpx6cyr2QOMHdZQr/D1Z8O+0907LhiyVnFgaa0U5b xapl0mZ0oaaQjd371J2Y7JPbofgZmMVND7ZTmePz2VFelTKK31KSERxVOIxfUVIMHCNmoabWDwmS JGBTnsf5Pg81RSbosSo/fFqUNDZx8xVQ3xKdD/GLwoGlS8MNkc7AcNqFmIhAfQtJdSw+amPyuI1l Y8Pni/dlTghotEzOFBZ8d9gYz06QFiZ/uSvyvA5LyFsI/SUuuy6r5PFoZa7SK5Cfr/cI2lzuxMrY q0pJmIvEB5Tnvb+pR6PO9K9rmXbptZ2zX36e9S8AAAD//wMAUEsDBBQABgAIAAAAIQCwWa1y3AAA AAkBAAAPAAAAZHJzL2Rvd25yZXYueG1sTI/LTsMwEEX3SPyDNUjsqNMIoijEqRB9SWxQWz5gag9J IB6H2GnD3+OKBSznztGdM+Visp040eBbxwrmswQEsXam5VrB22F9l4PwAdlg55gUfJOHRXV9VWJh 3Jl3dNqHWsQS9gUqaELoCym9bsiin7meOO7e3WAxxHGopRnwHMttJ9MkyaTFluOFBnt6bkh/7ker gPzXtNz2r2jzw4aX406/fKy0Urc309MjiEBT+IPhoh/VoYpORzey8aJT8DBP7iOqIE0zEBHI8ktw /A1kVcr/H1Q/AAAA//8DAFBLAQItABQABgAIAAAAIQC2gziS/gAAAOEBAAATAAAAAAAAAAAAAAAA AAAAAABbQ29udGVudF9UeXBlc10ueG1sUEsBAi0AFAAGAAgAAAAhADj9If/WAAAAlAEAAAsAAAAA AAAAAAAAAAAALwEAAF9yZWxzLy5yZWxzUEsBAi0AFAAGAAgAAAAhAG9Q5YbMAQAAhAMAAA4AAAAA AAAAAAAAAAAALgIAAGRycy9lMm9Eb2MueG1sUEsBAi0AFAAGAAgAAAAhALBZrXLcAAAACQEAAA8A AAAAAAAAAAAAAAAAJgQAAGRycy9kb3ducmV2LnhtbFBLBQYAAAAABAAEAPMAAAAvBQAAAAA= " strokeweight=".2pt">
                <w10:wrap type="topAndBottom" anchorx="page"/>
              </v:line>
            </w:pict>
          </mc:Fallback>
        </mc:AlternateContent>
      </w:r>
    </w:p>
    <w:p w14:paraId="66E8FD48" w14:textId="0995F4A4" w:rsidR="00F72393" w:rsidRPr="00835148" w:rsidRDefault="00447C5C" w:rsidP="00883C74">
      <w:pPr>
        <w:pStyle w:val="TOCHeading"/>
        <w:spacing w:before="0"/>
        <w:jc w:val="center"/>
      </w:pPr>
      <w:r>
        <w:t>PROJEKT USTAWY</w:t>
      </w:r>
    </w:p>
    <w:p w14:paraId="58D6E3A3" w14:textId="18E2AD2E" w:rsidR="008803E5" w:rsidRPr="00835148" w:rsidRDefault="008803E5" w:rsidP="00883C74">
      <w:pPr>
        <w:pStyle w:val="TOCHeading"/>
        <w:spacing w:before="240"/>
        <w:jc w:val="center"/>
      </w:pPr>
      <w:r>
        <w:t>CZĘŚĆ 4A USTAWY O REFORMIE WYBORCZEJ Z 2022 R.</w:t>
      </w:r>
    </w:p>
    <w:p w14:paraId="2B7A6478" w14:textId="04763F9F" w:rsidR="003C524C" w:rsidRPr="00835148" w:rsidRDefault="003C524C" w:rsidP="00883C74">
      <w:pPr>
        <w:pStyle w:val="TOCHeading"/>
        <w:spacing w:before="240" w:after="120"/>
        <w:jc w:val="center"/>
      </w:pPr>
      <w:r>
        <w:t xml:space="preserve">ROZPORZĄDZENIE DOTYCZĄCE INFORMACJI O PROCESIE WYBORCZYM W INTERNECIE, INFORMACJI WYBORCZYCH ORAZ ZACHOWAŃ MANIPULACYJNYCH LUB NIEAUTENTYCZNYCH </w:t>
      </w:r>
    </w:p>
    <w:p w14:paraId="116D1E59" w14:textId="77777777" w:rsidR="003C524C" w:rsidRPr="00835148" w:rsidRDefault="003C524C" w:rsidP="009A3E29">
      <w:pPr>
        <w:pStyle w:val="BodyText"/>
        <w:spacing w:before="4" w:line="276" w:lineRule="auto"/>
        <w:ind w:left="0"/>
        <w:jc w:val="center"/>
        <w:rPr>
          <w:b/>
          <w:sz w:val="24"/>
          <w:szCs w:val="24"/>
        </w:rPr>
      </w:pPr>
      <w:r>
        <w:rPr>
          <w:noProof/>
          <w:sz w:val="24"/>
        </w:rPr>
        <mc:AlternateContent>
          <mc:Choice Requires="wps">
            <w:drawing>
              <wp:anchor distT="0" distB="0" distL="0" distR="0" simplePos="0" relativeHeight="251661312" behindDoc="0" locked="0" layoutInCell="1" allowOverlap="1" wp14:anchorId="2C518F44" wp14:editId="4FF1E0FE">
                <wp:simplePos x="0" y="0"/>
                <wp:positionH relativeFrom="page">
                  <wp:posOffset>3241040</wp:posOffset>
                </wp:positionH>
                <wp:positionV relativeFrom="paragraph">
                  <wp:posOffset>109220</wp:posOffset>
                </wp:positionV>
                <wp:extent cx="1079500" cy="0"/>
                <wp:effectExtent l="12065" t="8890" r="13335" b="10160"/>
                <wp:wrapTopAndBottom/>
                <wp:docPr id="5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line">
                          <a:avLst/>
                        </a:prstGeom>
                        <a:noFill/>
                        <a:ln w="25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651C9" id="Line 15"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2pt,8.6pt" to="340.2pt,8.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w+LDywEAAIQDAAAOAAAAZHJzL2Uyb0RvYy54bWysU02P0zAQvSPxHyzfaZKK8BE13UPLcilQ aZcfMLWdxMLxWLbbtP+esdOWBW6IHCyPZ+bNmzeT1cN5NOykfNBoW14tSs6UFSi17Vv+/fnxzQfO QgQrwaBVLb+owB/Wr1+tJteoJQ5opPKMQGxoJtfyIUbXFEUQgxohLNApS84O/QiRTN8X0sNE6KMp lmX5rpjQS+dRqBDodTs7+Trjd50S8VvXBRWZaTlxi/n0+Tyks1ivoOk9uEGLKw34BxYjaEtF71Bb iMCOXv8FNWrhMWAXFwLHArtOC5V7oG6q8o9ungZwKvdC4gR3lyn8P1jx9bT3TMuW1zVnFkaa0U5b xao6aTO50FDIxu596k6c7ZPbofgRmMXNALZXmePzxVFelTKK31KSERxVOExfUFIMHCNmoc6dHxMk ScDOeR6X+zzUOTJBj1X5/mNd0tjEzVdAc0t0PsTPCkeWLi03RDoDw2kXYiICzS0k1bH4qI3J4zaW TS1f1m/LnBDQaJmcKSz4/rAxnp0gLUz+clfkeRmWkLcQhjkuu+ZV8ni0MlcZFMhP13sEbeY7sTL2 qlISZpb4gPKy9zf1aNSZ/nUt0y69tHP2r59n/RMAAP//AwBQSwMEFAAGAAgAAAAhAP4fSlDcAAAA CQEAAA8AAABkcnMvZG93bnJldi54bWxMj81OwzAQhO9IvIO1SNyo0wpKlMapEOVH4lK15QG2zjYJ xOsQO214e7biAMed+TQ7ky9H16oj9aHxbGA6SUARW182XBl43z3fpKBCRC6x9UwGvinAsri8yDEr /Yk3dNzGSkkIhwwN1DF2mdbB1uQwTHxHLN7B9w6jnH2lyx5PEu5aPUuSuXbYsHyosaPHmuzndnAG KHyNq9dujS7dvfBq2Ni3jydrzPXV+LAAFWmMfzCc60t1KKTT3g9cBtUauJsmt4KKcT8DJcA8PQv7 X0EXuf6/oPgBAAD//wMAUEsBAi0AFAAGAAgAAAAhALaDOJL+AAAA4QEAABMAAAAAAAAAAAAAAAAA AAAAAFtDb250ZW50X1R5cGVzXS54bWxQSwECLQAUAAYACAAAACEAOP0h/9YAAACUAQAACwAAAAAA AAAAAAAAAAAvAQAAX3JlbHMvLnJlbHNQSwECLQAUAAYACAAAACEAJsPiw8sBAACEAwAADgAAAAAA AAAAAAAAAAAuAgAAZHJzL2Uyb0RvYy54bWxQSwECLQAUAAYACAAAACEA/h9KUNwAAAAJAQAADwAA AAAAAAAAAAAAAAAlBAAAZHJzL2Rvd25yZXYueG1sUEsFBgAAAAAEAAQA8wAAAC4FAAAAAA== " strokeweight=".2pt">
                <w10:wrap type="topAndBottom" anchorx="page"/>
              </v:line>
            </w:pict>
          </mc:Fallback>
        </mc:AlternateContent>
      </w:r>
    </w:p>
    <w:p w14:paraId="703CD035" w14:textId="77777777" w:rsidR="003C524C" w:rsidRPr="00E4201E" w:rsidRDefault="003C524C" w:rsidP="009A3E29">
      <w:pPr>
        <w:jc w:val="center"/>
        <w:rPr>
          <w:rFonts w:ascii="Times New Roman" w:hAnsi="Times New Roman" w:cs="Times New Roman"/>
          <w:sz w:val="20"/>
          <w:szCs w:val="20"/>
        </w:rPr>
      </w:pPr>
    </w:p>
    <w:sdt>
      <w:sdtPr>
        <w:rPr>
          <w:rFonts w:ascii="Optima" w:hAnsi="Optima" w:cstheme="minorBidi"/>
          <w:sz w:val="20"/>
          <w:szCs w:val="20"/>
        </w:rPr>
        <w:id w:val="-1331747583"/>
        <w:docPartObj>
          <w:docPartGallery w:val="Table of Contents"/>
          <w:docPartUnique/>
        </w:docPartObj>
      </w:sdtPr>
      <w:sdtEndPr>
        <w:rPr>
          <w:noProof/>
          <w:sz w:val="24"/>
          <w:szCs w:val="24"/>
        </w:rPr>
      </w:sdtEndPr>
      <w:sdtContent>
        <w:p w14:paraId="680C64C2" w14:textId="77777777" w:rsidR="003C524C" w:rsidRPr="00883C74" w:rsidRDefault="003C524C" w:rsidP="00DC775D">
          <w:pPr>
            <w:pStyle w:val="TOCHeading"/>
            <w:rPr>
              <w:b/>
              <w:bCs/>
              <w:sz w:val="24"/>
              <w:szCs w:val="24"/>
            </w:rPr>
          </w:pPr>
          <w:r>
            <w:rPr>
              <w:b/>
              <w:sz w:val="24"/>
            </w:rPr>
            <w:t>Spis treści</w:t>
          </w:r>
        </w:p>
        <w:p w14:paraId="45C5C3CB" w14:textId="18D9D418" w:rsidR="00E4201E" w:rsidRPr="00E4201E" w:rsidRDefault="003C524C">
          <w:pPr>
            <w:pStyle w:val="TOC1"/>
            <w:rPr>
              <w:rFonts w:asciiTheme="minorHAnsi" w:eastAsiaTheme="minorEastAsia" w:hAnsiTheme="minorHAnsi" w:cstheme="minorBidi"/>
              <w:b w:val="0"/>
              <w:sz w:val="20"/>
              <w:szCs w:val="20"/>
              <w:lang w:val="en-US"/>
            </w:rPr>
          </w:pPr>
          <w:r w:rsidRPr="00E4201E">
            <w:rPr>
              <w:b w:val="0"/>
              <w:sz w:val="20"/>
              <w:szCs w:val="20"/>
            </w:rPr>
            <w:fldChar w:fldCharType="begin"/>
          </w:r>
          <w:r w:rsidRPr="00E4201E">
            <w:rPr>
              <w:b w:val="0"/>
              <w:sz w:val="20"/>
              <w:szCs w:val="20"/>
            </w:rPr>
            <w:instrText xml:space="preserve"> TOC \o "1-3" \h \z \u </w:instrText>
          </w:r>
          <w:r w:rsidRPr="00E4201E">
            <w:rPr>
              <w:b w:val="0"/>
              <w:sz w:val="20"/>
              <w:szCs w:val="20"/>
            </w:rPr>
            <w:fldChar w:fldCharType="separate"/>
          </w:r>
          <w:hyperlink w:anchor="_Toc106188824" w:history="1">
            <w:r w:rsidR="00E4201E" w:rsidRPr="00E4201E">
              <w:rPr>
                <w:rStyle w:val="Hyperlink"/>
                <w:b w:val="0"/>
                <w:sz w:val="20"/>
                <w:szCs w:val="20"/>
              </w:rPr>
              <w:t>Rozdział 1: Przepisy wstępne</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_Toc106188824 \h </w:instrText>
            </w:r>
            <w:r w:rsidR="00E4201E" w:rsidRPr="00E4201E">
              <w:rPr>
                <w:b w:val="0"/>
                <w:webHidden/>
                <w:sz w:val="20"/>
                <w:szCs w:val="20"/>
              </w:rPr>
            </w:r>
            <w:r w:rsidR="00E4201E" w:rsidRPr="00E4201E">
              <w:rPr>
                <w:b w:val="0"/>
                <w:webHidden/>
                <w:sz w:val="20"/>
                <w:szCs w:val="20"/>
              </w:rPr>
              <w:fldChar w:fldCharType="separate"/>
            </w:r>
            <w:r w:rsidR="009439A8">
              <w:rPr>
                <w:b w:val="0"/>
                <w:webHidden/>
                <w:sz w:val="20"/>
                <w:szCs w:val="20"/>
              </w:rPr>
              <w:t>3</w:t>
            </w:r>
            <w:r w:rsidR="00E4201E" w:rsidRPr="00E4201E">
              <w:rPr>
                <w:b w:val="0"/>
                <w:webHidden/>
                <w:sz w:val="20"/>
                <w:szCs w:val="20"/>
              </w:rPr>
              <w:fldChar w:fldCharType="end"/>
            </w:r>
          </w:hyperlink>
        </w:p>
        <w:p w14:paraId="4EF50E59" w14:textId="5D9C6B46" w:rsidR="00E4201E" w:rsidRPr="00E4201E" w:rsidRDefault="009439A8">
          <w:pPr>
            <w:pStyle w:val="TOC1"/>
            <w:rPr>
              <w:rFonts w:asciiTheme="minorHAnsi" w:eastAsiaTheme="minorEastAsia" w:hAnsiTheme="minorHAnsi" w:cstheme="minorBidi"/>
              <w:b w:val="0"/>
              <w:sz w:val="20"/>
              <w:szCs w:val="20"/>
              <w:lang w:val="en-US"/>
            </w:rPr>
          </w:pPr>
          <w:hyperlink w:anchor="_Toc106188825" w:history="1">
            <w:r w:rsidR="00E4201E" w:rsidRPr="00E4201E">
              <w:rPr>
                <w:rStyle w:val="Hyperlink"/>
                <w:b w:val="0"/>
                <w:sz w:val="20"/>
                <w:szCs w:val="20"/>
              </w:rPr>
              <w:t>Artykuł 1: Dodatkowe definicje dla Części 4A</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_Toc106188825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3</w:t>
            </w:r>
            <w:r w:rsidR="00E4201E" w:rsidRPr="00E4201E">
              <w:rPr>
                <w:b w:val="0"/>
                <w:webHidden/>
                <w:sz w:val="20"/>
                <w:szCs w:val="20"/>
              </w:rPr>
              <w:fldChar w:fldCharType="end"/>
            </w:r>
          </w:hyperlink>
        </w:p>
        <w:p w14:paraId="2A3450BD" w14:textId="38C68CB0" w:rsidR="00E4201E" w:rsidRPr="00E4201E" w:rsidRDefault="009439A8">
          <w:pPr>
            <w:pStyle w:val="TOC1"/>
            <w:rPr>
              <w:rFonts w:asciiTheme="minorHAnsi" w:eastAsiaTheme="minorEastAsia" w:hAnsiTheme="minorHAnsi" w:cstheme="minorBidi"/>
              <w:b w:val="0"/>
              <w:sz w:val="20"/>
              <w:szCs w:val="20"/>
              <w:lang w:val="en-US"/>
            </w:rPr>
          </w:pPr>
          <w:hyperlink w:anchor="_Toc106188826" w:history="1">
            <w:r w:rsidR="00E4201E" w:rsidRPr="00E4201E">
              <w:rPr>
                <w:rStyle w:val="Hyperlink"/>
                <w:b w:val="0"/>
                <w:sz w:val="20"/>
                <w:szCs w:val="20"/>
              </w:rPr>
              <w:t>Artykuł 2: Funkcje Komisji w zakresie internetowych informacji wyborczych oraz zachowań manipulacyjnych lub nieautentycznych</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_Toc106188826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6</w:t>
            </w:r>
            <w:r w:rsidR="00E4201E" w:rsidRPr="00E4201E">
              <w:rPr>
                <w:b w:val="0"/>
                <w:webHidden/>
                <w:sz w:val="20"/>
                <w:szCs w:val="20"/>
              </w:rPr>
              <w:fldChar w:fldCharType="end"/>
            </w:r>
          </w:hyperlink>
        </w:p>
        <w:p w14:paraId="340A256C" w14:textId="67B8C99E" w:rsidR="00E4201E" w:rsidRPr="00E4201E" w:rsidRDefault="009439A8">
          <w:pPr>
            <w:pStyle w:val="TOC1"/>
            <w:rPr>
              <w:rFonts w:asciiTheme="minorHAnsi" w:eastAsiaTheme="minorEastAsia" w:hAnsiTheme="minorHAnsi" w:cstheme="minorBidi"/>
              <w:b w:val="0"/>
              <w:sz w:val="20"/>
              <w:szCs w:val="20"/>
              <w:lang w:val="en-US"/>
            </w:rPr>
          </w:pPr>
          <w:hyperlink w:anchor="_Toc106188827" w:history="1">
            <w:r w:rsidR="00E4201E" w:rsidRPr="00E4201E">
              <w:rPr>
                <w:rStyle w:val="Hyperlink"/>
                <w:b w:val="0"/>
                <w:sz w:val="20"/>
                <w:szCs w:val="20"/>
              </w:rPr>
              <w:t>Artykuł 3: Powołanie i rola Komitetu Doradczego</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_Toc106188827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7</w:t>
            </w:r>
            <w:r w:rsidR="00E4201E" w:rsidRPr="00E4201E">
              <w:rPr>
                <w:b w:val="0"/>
                <w:webHidden/>
                <w:sz w:val="20"/>
                <w:szCs w:val="20"/>
              </w:rPr>
              <w:fldChar w:fldCharType="end"/>
            </w:r>
          </w:hyperlink>
        </w:p>
        <w:p w14:paraId="044A7402" w14:textId="3BCAD930" w:rsidR="00E4201E" w:rsidRPr="00E4201E" w:rsidRDefault="009439A8">
          <w:pPr>
            <w:pStyle w:val="TOC1"/>
            <w:rPr>
              <w:rFonts w:asciiTheme="minorHAnsi" w:eastAsiaTheme="minorEastAsia" w:hAnsiTheme="minorHAnsi" w:cstheme="minorBidi"/>
              <w:b w:val="0"/>
              <w:sz w:val="20"/>
              <w:szCs w:val="20"/>
              <w:lang w:val="en-US"/>
            </w:rPr>
          </w:pPr>
          <w:hyperlink w:anchor="_Toc106188828" w:history="1">
            <w:r w:rsidR="00E4201E" w:rsidRPr="00E4201E">
              <w:rPr>
                <w:rStyle w:val="Hyperlink"/>
                <w:b w:val="0"/>
                <w:sz w:val="20"/>
                <w:szCs w:val="20"/>
              </w:rPr>
              <w:t>Artykuł 4: Powołanie i rola rady interesariuszy</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_Toc106188828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7</w:t>
            </w:r>
            <w:r w:rsidR="00E4201E" w:rsidRPr="00E4201E">
              <w:rPr>
                <w:b w:val="0"/>
                <w:webHidden/>
                <w:sz w:val="20"/>
                <w:szCs w:val="20"/>
              </w:rPr>
              <w:fldChar w:fldCharType="end"/>
            </w:r>
          </w:hyperlink>
        </w:p>
        <w:p w14:paraId="3751270D" w14:textId="061ED99B" w:rsidR="00E4201E" w:rsidRPr="00E4201E" w:rsidRDefault="009439A8">
          <w:pPr>
            <w:pStyle w:val="TOC1"/>
            <w:rPr>
              <w:rFonts w:asciiTheme="minorHAnsi" w:eastAsiaTheme="minorEastAsia" w:hAnsiTheme="minorHAnsi" w:cstheme="minorBidi"/>
              <w:b w:val="0"/>
              <w:sz w:val="20"/>
              <w:szCs w:val="20"/>
              <w:lang w:val="en-US"/>
            </w:rPr>
          </w:pPr>
          <w:hyperlink w:anchor="_Toc106188829" w:history="1">
            <w:r w:rsidR="00E4201E" w:rsidRPr="00E4201E">
              <w:rPr>
                <w:rStyle w:val="Hyperlink"/>
                <w:b w:val="0"/>
                <w:sz w:val="20"/>
                <w:szCs w:val="20"/>
              </w:rPr>
              <w:t>[Artykuł 5 usunięto]</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_Toc106188829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8</w:t>
            </w:r>
            <w:r w:rsidR="00E4201E" w:rsidRPr="00E4201E">
              <w:rPr>
                <w:b w:val="0"/>
                <w:webHidden/>
                <w:sz w:val="20"/>
                <w:szCs w:val="20"/>
              </w:rPr>
              <w:fldChar w:fldCharType="end"/>
            </w:r>
          </w:hyperlink>
        </w:p>
        <w:p w14:paraId="3F53EBA6" w14:textId="4A4BCE3D" w:rsidR="00E4201E" w:rsidRPr="00E4201E" w:rsidRDefault="009439A8">
          <w:pPr>
            <w:pStyle w:val="TOC1"/>
            <w:rPr>
              <w:rFonts w:asciiTheme="minorHAnsi" w:eastAsiaTheme="minorEastAsia" w:hAnsiTheme="minorHAnsi" w:cstheme="minorBidi"/>
              <w:b w:val="0"/>
              <w:sz w:val="20"/>
              <w:szCs w:val="20"/>
              <w:lang w:val="en-US"/>
            </w:rPr>
          </w:pPr>
          <w:hyperlink w:anchor="_Toc106188830" w:history="1">
            <w:r w:rsidR="00E4201E" w:rsidRPr="00E4201E">
              <w:rPr>
                <w:rStyle w:val="Hyperlink"/>
                <w:b w:val="0"/>
                <w:sz w:val="20"/>
                <w:szCs w:val="20"/>
              </w:rPr>
              <w:t>Artykuł 6: Zobowiązanie platform internetowych do przekazywania informacji Komisji</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_Toc106188830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8</w:t>
            </w:r>
            <w:r w:rsidR="00E4201E" w:rsidRPr="00E4201E">
              <w:rPr>
                <w:b w:val="0"/>
                <w:webHidden/>
                <w:sz w:val="20"/>
                <w:szCs w:val="20"/>
              </w:rPr>
              <w:fldChar w:fldCharType="end"/>
            </w:r>
          </w:hyperlink>
        </w:p>
        <w:p w14:paraId="1184158D" w14:textId="3663FE23" w:rsidR="00E4201E" w:rsidRPr="00E4201E" w:rsidRDefault="009439A8">
          <w:pPr>
            <w:pStyle w:val="TOC1"/>
            <w:rPr>
              <w:rFonts w:asciiTheme="minorHAnsi" w:eastAsiaTheme="minorEastAsia" w:hAnsiTheme="minorHAnsi" w:cstheme="minorBidi"/>
              <w:b w:val="0"/>
              <w:sz w:val="20"/>
              <w:szCs w:val="20"/>
              <w:lang w:val="en-US"/>
            </w:rPr>
          </w:pPr>
          <w:hyperlink w:anchor="_Toc106188831" w:history="1">
            <w:r w:rsidR="00E4201E" w:rsidRPr="00E4201E">
              <w:rPr>
                <w:rStyle w:val="Hyperlink"/>
                <w:b w:val="0"/>
                <w:sz w:val="20"/>
                <w:szCs w:val="20"/>
              </w:rPr>
              <w:t>Artykuł 7: Obowiązek wprowadzenia przez platformę internetową mechanizmu powiadamiania</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_Toc106188831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9</w:t>
            </w:r>
            <w:r w:rsidR="00E4201E" w:rsidRPr="00E4201E">
              <w:rPr>
                <w:b w:val="0"/>
                <w:webHidden/>
                <w:sz w:val="20"/>
                <w:szCs w:val="20"/>
              </w:rPr>
              <w:fldChar w:fldCharType="end"/>
            </w:r>
          </w:hyperlink>
        </w:p>
        <w:p w14:paraId="133B7853" w14:textId="26116481" w:rsidR="00E4201E" w:rsidRPr="00E4201E" w:rsidRDefault="009439A8">
          <w:pPr>
            <w:pStyle w:val="TOC1"/>
            <w:rPr>
              <w:rFonts w:asciiTheme="minorHAnsi" w:eastAsiaTheme="minorEastAsia" w:hAnsiTheme="minorHAnsi" w:cstheme="minorBidi"/>
              <w:b w:val="0"/>
              <w:sz w:val="20"/>
              <w:szCs w:val="20"/>
              <w:lang w:val="en-US"/>
            </w:rPr>
          </w:pPr>
          <w:hyperlink w:anchor="_Toc106188832" w:history="1">
            <w:r w:rsidR="00E4201E" w:rsidRPr="00E4201E">
              <w:rPr>
                <w:rStyle w:val="Hyperlink"/>
                <w:b w:val="0"/>
                <w:sz w:val="20"/>
                <w:szCs w:val="20"/>
              </w:rPr>
              <w:t>Rozdział 3: Uprawnienia Komisji</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_Toc106188832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10</w:t>
            </w:r>
            <w:r w:rsidR="00E4201E" w:rsidRPr="00E4201E">
              <w:rPr>
                <w:b w:val="0"/>
                <w:webHidden/>
                <w:sz w:val="20"/>
                <w:szCs w:val="20"/>
              </w:rPr>
              <w:fldChar w:fldCharType="end"/>
            </w:r>
          </w:hyperlink>
        </w:p>
        <w:p w14:paraId="6B83C12C" w14:textId="12BAC9FB" w:rsidR="00E4201E" w:rsidRPr="00E4201E" w:rsidRDefault="009439A8">
          <w:pPr>
            <w:pStyle w:val="TOC1"/>
            <w:rPr>
              <w:rFonts w:asciiTheme="minorHAnsi" w:eastAsiaTheme="minorEastAsia" w:hAnsiTheme="minorHAnsi" w:cstheme="minorBidi"/>
              <w:b w:val="0"/>
              <w:sz w:val="20"/>
              <w:szCs w:val="20"/>
              <w:lang w:val="en-US"/>
            </w:rPr>
          </w:pPr>
          <w:hyperlink w:anchor="_Toc106188833" w:history="1">
            <w:r w:rsidR="00E4201E" w:rsidRPr="00E4201E">
              <w:rPr>
                <w:rStyle w:val="Hyperlink"/>
                <w:b w:val="0"/>
                <w:sz w:val="20"/>
                <w:szCs w:val="20"/>
              </w:rPr>
              <w:t xml:space="preserve">Artykuł 8: Monitorowanie przez Komisję internetowych informacji wyborczych i związane z tym </w:t>
            </w:r>
            <w:r>
              <w:rPr>
                <w:rStyle w:val="Hyperlink"/>
                <w:b w:val="0"/>
                <w:sz w:val="20"/>
                <w:szCs w:val="20"/>
              </w:rPr>
              <w:br/>
            </w:r>
            <w:r w:rsidR="00E4201E" w:rsidRPr="00E4201E">
              <w:rPr>
                <w:rStyle w:val="Hyperlink"/>
                <w:b w:val="0"/>
                <w:sz w:val="20"/>
                <w:szCs w:val="20"/>
              </w:rPr>
              <w:t>dochodzenia</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_Toc106188833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10</w:t>
            </w:r>
            <w:r w:rsidR="00E4201E" w:rsidRPr="00E4201E">
              <w:rPr>
                <w:b w:val="0"/>
                <w:webHidden/>
                <w:sz w:val="20"/>
                <w:szCs w:val="20"/>
              </w:rPr>
              <w:fldChar w:fldCharType="end"/>
            </w:r>
          </w:hyperlink>
        </w:p>
        <w:p w14:paraId="38969797" w14:textId="06C1816A" w:rsidR="00E4201E" w:rsidRPr="00E4201E" w:rsidRDefault="009439A8">
          <w:pPr>
            <w:pStyle w:val="TOC1"/>
            <w:rPr>
              <w:rFonts w:asciiTheme="minorHAnsi" w:eastAsiaTheme="minorEastAsia" w:hAnsiTheme="minorHAnsi" w:cstheme="minorBidi"/>
              <w:b w:val="0"/>
              <w:sz w:val="20"/>
              <w:szCs w:val="20"/>
              <w:lang w:val="en-US"/>
            </w:rPr>
          </w:pPr>
          <w:hyperlink w:anchor="_Toc106188834" w:history="1">
            <w:r w:rsidR="00E4201E" w:rsidRPr="00E4201E">
              <w:rPr>
                <w:rStyle w:val="Hyperlink"/>
                <w:b w:val="0"/>
                <w:sz w:val="20"/>
                <w:szCs w:val="20"/>
              </w:rPr>
              <w:t>Artykuł 8A: Przekazanie uprawnień Komisji dyrektorowi naczelnemu [lub innemu członkowi Komisji]</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_Toc106188834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11</w:t>
            </w:r>
            <w:r w:rsidR="00E4201E" w:rsidRPr="00E4201E">
              <w:rPr>
                <w:b w:val="0"/>
                <w:webHidden/>
                <w:sz w:val="20"/>
                <w:szCs w:val="20"/>
              </w:rPr>
              <w:fldChar w:fldCharType="end"/>
            </w:r>
          </w:hyperlink>
        </w:p>
        <w:p w14:paraId="04425732" w14:textId="1C903734" w:rsidR="00E4201E" w:rsidRPr="00E4201E" w:rsidRDefault="009439A8">
          <w:pPr>
            <w:pStyle w:val="TOC1"/>
            <w:rPr>
              <w:rFonts w:asciiTheme="minorHAnsi" w:eastAsiaTheme="minorEastAsia" w:hAnsiTheme="minorHAnsi" w:cstheme="minorBidi"/>
              <w:b w:val="0"/>
              <w:sz w:val="20"/>
              <w:szCs w:val="20"/>
              <w:lang w:val="en-US"/>
            </w:rPr>
          </w:pPr>
          <w:hyperlink w:anchor="_Toc106188835" w:history="1">
            <w:r w:rsidR="00E4201E" w:rsidRPr="00E4201E">
              <w:rPr>
                <w:rStyle w:val="Hyperlink"/>
                <w:b w:val="0"/>
                <w:sz w:val="20"/>
                <w:szCs w:val="20"/>
              </w:rPr>
              <w:t>Artykuł 9: Wymagania dotyczące wykonywania uprawnień Komisji na mocy niniejszej Części</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_Toc106188835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13</w:t>
            </w:r>
            <w:r w:rsidR="00E4201E" w:rsidRPr="00E4201E">
              <w:rPr>
                <w:b w:val="0"/>
                <w:webHidden/>
                <w:sz w:val="20"/>
                <w:szCs w:val="20"/>
              </w:rPr>
              <w:fldChar w:fldCharType="end"/>
            </w:r>
          </w:hyperlink>
        </w:p>
        <w:p w14:paraId="0017DCC1" w14:textId="6CF9C717" w:rsidR="00E4201E" w:rsidRPr="00E4201E" w:rsidRDefault="009439A8">
          <w:pPr>
            <w:pStyle w:val="TOC1"/>
            <w:rPr>
              <w:rFonts w:asciiTheme="minorHAnsi" w:eastAsiaTheme="minorEastAsia" w:hAnsiTheme="minorHAnsi" w:cstheme="minorBidi"/>
              <w:b w:val="0"/>
              <w:sz w:val="20"/>
              <w:szCs w:val="20"/>
              <w:lang w:val="en-US"/>
            </w:rPr>
          </w:pPr>
          <w:hyperlink w:anchor="_Toc106188836" w:history="1">
            <w:r w:rsidR="00E4201E" w:rsidRPr="00E4201E">
              <w:rPr>
                <w:rStyle w:val="Hyperlink"/>
                <w:b w:val="0"/>
                <w:sz w:val="20"/>
                <w:szCs w:val="20"/>
              </w:rPr>
              <w:t>Artykuł 10: Uprawnienia Komisji</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_Toc106188836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14</w:t>
            </w:r>
            <w:r w:rsidR="00E4201E" w:rsidRPr="00E4201E">
              <w:rPr>
                <w:b w:val="0"/>
                <w:webHidden/>
                <w:sz w:val="20"/>
                <w:szCs w:val="20"/>
              </w:rPr>
              <w:fldChar w:fldCharType="end"/>
            </w:r>
          </w:hyperlink>
        </w:p>
        <w:p w14:paraId="2E7C8572" w14:textId="51B9AC93" w:rsidR="00E4201E" w:rsidRPr="00E4201E" w:rsidRDefault="009439A8">
          <w:pPr>
            <w:pStyle w:val="TOC2"/>
            <w:tabs>
              <w:tab w:val="left" w:pos="720"/>
              <w:tab w:val="right" w:leader="dot" w:pos="9010"/>
            </w:tabs>
            <w:rPr>
              <w:rFonts w:eastAsiaTheme="minorEastAsia"/>
              <w:b w:val="0"/>
              <w:noProof/>
              <w:sz w:val="20"/>
              <w:szCs w:val="20"/>
              <w:lang w:val="en-US"/>
            </w:rPr>
          </w:pPr>
          <w:hyperlink w:anchor="_Toc106188837" w:history="1">
            <w:r w:rsidR="00E4201E" w:rsidRPr="00E4201E">
              <w:rPr>
                <w:rStyle w:val="Hyperlink"/>
                <w:b w:val="0"/>
                <w:noProof/>
                <w:sz w:val="20"/>
                <w:szCs w:val="20"/>
              </w:rPr>
              <w:t>(i)</w:t>
            </w:r>
            <w:r w:rsidR="00E4201E" w:rsidRPr="00E4201E">
              <w:rPr>
                <w:rFonts w:eastAsiaTheme="minorEastAsia"/>
                <w:b w:val="0"/>
                <w:noProof/>
                <w:sz w:val="20"/>
                <w:szCs w:val="20"/>
                <w:lang w:val="en-US"/>
              </w:rPr>
              <w:tab/>
            </w:r>
            <w:r w:rsidR="00E4201E" w:rsidRPr="00E4201E">
              <w:rPr>
                <w:rStyle w:val="Hyperlink"/>
                <w:b w:val="0"/>
                <w:noProof/>
                <w:sz w:val="20"/>
                <w:szCs w:val="20"/>
              </w:rPr>
              <w:t>Artykuł 10(i): Uprawnienie do wydania zawiadomienia o usunięciu</w:t>
            </w:r>
            <w:r w:rsidR="00E4201E" w:rsidRPr="00E4201E">
              <w:rPr>
                <w:b w:val="0"/>
                <w:noProof/>
                <w:webHidden/>
                <w:sz w:val="20"/>
                <w:szCs w:val="20"/>
              </w:rPr>
              <w:tab/>
            </w:r>
            <w:r w:rsidR="00E4201E" w:rsidRPr="00E4201E">
              <w:rPr>
                <w:b w:val="0"/>
                <w:noProof/>
                <w:webHidden/>
                <w:sz w:val="20"/>
                <w:szCs w:val="20"/>
              </w:rPr>
              <w:fldChar w:fldCharType="begin"/>
            </w:r>
            <w:r w:rsidR="00E4201E" w:rsidRPr="00E4201E">
              <w:rPr>
                <w:b w:val="0"/>
                <w:noProof/>
                <w:webHidden/>
                <w:sz w:val="20"/>
                <w:szCs w:val="20"/>
              </w:rPr>
              <w:instrText xml:space="preserve"> PAGEREF _Toc106188837 \h </w:instrText>
            </w:r>
            <w:r w:rsidR="00E4201E" w:rsidRPr="00E4201E">
              <w:rPr>
                <w:b w:val="0"/>
                <w:noProof/>
                <w:webHidden/>
                <w:sz w:val="20"/>
                <w:szCs w:val="20"/>
              </w:rPr>
            </w:r>
            <w:r w:rsidR="00E4201E" w:rsidRPr="00E4201E">
              <w:rPr>
                <w:b w:val="0"/>
                <w:noProof/>
                <w:webHidden/>
                <w:sz w:val="20"/>
                <w:szCs w:val="20"/>
              </w:rPr>
              <w:fldChar w:fldCharType="separate"/>
            </w:r>
            <w:r>
              <w:rPr>
                <w:b w:val="0"/>
                <w:noProof/>
                <w:webHidden/>
                <w:sz w:val="20"/>
                <w:szCs w:val="20"/>
              </w:rPr>
              <w:t>14</w:t>
            </w:r>
            <w:r w:rsidR="00E4201E" w:rsidRPr="00E4201E">
              <w:rPr>
                <w:b w:val="0"/>
                <w:noProof/>
                <w:webHidden/>
                <w:sz w:val="20"/>
                <w:szCs w:val="20"/>
              </w:rPr>
              <w:fldChar w:fldCharType="end"/>
            </w:r>
          </w:hyperlink>
        </w:p>
        <w:p w14:paraId="7A183C21" w14:textId="392DAB34" w:rsidR="00E4201E" w:rsidRPr="00E4201E" w:rsidRDefault="009439A8">
          <w:pPr>
            <w:pStyle w:val="TOC2"/>
            <w:tabs>
              <w:tab w:val="left" w:pos="720"/>
              <w:tab w:val="right" w:leader="dot" w:pos="9010"/>
            </w:tabs>
            <w:rPr>
              <w:rFonts w:eastAsiaTheme="minorEastAsia"/>
              <w:b w:val="0"/>
              <w:noProof/>
              <w:sz w:val="20"/>
              <w:szCs w:val="20"/>
              <w:lang w:val="en-US"/>
            </w:rPr>
          </w:pPr>
          <w:hyperlink w:anchor="_Toc106188838" w:history="1">
            <w:r w:rsidR="00E4201E" w:rsidRPr="00E4201E">
              <w:rPr>
                <w:rStyle w:val="Hyperlink"/>
                <w:b w:val="0"/>
                <w:noProof/>
                <w:sz w:val="20"/>
                <w:szCs w:val="20"/>
              </w:rPr>
              <w:t>(ii)</w:t>
            </w:r>
            <w:r w:rsidR="00E4201E" w:rsidRPr="00E4201E">
              <w:rPr>
                <w:rFonts w:eastAsiaTheme="minorEastAsia"/>
                <w:b w:val="0"/>
                <w:noProof/>
                <w:sz w:val="20"/>
                <w:szCs w:val="20"/>
                <w:lang w:val="en-US"/>
              </w:rPr>
              <w:tab/>
            </w:r>
            <w:r w:rsidR="00E4201E" w:rsidRPr="00E4201E">
              <w:rPr>
                <w:rStyle w:val="Hyperlink"/>
                <w:b w:val="0"/>
                <w:noProof/>
                <w:sz w:val="20"/>
                <w:szCs w:val="20"/>
              </w:rPr>
              <w:t>Artykuł 10(ii): Uprawnienia do wystawiania zawiadomienia korygującego</w:t>
            </w:r>
            <w:r w:rsidR="00E4201E" w:rsidRPr="00E4201E">
              <w:rPr>
                <w:b w:val="0"/>
                <w:noProof/>
                <w:webHidden/>
                <w:sz w:val="20"/>
                <w:szCs w:val="20"/>
              </w:rPr>
              <w:tab/>
            </w:r>
            <w:r w:rsidR="00E4201E" w:rsidRPr="00E4201E">
              <w:rPr>
                <w:b w:val="0"/>
                <w:noProof/>
                <w:webHidden/>
                <w:sz w:val="20"/>
                <w:szCs w:val="20"/>
              </w:rPr>
              <w:fldChar w:fldCharType="begin"/>
            </w:r>
            <w:r w:rsidR="00E4201E" w:rsidRPr="00E4201E">
              <w:rPr>
                <w:b w:val="0"/>
                <w:noProof/>
                <w:webHidden/>
                <w:sz w:val="20"/>
                <w:szCs w:val="20"/>
              </w:rPr>
              <w:instrText xml:space="preserve"> PAGEREF _Toc106188838 \h </w:instrText>
            </w:r>
            <w:r w:rsidR="00E4201E" w:rsidRPr="00E4201E">
              <w:rPr>
                <w:b w:val="0"/>
                <w:noProof/>
                <w:webHidden/>
                <w:sz w:val="20"/>
                <w:szCs w:val="20"/>
              </w:rPr>
            </w:r>
            <w:r w:rsidR="00E4201E" w:rsidRPr="00E4201E">
              <w:rPr>
                <w:b w:val="0"/>
                <w:noProof/>
                <w:webHidden/>
                <w:sz w:val="20"/>
                <w:szCs w:val="20"/>
              </w:rPr>
              <w:fldChar w:fldCharType="separate"/>
            </w:r>
            <w:r>
              <w:rPr>
                <w:b w:val="0"/>
                <w:noProof/>
                <w:webHidden/>
                <w:sz w:val="20"/>
                <w:szCs w:val="20"/>
              </w:rPr>
              <w:t>16</w:t>
            </w:r>
            <w:r w:rsidR="00E4201E" w:rsidRPr="00E4201E">
              <w:rPr>
                <w:b w:val="0"/>
                <w:noProof/>
                <w:webHidden/>
                <w:sz w:val="20"/>
                <w:szCs w:val="20"/>
              </w:rPr>
              <w:fldChar w:fldCharType="end"/>
            </w:r>
          </w:hyperlink>
        </w:p>
        <w:p w14:paraId="0EC7C40A" w14:textId="2FA27692" w:rsidR="00E4201E" w:rsidRPr="00E4201E" w:rsidRDefault="009439A8">
          <w:pPr>
            <w:pStyle w:val="TOC2"/>
            <w:tabs>
              <w:tab w:val="left" w:pos="960"/>
              <w:tab w:val="right" w:leader="dot" w:pos="9010"/>
            </w:tabs>
            <w:rPr>
              <w:rFonts w:eastAsiaTheme="minorEastAsia"/>
              <w:b w:val="0"/>
              <w:noProof/>
              <w:sz w:val="20"/>
              <w:szCs w:val="20"/>
              <w:lang w:val="en-US"/>
            </w:rPr>
          </w:pPr>
          <w:hyperlink w:anchor="_Toc106188839" w:history="1">
            <w:r w:rsidR="00E4201E" w:rsidRPr="00E4201E">
              <w:rPr>
                <w:rStyle w:val="Hyperlink"/>
                <w:b w:val="0"/>
                <w:noProof/>
                <w:sz w:val="20"/>
                <w:szCs w:val="20"/>
              </w:rPr>
              <w:t>(iii)</w:t>
            </w:r>
            <w:r w:rsidR="00E4201E" w:rsidRPr="00E4201E">
              <w:rPr>
                <w:rFonts w:eastAsiaTheme="minorEastAsia"/>
                <w:b w:val="0"/>
                <w:noProof/>
                <w:sz w:val="20"/>
                <w:szCs w:val="20"/>
                <w:lang w:val="en-US"/>
              </w:rPr>
              <w:tab/>
            </w:r>
            <w:r w:rsidR="00E4201E" w:rsidRPr="00E4201E">
              <w:rPr>
                <w:rStyle w:val="Hyperlink"/>
                <w:b w:val="0"/>
                <w:noProof/>
                <w:sz w:val="20"/>
                <w:szCs w:val="20"/>
              </w:rPr>
              <w:t>Artykuł 10(iii): Uprawnienia do wydawania nakazów oznaczania</w:t>
            </w:r>
            <w:r w:rsidR="00E4201E" w:rsidRPr="00E4201E">
              <w:rPr>
                <w:b w:val="0"/>
                <w:noProof/>
                <w:webHidden/>
                <w:sz w:val="20"/>
                <w:szCs w:val="20"/>
              </w:rPr>
              <w:tab/>
            </w:r>
            <w:r w:rsidR="00E4201E" w:rsidRPr="00E4201E">
              <w:rPr>
                <w:b w:val="0"/>
                <w:noProof/>
                <w:webHidden/>
                <w:sz w:val="20"/>
                <w:szCs w:val="20"/>
              </w:rPr>
              <w:fldChar w:fldCharType="begin"/>
            </w:r>
            <w:r w:rsidR="00E4201E" w:rsidRPr="00E4201E">
              <w:rPr>
                <w:b w:val="0"/>
                <w:noProof/>
                <w:webHidden/>
                <w:sz w:val="20"/>
                <w:szCs w:val="20"/>
              </w:rPr>
              <w:instrText xml:space="preserve"> PAGEREF _Toc106188839 \h </w:instrText>
            </w:r>
            <w:r w:rsidR="00E4201E" w:rsidRPr="00E4201E">
              <w:rPr>
                <w:b w:val="0"/>
                <w:noProof/>
                <w:webHidden/>
                <w:sz w:val="20"/>
                <w:szCs w:val="20"/>
              </w:rPr>
            </w:r>
            <w:r w:rsidR="00E4201E" w:rsidRPr="00E4201E">
              <w:rPr>
                <w:b w:val="0"/>
                <w:noProof/>
                <w:webHidden/>
                <w:sz w:val="20"/>
                <w:szCs w:val="20"/>
              </w:rPr>
              <w:fldChar w:fldCharType="separate"/>
            </w:r>
            <w:r>
              <w:rPr>
                <w:b w:val="0"/>
                <w:noProof/>
                <w:webHidden/>
                <w:sz w:val="20"/>
                <w:szCs w:val="20"/>
              </w:rPr>
              <w:t>17</w:t>
            </w:r>
            <w:r w:rsidR="00E4201E" w:rsidRPr="00E4201E">
              <w:rPr>
                <w:b w:val="0"/>
                <w:noProof/>
                <w:webHidden/>
                <w:sz w:val="20"/>
                <w:szCs w:val="20"/>
              </w:rPr>
              <w:fldChar w:fldCharType="end"/>
            </w:r>
          </w:hyperlink>
        </w:p>
        <w:p w14:paraId="20B86576" w14:textId="7B605798" w:rsidR="00E4201E" w:rsidRPr="00E4201E" w:rsidRDefault="009439A8">
          <w:pPr>
            <w:pStyle w:val="TOC2"/>
            <w:tabs>
              <w:tab w:val="left" w:pos="960"/>
              <w:tab w:val="right" w:leader="dot" w:pos="9010"/>
            </w:tabs>
            <w:rPr>
              <w:rFonts w:eastAsiaTheme="minorEastAsia"/>
              <w:b w:val="0"/>
              <w:noProof/>
              <w:sz w:val="20"/>
              <w:szCs w:val="20"/>
              <w:lang w:val="en-US"/>
            </w:rPr>
          </w:pPr>
          <w:hyperlink w:anchor="_Toc106188840" w:history="1">
            <w:r w:rsidR="00E4201E" w:rsidRPr="00E4201E">
              <w:rPr>
                <w:rStyle w:val="Hyperlink"/>
                <w:b w:val="0"/>
                <w:noProof/>
                <w:sz w:val="20"/>
                <w:szCs w:val="20"/>
              </w:rPr>
              <w:t>(iv)</w:t>
            </w:r>
            <w:r w:rsidR="00E4201E" w:rsidRPr="00E4201E">
              <w:rPr>
                <w:rFonts w:eastAsiaTheme="minorEastAsia"/>
                <w:b w:val="0"/>
                <w:noProof/>
                <w:sz w:val="20"/>
                <w:szCs w:val="20"/>
                <w:lang w:val="en-US"/>
              </w:rPr>
              <w:tab/>
            </w:r>
            <w:r w:rsidR="00E4201E" w:rsidRPr="00E4201E">
              <w:rPr>
                <w:rStyle w:val="Hyperlink"/>
                <w:b w:val="0"/>
                <w:noProof/>
                <w:sz w:val="20"/>
                <w:szCs w:val="20"/>
              </w:rPr>
              <w:t>Artykuł 10(iv): Uprawnienia do wydawania nakazu zablokowania dostępu</w:t>
            </w:r>
            <w:r w:rsidR="00E4201E" w:rsidRPr="00E4201E">
              <w:rPr>
                <w:b w:val="0"/>
                <w:noProof/>
                <w:webHidden/>
                <w:sz w:val="20"/>
                <w:szCs w:val="20"/>
              </w:rPr>
              <w:tab/>
            </w:r>
            <w:r w:rsidR="00E4201E" w:rsidRPr="00E4201E">
              <w:rPr>
                <w:b w:val="0"/>
                <w:noProof/>
                <w:webHidden/>
                <w:sz w:val="20"/>
                <w:szCs w:val="20"/>
              </w:rPr>
              <w:fldChar w:fldCharType="begin"/>
            </w:r>
            <w:r w:rsidR="00E4201E" w:rsidRPr="00E4201E">
              <w:rPr>
                <w:b w:val="0"/>
                <w:noProof/>
                <w:webHidden/>
                <w:sz w:val="20"/>
                <w:szCs w:val="20"/>
              </w:rPr>
              <w:instrText xml:space="preserve"> PAGEREF _Toc106188840 \h </w:instrText>
            </w:r>
            <w:r w:rsidR="00E4201E" w:rsidRPr="00E4201E">
              <w:rPr>
                <w:b w:val="0"/>
                <w:noProof/>
                <w:webHidden/>
                <w:sz w:val="20"/>
                <w:szCs w:val="20"/>
              </w:rPr>
            </w:r>
            <w:r w:rsidR="00E4201E" w:rsidRPr="00E4201E">
              <w:rPr>
                <w:b w:val="0"/>
                <w:noProof/>
                <w:webHidden/>
                <w:sz w:val="20"/>
                <w:szCs w:val="20"/>
              </w:rPr>
              <w:fldChar w:fldCharType="separate"/>
            </w:r>
            <w:r>
              <w:rPr>
                <w:b w:val="0"/>
                <w:noProof/>
                <w:webHidden/>
                <w:sz w:val="20"/>
                <w:szCs w:val="20"/>
              </w:rPr>
              <w:t>19</w:t>
            </w:r>
            <w:r w:rsidR="00E4201E" w:rsidRPr="00E4201E">
              <w:rPr>
                <w:b w:val="0"/>
                <w:noProof/>
                <w:webHidden/>
                <w:sz w:val="20"/>
                <w:szCs w:val="20"/>
              </w:rPr>
              <w:fldChar w:fldCharType="end"/>
            </w:r>
          </w:hyperlink>
        </w:p>
        <w:p w14:paraId="5D1931B0" w14:textId="2E82BB30" w:rsidR="00E4201E" w:rsidRPr="00E4201E" w:rsidRDefault="009439A8">
          <w:pPr>
            <w:pStyle w:val="TOC2"/>
            <w:tabs>
              <w:tab w:val="left" w:pos="720"/>
              <w:tab w:val="right" w:leader="dot" w:pos="9010"/>
            </w:tabs>
            <w:rPr>
              <w:rFonts w:eastAsiaTheme="minorEastAsia"/>
              <w:b w:val="0"/>
              <w:noProof/>
              <w:sz w:val="20"/>
              <w:szCs w:val="20"/>
              <w:lang w:val="en-US"/>
            </w:rPr>
          </w:pPr>
          <w:hyperlink w:anchor="_Toc106188841" w:history="1">
            <w:r w:rsidR="00E4201E" w:rsidRPr="00E4201E">
              <w:rPr>
                <w:rStyle w:val="Hyperlink"/>
                <w:b w:val="0"/>
                <w:noProof/>
                <w:sz w:val="20"/>
                <w:szCs w:val="20"/>
              </w:rPr>
              <w:t>(v)</w:t>
            </w:r>
            <w:r w:rsidR="00E4201E" w:rsidRPr="00E4201E">
              <w:rPr>
                <w:rFonts w:eastAsiaTheme="minorEastAsia"/>
                <w:b w:val="0"/>
                <w:noProof/>
                <w:sz w:val="20"/>
                <w:szCs w:val="20"/>
                <w:lang w:val="en-US"/>
              </w:rPr>
              <w:tab/>
            </w:r>
            <w:r w:rsidR="00E4201E" w:rsidRPr="00E4201E">
              <w:rPr>
                <w:rStyle w:val="Hyperlink"/>
                <w:b w:val="0"/>
                <w:noProof/>
                <w:sz w:val="20"/>
                <w:szCs w:val="20"/>
              </w:rPr>
              <w:t>Artykuł 10(v): Uprawnienia do regulowania zachowań manipulacyjnych lub nieautentycznych, w tym nieujawnionej działalności botów</w:t>
            </w:r>
            <w:r w:rsidR="00E4201E" w:rsidRPr="00E4201E">
              <w:rPr>
                <w:b w:val="0"/>
                <w:noProof/>
                <w:webHidden/>
                <w:sz w:val="20"/>
                <w:szCs w:val="20"/>
              </w:rPr>
              <w:tab/>
            </w:r>
            <w:r w:rsidR="00E4201E" w:rsidRPr="00E4201E">
              <w:rPr>
                <w:b w:val="0"/>
                <w:noProof/>
                <w:webHidden/>
                <w:sz w:val="20"/>
                <w:szCs w:val="20"/>
              </w:rPr>
              <w:fldChar w:fldCharType="begin"/>
            </w:r>
            <w:r w:rsidR="00E4201E" w:rsidRPr="00E4201E">
              <w:rPr>
                <w:b w:val="0"/>
                <w:noProof/>
                <w:webHidden/>
                <w:sz w:val="20"/>
                <w:szCs w:val="20"/>
              </w:rPr>
              <w:instrText xml:space="preserve"> PAGEREF _Toc106188841 \h </w:instrText>
            </w:r>
            <w:r w:rsidR="00E4201E" w:rsidRPr="00E4201E">
              <w:rPr>
                <w:b w:val="0"/>
                <w:noProof/>
                <w:webHidden/>
                <w:sz w:val="20"/>
                <w:szCs w:val="20"/>
              </w:rPr>
            </w:r>
            <w:r w:rsidR="00E4201E" w:rsidRPr="00E4201E">
              <w:rPr>
                <w:b w:val="0"/>
                <w:noProof/>
                <w:webHidden/>
                <w:sz w:val="20"/>
                <w:szCs w:val="20"/>
              </w:rPr>
              <w:fldChar w:fldCharType="separate"/>
            </w:r>
            <w:r>
              <w:rPr>
                <w:b w:val="0"/>
                <w:noProof/>
                <w:webHidden/>
                <w:sz w:val="20"/>
                <w:szCs w:val="20"/>
              </w:rPr>
              <w:t>21</w:t>
            </w:r>
            <w:r w:rsidR="00E4201E" w:rsidRPr="00E4201E">
              <w:rPr>
                <w:b w:val="0"/>
                <w:noProof/>
                <w:webHidden/>
                <w:sz w:val="20"/>
                <w:szCs w:val="20"/>
              </w:rPr>
              <w:fldChar w:fldCharType="end"/>
            </w:r>
          </w:hyperlink>
        </w:p>
        <w:p w14:paraId="2A941444" w14:textId="75990B49" w:rsidR="00E4201E" w:rsidRPr="00E4201E" w:rsidRDefault="009439A8">
          <w:pPr>
            <w:pStyle w:val="TOC1"/>
            <w:rPr>
              <w:rFonts w:asciiTheme="minorHAnsi" w:eastAsiaTheme="minorEastAsia" w:hAnsiTheme="minorHAnsi" w:cstheme="minorBidi"/>
              <w:b w:val="0"/>
              <w:sz w:val="20"/>
              <w:szCs w:val="20"/>
              <w:lang w:val="en-US"/>
            </w:rPr>
          </w:pPr>
          <w:hyperlink w:anchor="_Toc106188842" w:history="1">
            <w:r w:rsidR="00E4201E" w:rsidRPr="00E4201E">
              <w:rPr>
                <w:rStyle w:val="Hyperlink"/>
                <w:b w:val="0"/>
                <w:sz w:val="20"/>
                <w:szCs w:val="20"/>
              </w:rPr>
              <w:t>[Artykuł 11 usunięto]</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_Toc106188842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22</w:t>
            </w:r>
            <w:r w:rsidR="00E4201E" w:rsidRPr="00E4201E">
              <w:rPr>
                <w:b w:val="0"/>
                <w:webHidden/>
                <w:sz w:val="20"/>
                <w:szCs w:val="20"/>
              </w:rPr>
              <w:fldChar w:fldCharType="end"/>
            </w:r>
          </w:hyperlink>
        </w:p>
        <w:p w14:paraId="0DDA3AB1" w14:textId="064ACED3" w:rsidR="00E4201E" w:rsidRPr="00E4201E" w:rsidRDefault="009439A8">
          <w:pPr>
            <w:pStyle w:val="TOC1"/>
            <w:rPr>
              <w:rFonts w:asciiTheme="minorHAnsi" w:eastAsiaTheme="minorEastAsia" w:hAnsiTheme="minorHAnsi" w:cstheme="minorBidi"/>
              <w:b w:val="0"/>
              <w:sz w:val="20"/>
              <w:szCs w:val="20"/>
              <w:lang w:val="en-US"/>
            </w:rPr>
          </w:pPr>
          <w:hyperlink w:anchor="_Toc106188843" w:history="1">
            <w:r w:rsidR="00E4201E" w:rsidRPr="00E4201E">
              <w:rPr>
                <w:rStyle w:val="Hyperlink"/>
                <w:b w:val="0"/>
                <w:sz w:val="20"/>
                <w:szCs w:val="20"/>
              </w:rPr>
              <w:t>Artykuł 12: Wniosek do sądu o wydanie nakazu zastosowania się do ogłoszenia lub nakazu</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_Toc106188843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22</w:t>
            </w:r>
            <w:r w:rsidR="00E4201E" w:rsidRPr="00E4201E">
              <w:rPr>
                <w:b w:val="0"/>
                <w:webHidden/>
                <w:sz w:val="20"/>
                <w:szCs w:val="20"/>
              </w:rPr>
              <w:fldChar w:fldCharType="end"/>
            </w:r>
          </w:hyperlink>
        </w:p>
        <w:p w14:paraId="080A3E71" w14:textId="6B8267A6" w:rsidR="00E4201E" w:rsidRPr="00E4201E" w:rsidRDefault="009439A8">
          <w:pPr>
            <w:pStyle w:val="TOC1"/>
            <w:rPr>
              <w:rFonts w:asciiTheme="minorHAnsi" w:eastAsiaTheme="minorEastAsia" w:hAnsiTheme="minorHAnsi" w:cstheme="minorBidi"/>
              <w:b w:val="0"/>
              <w:sz w:val="20"/>
              <w:szCs w:val="20"/>
              <w:lang w:val="en-US"/>
            </w:rPr>
          </w:pPr>
          <w:hyperlink w:anchor="_Toc106188844" w:history="1">
            <w:r w:rsidR="00E4201E" w:rsidRPr="00E4201E">
              <w:rPr>
                <w:rStyle w:val="Hyperlink"/>
                <w:b w:val="0"/>
                <w:sz w:val="20"/>
                <w:szCs w:val="20"/>
              </w:rPr>
              <w:t>Artykuł 13: Uprawnienie do wydawania ostrzeżeń dla społeczeństwa o działaniach, które mogą zakłócić uczciwość lub rzetelność wyborów lub referendum</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_Toc106188844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22</w:t>
            </w:r>
            <w:r w:rsidR="00E4201E" w:rsidRPr="00E4201E">
              <w:rPr>
                <w:b w:val="0"/>
                <w:webHidden/>
                <w:sz w:val="20"/>
                <w:szCs w:val="20"/>
              </w:rPr>
              <w:fldChar w:fldCharType="end"/>
            </w:r>
          </w:hyperlink>
        </w:p>
        <w:p w14:paraId="0C0A39FD" w14:textId="1D9C627A" w:rsidR="00E4201E" w:rsidRPr="00E4201E" w:rsidRDefault="009439A8">
          <w:pPr>
            <w:pStyle w:val="TOC1"/>
            <w:rPr>
              <w:rFonts w:asciiTheme="minorHAnsi" w:eastAsiaTheme="minorEastAsia" w:hAnsiTheme="minorHAnsi" w:cstheme="minorBidi"/>
              <w:b w:val="0"/>
              <w:sz w:val="20"/>
              <w:szCs w:val="20"/>
              <w:lang w:val="en-US"/>
            </w:rPr>
          </w:pPr>
          <w:hyperlink w:anchor="_Toc106188845" w:history="1">
            <w:r w:rsidR="00E4201E" w:rsidRPr="00E4201E">
              <w:rPr>
                <w:rStyle w:val="Hyperlink"/>
                <w:b w:val="0"/>
                <w:sz w:val="20"/>
                <w:szCs w:val="20"/>
              </w:rPr>
              <w:t>Artykuł 14: Mechanizm zgłaszania przez obywateli przypadków dezinformacji, informacji wprowadzających w błąd oraz zachowań manipulacyjnych lub nieautentycznych</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_Toc106188845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23</w:t>
            </w:r>
            <w:r w:rsidR="00E4201E" w:rsidRPr="00E4201E">
              <w:rPr>
                <w:b w:val="0"/>
                <w:webHidden/>
                <w:sz w:val="20"/>
                <w:szCs w:val="20"/>
              </w:rPr>
              <w:fldChar w:fldCharType="end"/>
            </w:r>
          </w:hyperlink>
        </w:p>
        <w:p w14:paraId="7F5F5694" w14:textId="65C52BBF" w:rsidR="00E4201E" w:rsidRPr="00E4201E" w:rsidRDefault="009439A8">
          <w:pPr>
            <w:pStyle w:val="TOC1"/>
            <w:rPr>
              <w:rFonts w:asciiTheme="minorHAnsi" w:eastAsiaTheme="minorEastAsia" w:hAnsiTheme="minorHAnsi" w:cstheme="minorBidi"/>
              <w:b w:val="0"/>
              <w:sz w:val="20"/>
              <w:szCs w:val="20"/>
              <w:lang w:val="en-US"/>
            </w:rPr>
          </w:pPr>
          <w:hyperlink w:anchor="_Toc106188846" w:history="1">
            <w:r w:rsidR="00E4201E" w:rsidRPr="00E4201E">
              <w:rPr>
                <w:rStyle w:val="Hyperlink"/>
                <w:b w:val="0"/>
                <w:sz w:val="20"/>
                <w:szCs w:val="20"/>
              </w:rPr>
              <w:t>Rozdział 4: Prawa proceduralne</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_Toc106188846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23</w:t>
            </w:r>
            <w:r w:rsidR="00E4201E" w:rsidRPr="00E4201E">
              <w:rPr>
                <w:b w:val="0"/>
                <w:webHidden/>
                <w:sz w:val="20"/>
                <w:szCs w:val="20"/>
              </w:rPr>
              <w:fldChar w:fldCharType="end"/>
            </w:r>
          </w:hyperlink>
        </w:p>
        <w:p w14:paraId="07896A66" w14:textId="3233B201" w:rsidR="00E4201E" w:rsidRPr="00E4201E" w:rsidRDefault="009439A8">
          <w:pPr>
            <w:pStyle w:val="TOC1"/>
            <w:rPr>
              <w:rFonts w:asciiTheme="minorHAnsi" w:eastAsiaTheme="minorEastAsia" w:hAnsiTheme="minorHAnsi" w:cstheme="minorBidi"/>
              <w:b w:val="0"/>
              <w:sz w:val="20"/>
              <w:szCs w:val="20"/>
              <w:lang w:val="en-US"/>
            </w:rPr>
          </w:pPr>
          <w:hyperlink w:anchor="_Toc106188847" w:history="1">
            <w:r w:rsidR="00E4201E" w:rsidRPr="00E4201E">
              <w:rPr>
                <w:rStyle w:val="Hyperlink"/>
                <w:b w:val="0"/>
                <w:sz w:val="20"/>
                <w:szCs w:val="20"/>
              </w:rPr>
              <w:t>Artykuł 15: Prawo do odwołania się od zawiadomienia lub nakazu</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_Toc106188847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23</w:t>
            </w:r>
            <w:r w:rsidR="00E4201E" w:rsidRPr="00E4201E">
              <w:rPr>
                <w:b w:val="0"/>
                <w:webHidden/>
                <w:sz w:val="20"/>
                <w:szCs w:val="20"/>
              </w:rPr>
              <w:fldChar w:fldCharType="end"/>
            </w:r>
          </w:hyperlink>
        </w:p>
        <w:p w14:paraId="3DC37DA2" w14:textId="40ABB49B" w:rsidR="00E4201E" w:rsidRPr="00E4201E" w:rsidRDefault="009439A8">
          <w:pPr>
            <w:pStyle w:val="TOC1"/>
            <w:rPr>
              <w:rFonts w:asciiTheme="minorHAnsi" w:eastAsiaTheme="minorEastAsia" w:hAnsiTheme="minorHAnsi" w:cstheme="minorBidi"/>
              <w:b w:val="0"/>
              <w:sz w:val="20"/>
              <w:szCs w:val="20"/>
              <w:lang w:val="en-US"/>
            </w:rPr>
          </w:pPr>
          <w:hyperlink w:anchor="_Toc106188848" w:history="1">
            <w:r w:rsidR="00E4201E" w:rsidRPr="00E4201E">
              <w:rPr>
                <w:rStyle w:val="Hyperlink"/>
                <w:b w:val="0"/>
                <w:sz w:val="20"/>
                <w:szCs w:val="20"/>
              </w:rPr>
              <w:t>Artykuł 15A: Kontrola sądowa</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_Toc106188848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25</w:t>
            </w:r>
            <w:r w:rsidR="00E4201E" w:rsidRPr="00E4201E">
              <w:rPr>
                <w:b w:val="0"/>
                <w:webHidden/>
                <w:sz w:val="20"/>
                <w:szCs w:val="20"/>
              </w:rPr>
              <w:fldChar w:fldCharType="end"/>
            </w:r>
          </w:hyperlink>
        </w:p>
        <w:p w14:paraId="0FB77AA2" w14:textId="27394E3B" w:rsidR="00E4201E" w:rsidRPr="00E4201E" w:rsidRDefault="009439A8">
          <w:pPr>
            <w:pStyle w:val="TOC1"/>
            <w:rPr>
              <w:rFonts w:asciiTheme="minorHAnsi" w:eastAsiaTheme="minorEastAsia" w:hAnsiTheme="minorHAnsi" w:cstheme="minorBidi"/>
              <w:b w:val="0"/>
              <w:sz w:val="20"/>
              <w:szCs w:val="20"/>
              <w:lang w:val="en-US"/>
            </w:rPr>
          </w:pPr>
          <w:hyperlink w:anchor="_Toc106188849" w:history="1">
            <w:r w:rsidR="00E4201E" w:rsidRPr="00E4201E">
              <w:rPr>
                <w:rStyle w:val="Hyperlink"/>
                <w:b w:val="0"/>
                <w:sz w:val="20"/>
                <w:szCs w:val="20"/>
              </w:rPr>
              <w:t>Rozdział 5: Kodeksy postępowania</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_Toc106188849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26</w:t>
            </w:r>
            <w:r w:rsidR="00E4201E" w:rsidRPr="00E4201E">
              <w:rPr>
                <w:b w:val="0"/>
                <w:webHidden/>
                <w:sz w:val="20"/>
                <w:szCs w:val="20"/>
              </w:rPr>
              <w:fldChar w:fldCharType="end"/>
            </w:r>
          </w:hyperlink>
        </w:p>
        <w:p w14:paraId="0CE856F8" w14:textId="7451D6F0" w:rsidR="00E4201E" w:rsidRPr="00E4201E" w:rsidRDefault="009439A8">
          <w:pPr>
            <w:pStyle w:val="TOC1"/>
            <w:rPr>
              <w:rFonts w:asciiTheme="minorHAnsi" w:eastAsiaTheme="minorEastAsia" w:hAnsiTheme="minorHAnsi" w:cstheme="minorBidi"/>
              <w:b w:val="0"/>
              <w:sz w:val="20"/>
              <w:szCs w:val="20"/>
              <w:lang w:val="en-US"/>
            </w:rPr>
          </w:pPr>
          <w:hyperlink w:anchor="_Toc106188850" w:history="1">
            <w:r w:rsidR="00E4201E" w:rsidRPr="00E4201E">
              <w:rPr>
                <w:rStyle w:val="Hyperlink"/>
                <w:b w:val="0"/>
                <w:sz w:val="20"/>
                <w:szCs w:val="20"/>
              </w:rPr>
              <w:t>Artykuł 16: Ogłoszenie kodeksów postępowania</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_Toc106188850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26</w:t>
            </w:r>
            <w:r w:rsidR="00E4201E" w:rsidRPr="00E4201E">
              <w:rPr>
                <w:b w:val="0"/>
                <w:webHidden/>
                <w:sz w:val="20"/>
                <w:szCs w:val="20"/>
              </w:rPr>
              <w:fldChar w:fldCharType="end"/>
            </w:r>
          </w:hyperlink>
        </w:p>
        <w:p w14:paraId="485D31D3" w14:textId="297B32E7" w:rsidR="00E4201E" w:rsidRPr="00E4201E" w:rsidRDefault="009439A8">
          <w:pPr>
            <w:pStyle w:val="TOC1"/>
            <w:rPr>
              <w:rFonts w:asciiTheme="minorHAnsi" w:eastAsiaTheme="minorEastAsia" w:hAnsiTheme="minorHAnsi" w:cstheme="minorBidi"/>
              <w:b w:val="0"/>
              <w:sz w:val="20"/>
              <w:szCs w:val="20"/>
              <w:lang w:val="en-US"/>
            </w:rPr>
          </w:pPr>
          <w:hyperlink w:anchor="_Toc106188851" w:history="1">
            <w:r w:rsidR="00E4201E" w:rsidRPr="00E4201E">
              <w:rPr>
                <w:rStyle w:val="Hyperlink"/>
                <w:b w:val="0"/>
                <w:sz w:val="20"/>
                <w:szCs w:val="20"/>
              </w:rPr>
              <w:t>Rozdział 6: Współpraca z innymi organami publicznymi</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_Toc106188851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27</w:t>
            </w:r>
            <w:r w:rsidR="00E4201E" w:rsidRPr="00E4201E">
              <w:rPr>
                <w:b w:val="0"/>
                <w:webHidden/>
                <w:sz w:val="20"/>
                <w:szCs w:val="20"/>
              </w:rPr>
              <w:fldChar w:fldCharType="end"/>
            </w:r>
          </w:hyperlink>
        </w:p>
        <w:p w14:paraId="3A4D3B4D" w14:textId="57A5BB75" w:rsidR="00E4201E" w:rsidRPr="00E4201E" w:rsidRDefault="009439A8">
          <w:pPr>
            <w:pStyle w:val="TOC1"/>
            <w:rPr>
              <w:rFonts w:asciiTheme="minorHAnsi" w:eastAsiaTheme="minorEastAsia" w:hAnsiTheme="minorHAnsi" w:cstheme="minorBidi"/>
              <w:b w:val="0"/>
              <w:sz w:val="20"/>
              <w:szCs w:val="20"/>
              <w:lang w:val="en-US"/>
            </w:rPr>
          </w:pPr>
          <w:hyperlink w:anchor="_Toc106188852" w:history="1">
            <w:r w:rsidR="00E4201E" w:rsidRPr="00E4201E">
              <w:rPr>
                <w:rStyle w:val="Hyperlink"/>
                <w:b w:val="0"/>
                <w:sz w:val="20"/>
                <w:szCs w:val="20"/>
              </w:rPr>
              <w:t>Artykuł 17: Komisja prowadzi konsultacje z innymi właściwymi organami</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_Toc106188852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27</w:t>
            </w:r>
            <w:r w:rsidR="00E4201E" w:rsidRPr="00E4201E">
              <w:rPr>
                <w:b w:val="0"/>
                <w:webHidden/>
                <w:sz w:val="20"/>
                <w:szCs w:val="20"/>
              </w:rPr>
              <w:fldChar w:fldCharType="end"/>
            </w:r>
          </w:hyperlink>
        </w:p>
        <w:p w14:paraId="3FE8D609" w14:textId="29516978" w:rsidR="00E4201E" w:rsidRPr="00E4201E" w:rsidRDefault="009439A8">
          <w:pPr>
            <w:pStyle w:val="TOC1"/>
            <w:rPr>
              <w:rFonts w:asciiTheme="minorHAnsi" w:eastAsiaTheme="minorEastAsia" w:hAnsiTheme="minorHAnsi" w:cstheme="minorBidi"/>
              <w:b w:val="0"/>
              <w:sz w:val="20"/>
              <w:szCs w:val="20"/>
              <w:lang w:val="en-US"/>
            </w:rPr>
          </w:pPr>
          <w:hyperlink w:anchor="_Toc106188853" w:history="1">
            <w:r w:rsidR="00E4201E" w:rsidRPr="00E4201E">
              <w:rPr>
                <w:rStyle w:val="Hyperlink"/>
                <w:b w:val="0"/>
                <w:sz w:val="20"/>
                <w:szCs w:val="20"/>
              </w:rPr>
              <w:t>Rozdział 7: [USUNIĘTO]</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_Toc106188853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27</w:t>
            </w:r>
            <w:r w:rsidR="00E4201E" w:rsidRPr="00E4201E">
              <w:rPr>
                <w:b w:val="0"/>
                <w:webHidden/>
                <w:sz w:val="20"/>
                <w:szCs w:val="20"/>
              </w:rPr>
              <w:fldChar w:fldCharType="end"/>
            </w:r>
          </w:hyperlink>
        </w:p>
        <w:p w14:paraId="6267E1AC" w14:textId="69991A6D" w:rsidR="00E4201E" w:rsidRPr="00E4201E" w:rsidRDefault="009439A8">
          <w:pPr>
            <w:pStyle w:val="TOC1"/>
            <w:rPr>
              <w:rFonts w:asciiTheme="minorHAnsi" w:eastAsiaTheme="minorEastAsia" w:hAnsiTheme="minorHAnsi" w:cstheme="minorBidi"/>
              <w:b w:val="0"/>
              <w:sz w:val="20"/>
              <w:szCs w:val="20"/>
              <w:lang w:val="en-US"/>
            </w:rPr>
          </w:pPr>
          <w:hyperlink w:anchor="_Toc106188854" w:history="1">
            <w:r w:rsidR="00E4201E" w:rsidRPr="00E4201E">
              <w:rPr>
                <w:rStyle w:val="Hyperlink"/>
                <w:b w:val="0"/>
                <w:sz w:val="20"/>
                <w:szCs w:val="20"/>
              </w:rPr>
              <w:t>[Skreślono artykuły 18-20]</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_Toc106188854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27</w:t>
            </w:r>
            <w:r w:rsidR="00E4201E" w:rsidRPr="00E4201E">
              <w:rPr>
                <w:b w:val="0"/>
                <w:webHidden/>
                <w:sz w:val="20"/>
                <w:szCs w:val="20"/>
              </w:rPr>
              <w:fldChar w:fldCharType="end"/>
            </w:r>
          </w:hyperlink>
        </w:p>
        <w:p w14:paraId="46496B7C" w14:textId="269F57BC" w:rsidR="00E4201E" w:rsidRPr="00E4201E" w:rsidRDefault="009439A8">
          <w:pPr>
            <w:pStyle w:val="TOC1"/>
            <w:rPr>
              <w:rFonts w:asciiTheme="minorHAnsi" w:eastAsiaTheme="minorEastAsia" w:hAnsiTheme="minorHAnsi" w:cstheme="minorBidi"/>
              <w:b w:val="0"/>
              <w:sz w:val="20"/>
              <w:szCs w:val="20"/>
              <w:lang w:val="en-US"/>
            </w:rPr>
          </w:pPr>
          <w:hyperlink w:anchor="_Toc106188855" w:history="1">
            <w:r w:rsidR="00E4201E" w:rsidRPr="00E4201E">
              <w:rPr>
                <w:rStyle w:val="Hyperlink"/>
                <w:b w:val="0"/>
                <w:sz w:val="20"/>
                <w:szCs w:val="20"/>
              </w:rPr>
              <w:t>Rozdział 8: Przestępstwa i kary</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_Toc106188855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28</w:t>
            </w:r>
            <w:r w:rsidR="00E4201E" w:rsidRPr="00E4201E">
              <w:rPr>
                <w:b w:val="0"/>
                <w:webHidden/>
                <w:sz w:val="20"/>
                <w:szCs w:val="20"/>
              </w:rPr>
              <w:fldChar w:fldCharType="end"/>
            </w:r>
          </w:hyperlink>
        </w:p>
        <w:p w14:paraId="09AD5263" w14:textId="6A3D068C" w:rsidR="00E4201E" w:rsidRPr="00E4201E" w:rsidRDefault="009439A8">
          <w:pPr>
            <w:pStyle w:val="TOC1"/>
            <w:rPr>
              <w:rFonts w:asciiTheme="minorHAnsi" w:eastAsiaTheme="minorEastAsia" w:hAnsiTheme="minorHAnsi" w:cstheme="minorBidi"/>
              <w:b w:val="0"/>
              <w:sz w:val="20"/>
              <w:szCs w:val="20"/>
              <w:lang w:val="en-US"/>
            </w:rPr>
          </w:pPr>
          <w:hyperlink w:anchor="_Toc106188856" w:history="1">
            <w:r w:rsidR="00E4201E" w:rsidRPr="00E4201E">
              <w:rPr>
                <w:rStyle w:val="Hyperlink"/>
                <w:b w:val="0"/>
                <w:sz w:val="20"/>
                <w:szCs w:val="20"/>
              </w:rPr>
              <w:t xml:space="preserve">Artykuł 21: Przestępstwo polegające na niezastosowaniu się do zawiadomienia lub nakazu wydanego </w:t>
            </w:r>
            <w:r>
              <w:rPr>
                <w:rStyle w:val="Hyperlink"/>
                <w:b w:val="0"/>
                <w:sz w:val="20"/>
                <w:szCs w:val="20"/>
              </w:rPr>
              <w:br/>
            </w:r>
            <w:r w:rsidR="00E4201E" w:rsidRPr="00E4201E">
              <w:rPr>
                <w:rStyle w:val="Hyperlink"/>
                <w:b w:val="0"/>
                <w:sz w:val="20"/>
                <w:szCs w:val="20"/>
              </w:rPr>
              <w:t>na mocy art. 10</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_Toc106188856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28</w:t>
            </w:r>
            <w:r w:rsidR="00E4201E" w:rsidRPr="00E4201E">
              <w:rPr>
                <w:b w:val="0"/>
                <w:webHidden/>
                <w:sz w:val="20"/>
                <w:szCs w:val="20"/>
              </w:rPr>
              <w:fldChar w:fldCharType="end"/>
            </w:r>
          </w:hyperlink>
        </w:p>
        <w:p w14:paraId="593E4760" w14:textId="6FF33FA9" w:rsidR="00E4201E" w:rsidRPr="00E4201E" w:rsidRDefault="009439A8">
          <w:pPr>
            <w:pStyle w:val="TOC1"/>
            <w:rPr>
              <w:rFonts w:asciiTheme="minorHAnsi" w:eastAsiaTheme="minorEastAsia" w:hAnsiTheme="minorHAnsi" w:cstheme="minorBidi"/>
              <w:b w:val="0"/>
              <w:sz w:val="20"/>
              <w:szCs w:val="20"/>
              <w:lang w:val="en-US"/>
            </w:rPr>
          </w:pPr>
          <w:hyperlink w:anchor="_Toc106188857" w:history="1">
            <w:r w:rsidR="00E4201E" w:rsidRPr="00E4201E">
              <w:rPr>
                <w:rStyle w:val="Hyperlink"/>
                <w:b w:val="0"/>
                <w:sz w:val="20"/>
                <w:szCs w:val="20"/>
              </w:rPr>
              <w:t>Artykuł 22: Przestępstwo polegające na naruszeniu obowiązkowego kodeksu postępowania</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_Toc106188857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28</w:t>
            </w:r>
            <w:r w:rsidR="00E4201E" w:rsidRPr="00E4201E">
              <w:rPr>
                <w:b w:val="0"/>
                <w:webHidden/>
                <w:sz w:val="20"/>
                <w:szCs w:val="20"/>
              </w:rPr>
              <w:fldChar w:fldCharType="end"/>
            </w:r>
          </w:hyperlink>
        </w:p>
        <w:p w14:paraId="45451C8B" w14:textId="205251D6" w:rsidR="00E4201E" w:rsidRPr="00E4201E" w:rsidRDefault="009439A8">
          <w:pPr>
            <w:pStyle w:val="TOC1"/>
            <w:rPr>
              <w:rFonts w:asciiTheme="minorHAnsi" w:eastAsiaTheme="minorEastAsia" w:hAnsiTheme="minorHAnsi" w:cstheme="minorBidi"/>
              <w:b w:val="0"/>
              <w:sz w:val="20"/>
              <w:szCs w:val="20"/>
              <w:lang w:val="en-US"/>
            </w:rPr>
          </w:pPr>
          <w:hyperlink w:anchor="_Toc106188858" w:history="1">
            <w:r w:rsidR="00E4201E" w:rsidRPr="00E4201E">
              <w:rPr>
                <w:rStyle w:val="Hyperlink"/>
                <w:b w:val="0"/>
                <w:sz w:val="20"/>
                <w:szCs w:val="20"/>
              </w:rPr>
              <w:t>Artykuł 23: Przestępstwa związane z dezinformacją i informacjami wprowadzającymi w błąd</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_Toc106188858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28</w:t>
            </w:r>
            <w:r w:rsidR="00E4201E" w:rsidRPr="00E4201E">
              <w:rPr>
                <w:b w:val="0"/>
                <w:webHidden/>
                <w:sz w:val="20"/>
                <w:szCs w:val="20"/>
              </w:rPr>
              <w:fldChar w:fldCharType="end"/>
            </w:r>
          </w:hyperlink>
        </w:p>
        <w:p w14:paraId="0764E534" w14:textId="39860C28" w:rsidR="00E4201E" w:rsidRPr="00E4201E" w:rsidRDefault="009439A8">
          <w:pPr>
            <w:pStyle w:val="TOC1"/>
            <w:rPr>
              <w:rFonts w:asciiTheme="minorHAnsi" w:eastAsiaTheme="minorEastAsia" w:hAnsiTheme="minorHAnsi" w:cstheme="minorBidi"/>
              <w:b w:val="0"/>
              <w:sz w:val="20"/>
              <w:szCs w:val="20"/>
              <w:lang w:val="en-US"/>
            </w:rPr>
          </w:pPr>
          <w:hyperlink w:anchor="_Toc106188859" w:history="1">
            <w:r w:rsidR="00E4201E" w:rsidRPr="00E4201E">
              <w:rPr>
                <w:rStyle w:val="Hyperlink"/>
                <w:b w:val="0"/>
                <w:sz w:val="20"/>
                <w:szCs w:val="20"/>
              </w:rPr>
              <w:t>Artykuł 24: Przestępstwo wykorzystania nieujawnionego bota do wprowadzania w błąd osób w celu wywarcia wpływu na wybory</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_Toc106188859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29</w:t>
            </w:r>
            <w:r w:rsidR="00E4201E" w:rsidRPr="00E4201E">
              <w:rPr>
                <w:b w:val="0"/>
                <w:webHidden/>
                <w:sz w:val="20"/>
                <w:szCs w:val="20"/>
              </w:rPr>
              <w:fldChar w:fldCharType="end"/>
            </w:r>
          </w:hyperlink>
        </w:p>
        <w:p w14:paraId="44B9B429" w14:textId="519D9801" w:rsidR="00E4201E" w:rsidRPr="00E4201E" w:rsidRDefault="009439A8">
          <w:pPr>
            <w:pStyle w:val="TOC1"/>
            <w:rPr>
              <w:rFonts w:asciiTheme="minorHAnsi" w:eastAsiaTheme="minorEastAsia" w:hAnsiTheme="minorHAnsi" w:cstheme="minorBidi"/>
              <w:b w:val="0"/>
              <w:sz w:val="20"/>
              <w:szCs w:val="20"/>
              <w:lang w:val="en-US"/>
            </w:rPr>
          </w:pPr>
          <w:hyperlink w:anchor="_Toc106188860" w:history="1">
            <w:r w:rsidR="00E4201E" w:rsidRPr="00E4201E">
              <w:rPr>
                <w:rStyle w:val="Hyperlink"/>
                <w:b w:val="0"/>
                <w:sz w:val="20"/>
                <w:szCs w:val="20"/>
              </w:rPr>
              <w:t>[Artykuł 25 usunięto]</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_Toc106188860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30</w:t>
            </w:r>
            <w:r w:rsidR="00E4201E" w:rsidRPr="00E4201E">
              <w:rPr>
                <w:b w:val="0"/>
                <w:webHidden/>
                <w:sz w:val="20"/>
                <w:szCs w:val="20"/>
              </w:rPr>
              <w:fldChar w:fldCharType="end"/>
            </w:r>
          </w:hyperlink>
        </w:p>
        <w:p w14:paraId="2341728C" w14:textId="31BC6055" w:rsidR="00E4201E" w:rsidRPr="00E4201E" w:rsidRDefault="009439A8">
          <w:pPr>
            <w:pStyle w:val="TOC1"/>
            <w:rPr>
              <w:rFonts w:asciiTheme="minorHAnsi" w:eastAsiaTheme="minorEastAsia" w:hAnsiTheme="minorHAnsi" w:cstheme="minorBidi"/>
              <w:b w:val="0"/>
              <w:sz w:val="20"/>
              <w:szCs w:val="20"/>
              <w:lang w:val="en-US"/>
            </w:rPr>
          </w:pPr>
          <w:hyperlink w:anchor="_Toc106188861" w:history="1">
            <w:r w:rsidR="00E4201E" w:rsidRPr="00E4201E">
              <w:rPr>
                <w:rStyle w:val="Hyperlink"/>
                <w:b w:val="0"/>
                <w:sz w:val="20"/>
                <w:szCs w:val="20"/>
              </w:rPr>
              <w:t xml:space="preserve">Artykuł 26: Przestępstwo polegające na nieprzestrzeganiu obowiązków nałożonych na platformy </w:t>
            </w:r>
            <w:r>
              <w:rPr>
                <w:rStyle w:val="Hyperlink"/>
                <w:b w:val="0"/>
                <w:sz w:val="20"/>
                <w:szCs w:val="20"/>
              </w:rPr>
              <w:br/>
            </w:r>
            <w:r w:rsidR="00E4201E" w:rsidRPr="00E4201E">
              <w:rPr>
                <w:rStyle w:val="Hyperlink"/>
                <w:b w:val="0"/>
                <w:sz w:val="20"/>
                <w:szCs w:val="20"/>
              </w:rPr>
              <w:t>internetowe</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_Toc106188861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30</w:t>
            </w:r>
            <w:r w:rsidR="00E4201E" w:rsidRPr="00E4201E">
              <w:rPr>
                <w:b w:val="0"/>
                <w:webHidden/>
                <w:sz w:val="20"/>
                <w:szCs w:val="20"/>
              </w:rPr>
              <w:fldChar w:fldCharType="end"/>
            </w:r>
          </w:hyperlink>
        </w:p>
        <w:p w14:paraId="20D41CAF" w14:textId="7E237229" w:rsidR="00E4201E" w:rsidRPr="00E4201E" w:rsidRDefault="009439A8">
          <w:pPr>
            <w:pStyle w:val="TOC1"/>
            <w:rPr>
              <w:rFonts w:asciiTheme="minorHAnsi" w:eastAsiaTheme="minorEastAsia" w:hAnsiTheme="minorHAnsi" w:cstheme="minorBidi"/>
              <w:b w:val="0"/>
              <w:sz w:val="20"/>
              <w:szCs w:val="20"/>
              <w:lang w:val="en-US"/>
            </w:rPr>
          </w:pPr>
          <w:hyperlink w:anchor="_Toc106188862" w:history="1">
            <w:r w:rsidR="00E4201E" w:rsidRPr="00E4201E">
              <w:rPr>
                <w:rStyle w:val="Hyperlink"/>
                <w:b w:val="0"/>
                <w:sz w:val="20"/>
                <w:szCs w:val="20"/>
              </w:rPr>
              <w:t>[Artykuł 27 usunięto]</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_Toc106188862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30</w:t>
            </w:r>
            <w:r w:rsidR="00E4201E" w:rsidRPr="00E4201E">
              <w:rPr>
                <w:b w:val="0"/>
                <w:webHidden/>
                <w:sz w:val="20"/>
                <w:szCs w:val="20"/>
              </w:rPr>
              <w:fldChar w:fldCharType="end"/>
            </w:r>
          </w:hyperlink>
        </w:p>
        <w:p w14:paraId="045D256B" w14:textId="0B6D64AA" w:rsidR="00E4201E" w:rsidRPr="00E4201E" w:rsidRDefault="009439A8">
          <w:pPr>
            <w:pStyle w:val="TOC1"/>
            <w:rPr>
              <w:rFonts w:asciiTheme="minorHAnsi" w:eastAsiaTheme="minorEastAsia" w:hAnsiTheme="minorHAnsi" w:cstheme="minorBidi"/>
              <w:b w:val="0"/>
              <w:sz w:val="20"/>
              <w:szCs w:val="20"/>
              <w:lang w:val="en-US"/>
            </w:rPr>
          </w:pPr>
          <w:hyperlink w:anchor="_Toc106188863" w:history="1">
            <w:r w:rsidR="00E4201E" w:rsidRPr="00E4201E">
              <w:rPr>
                <w:rStyle w:val="Hyperlink"/>
                <w:b w:val="0"/>
                <w:sz w:val="20"/>
                <w:szCs w:val="20"/>
              </w:rPr>
              <w:t>Rozdział 9: Postanowienia różne</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_Toc106188863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30</w:t>
            </w:r>
            <w:r w:rsidR="00E4201E" w:rsidRPr="00E4201E">
              <w:rPr>
                <w:b w:val="0"/>
                <w:webHidden/>
                <w:sz w:val="20"/>
                <w:szCs w:val="20"/>
              </w:rPr>
              <w:fldChar w:fldCharType="end"/>
            </w:r>
          </w:hyperlink>
        </w:p>
        <w:p w14:paraId="0471240F" w14:textId="78DB5DAA" w:rsidR="00E4201E" w:rsidRPr="00E4201E" w:rsidRDefault="009439A8">
          <w:pPr>
            <w:pStyle w:val="TOC1"/>
            <w:rPr>
              <w:rFonts w:asciiTheme="minorHAnsi" w:eastAsiaTheme="minorEastAsia" w:hAnsiTheme="minorHAnsi" w:cstheme="minorBidi"/>
              <w:b w:val="0"/>
              <w:sz w:val="20"/>
              <w:szCs w:val="20"/>
              <w:lang w:val="en-US"/>
            </w:rPr>
          </w:pPr>
          <w:hyperlink w:anchor="_Toc106188864" w:history="1">
            <w:r w:rsidR="00E4201E" w:rsidRPr="00E4201E">
              <w:rPr>
                <w:rStyle w:val="Hyperlink"/>
                <w:b w:val="0"/>
                <w:sz w:val="20"/>
                <w:szCs w:val="20"/>
              </w:rPr>
              <w:t>Artykuł 28: Zabezpieczenie przed pozwem</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_Toc106188864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30</w:t>
            </w:r>
            <w:r w:rsidR="00E4201E" w:rsidRPr="00E4201E">
              <w:rPr>
                <w:b w:val="0"/>
                <w:webHidden/>
                <w:sz w:val="20"/>
                <w:szCs w:val="20"/>
              </w:rPr>
              <w:fldChar w:fldCharType="end"/>
            </w:r>
          </w:hyperlink>
        </w:p>
        <w:p w14:paraId="0381110B" w14:textId="6A9ED6BF" w:rsidR="00E4201E" w:rsidRPr="00E4201E" w:rsidRDefault="009439A8">
          <w:pPr>
            <w:pStyle w:val="TOC1"/>
            <w:rPr>
              <w:rFonts w:asciiTheme="minorHAnsi" w:eastAsiaTheme="minorEastAsia" w:hAnsiTheme="minorHAnsi" w:cstheme="minorBidi"/>
              <w:b w:val="0"/>
              <w:sz w:val="20"/>
              <w:szCs w:val="20"/>
              <w:lang w:val="en-US"/>
            </w:rPr>
          </w:pPr>
          <w:hyperlink w:anchor="_Toc106188865" w:history="1">
            <w:r w:rsidR="00E4201E" w:rsidRPr="00E4201E">
              <w:rPr>
                <w:rStyle w:val="Hyperlink"/>
                <w:b w:val="0"/>
                <w:sz w:val="20"/>
                <w:szCs w:val="20"/>
              </w:rPr>
              <w:t>Artykuł 29: Doręczanie obwieszczeń lub nakazów wydanych na mocy art. 10</w:t>
            </w:r>
            <w:r w:rsidR="00E4201E" w:rsidRPr="00E4201E">
              <w:rPr>
                <w:b w:val="0"/>
                <w:webHidden/>
                <w:sz w:val="20"/>
                <w:szCs w:val="20"/>
              </w:rPr>
              <w:tab/>
            </w:r>
            <w:r w:rsidR="00E4201E" w:rsidRPr="00E4201E">
              <w:rPr>
                <w:b w:val="0"/>
                <w:webHidden/>
                <w:sz w:val="20"/>
                <w:szCs w:val="20"/>
              </w:rPr>
              <w:fldChar w:fldCharType="begin"/>
            </w:r>
            <w:r w:rsidR="00E4201E" w:rsidRPr="00E4201E">
              <w:rPr>
                <w:b w:val="0"/>
                <w:webHidden/>
                <w:sz w:val="20"/>
                <w:szCs w:val="20"/>
              </w:rPr>
              <w:instrText xml:space="preserve"> PAGEREF _Toc106188865 \h </w:instrText>
            </w:r>
            <w:r w:rsidR="00E4201E" w:rsidRPr="00E4201E">
              <w:rPr>
                <w:b w:val="0"/>
                <w:webHidden/>
                <w:sz w:val="20"/>
                <w:szCs w:val="20"/>
              </w:rPr>
            </w:r>
            <w:r w:rsidR="00E4201E" w:rsidRPr="00E4201E">
              <w:rPr>
                <w:b w:val="0"/>
                <w:webHidden/>
                <w:sz w:val="20"/>
                <w:szCs w:val="20"/>
              </w:rPr>
              <w:fldChar w:fldCharType="separate"/>
            </w:r>
            <w:r>
              <w:rPr>
                <w:b w:val="0"/>
                <w:webHidden/>
                <w:sz w:val="20"/>
                <w:szCs w:val="20"/>
              </w:rPr>
              <w:t>31</w:t>
            </w:r>
            <w:r w:rsidR="00E4201E" w:rsidRPr="00E4201E">
              <w:rPr>
                <w:b w:val="0"/>
                <w:webHidden/>
                <w:sz w:val="20"/>
                <w:szCs w:val="20"/>
              </w:rPr>
              <w:fldChar w:fldCharType="end"/>
            </w:r>
          </w:hyperlink>
        </w:p>
        <w:p w14:paraId="2FFEEE6D" w14:textId="09779250" w:rsidR="003C524C" w:rsidRPr="003E288A" w:rsidRDefault="003C524C" w:rsidP="009A3E29">
          <w:pPr>
            <w:rPr>
              <w:rFonts w:ascii="Times New Roman" w:hAnsi="Times New Roman" w:cs="Times New Roman"/>
            </w:rPr>
          </w:pPr>
          <w:r w:rsidRPr="00E4201E">
            <w:rPr>
              <w:rFonts w:ascii="Times New Roman" w:hAnsi="Times New Roman" w:cs="Times New Roman"/>
              <w:bCs/>
              <w:sz w:val="20"/>
              <w:szCs w:val="20"/>
            </w:rPr>
            <w:fldChar w:fldCharType="end"/>
          </w:r>
        </w:p>
      </w:sdtContent>
    </w:sdt>
    <w:p w14:paraId="4AB7482F" w14:textId="77777777" w:rsidR="00F61BEF" w:rsidRDefault="00F61BEF">
      <w:pPr>
        <w:spacing w:before="240" w:after="240" w:line="360" w:lineRule="auto"/>
        <w:ind w:left="1077" w:hanging="720"/>
        <w:rPr>
          <w:rFonts w:ascii="Times New Roman" w:eastAsiaTheme="majorEastAsia" w:hAnsi="Times New Roman" w:cs="Times New Roman"/>
          <w:sz w:val="26"/>
          <w:szCs w:val="26"/>
        </w:rPr>
      </w:pPr>
      <w:bookmarkStart w:id="0" w:name="_Toc97143714"/>
      <w:bookmarkStart w:id="1" w:name="_Toc97143715"/>
      <w:bookmarkStart w:id="2" w:name="_Toc97143716"/>
      <w:bookmarkStart w:id="3" w:name="_Toc97143717"/>
      <w:bookmarkStart w:id="4" w:name="_Toc97143718"/>
      <w:bookmarkStart w:id="5" w:name="_Toc97143719"/>
      <w:bookmarkStart w:id="6" w:name="_Toc97143720"/>
      <w:bookmarkStart w:id="7" w:name="_Toc97143721"/>
      <w:bookmarkStart w:id="8" w:name="_Toc97143722"/>
      <w:bookmarkStart w:id="9" w:name="_Toc97143723"/>
      <w:bookmarkStart w:id="10" w:name="_Toc97143724"/>
      <w:bookmarkEnd w:id="0"/>
      <w:bookmarkEnd w:id="1"/>
      <w:bookmarkEnd w:id="2"/>
      <w:bookmarkEnd w:id="3"/>
      <w:bookmarkEnd w:id="4"/>
      <w:bookmarkEnd w:id="5"/>
      <w:bookmarkEnd w:id="6"/>
      <w:bookmarkEnd w:id="7"/>
      <w:bookmarkEnd w:id="8"/>
      <w:bookmarkEnd w:id="9"/>
      <w:bookmarkEnd w:id="10"/>
      <w:r>
        <w:br w:type="page"/>
      </w:r>
    </w:p>
    <w:p w14:paraId="6E508D09" w14:textId="23854510" w:rsidR="00511749" w:rsidRPr="008273CD" w:rsidRDefault="00511749" w:rsidP="008273CD">
      <w:pPr>
        <w:pStyle w:val="Heading1"/>
        <w:jc w:val="center"/>
        <w:rPr>
          <w:sz w:val="28"/>
          <w:szCs w:val="28"/>
        </w:rPr>
      </w:pPr>
      <w:bookmarkStart w:id="11" w:name="_Toc106188824"/>
      <w:r>
        <w:rPr>
          <w:sz w:val="28"/>
        </w:rPr>
        <w:lastRenderedPageBreak/>
        <w:t>Rozdział 1: Przepisy wstępne</w:t>
      </w:r>
      <w:bookmarkEnd w:id="11"/>
    </w:p>
    <w:p w14:paraId="4DB9FF2C" w14:textId="5BDDEC7E" w:rsidR="00A7406B" w:rsidRPr="00835148" w:rsidRDefault="00A7406B" w:rsidP="00883C74">
      <w:pPr>
        <w:pStyle w:val="Heading1"/>
      </w:pPr>
      <w:bookmarkStart w:id="12" w:name="_Toc106188825"/>
      <w:r>
        <w:t>Artykuł 1: Dodatkowe definicje dla Części 4A</w:t>
      </w:r>
      <w:bookmarkEnd w:id="12"/>
    </w:p>
    <w:p w14:paraId="737F1CC3" w14:textId="2185460F" w:rsidR="00A7406B" w:rsidRPr="00835148" w:rsidRDefault="00A7406B" w:rsidP="00F6269D">
      <w:pPr>
        <w:spacing w:before="240" w:after="240"/>
        <w:ind w:left="720"/>
        <w:jc w:val="both"/>
        <w:rPr>
          <w:rFonts w:ascii="Times New Roman" w:hAnsi="Times New Roman" w:cs="Times New Roman"/>
          <w:i/>
          <w:iCs/>
          <w:szCs w:val="24"/>
        </w:rPr>
      </w:pPr>
      <w:r>
        <w:rPr>
          <w:rFonts w:ascii="Times New Roman" w:hAnsi="Times New Roman"/>
          <w:i/>
        </w:rPr>
        <w:t>Niniejszy artykuł stanowi, że:</w:t>
      </w:r>
    </w:p>
    <w:p w14:paraId="6E7F669D" w14:textId="77777777" w:rsidR="00A7406B" w:rsidRPr="00835148" w:rsidRDefault="00A7406B" w:rsidP="00F6269D">
      <w:pPr>
        <w:spacing w:before="240" w:after="240"/>
        <w:ind w:left="720"/>
        <w:jc w:val="both"/>
        <w:rPr>
          <w:rFonts w:ascii="Times New Roman" w:hAnsi="Times New Roman" w:cs="Times New Roman"/>
          <w:szCs w:val="24"/>
        </w:rPr>
      </w:pPr>
      <w:r>
        <w:rPr>
          <w:rFonts w:ascii="Times New Roman" w:hAnsi="Times New Roman"/>
        </w:rPr>
        <w:t>W niniejszej Części:</w:t>
      </w:r>
    </w:p>
    <w:p w14:paraId="4B6FB14A" w14:textId="18C5844D" w:rsidR="00A7406B" w:rsidRPr="00835148" w:rsidRDefault="00A7406B" w:rsidP="00F6269D">
      <w:pPr>
        <w:spacing w:after="240"/>
        <w:ind w:left="1134"/>
        <w:jc w:val="both"/>
        <w:rPr>
          <w:rFonts w:ascii="Times New Roman" w:hAnsi="Times New Roman" w:cs="Times New Roman"/>
          <w:szCs w:val="24"/>
        </w:rPr>
      </w:pPr>
      <w:r>
        <w:rPr>
          <w:rFonts w:ascii="Times New Roman" w:hAnsi="Times New Roman"/>
        </w:rPr>
        <w:t xml:space="preserve">termin „upoważniony urzędnik” należy interpretować zgodnie z postanowieniami art. 128; </w:t>
      </w:r>
    </w:p>
    <w:p w14:paraId="16F140F2" w14:textId="533C74DD" w:rsidR="00A7406B" w:rsidRPr="00835148" w:rsidRDefault="00A7406B" w:rsidP="00F6269D">
      <w:pPr>
        <w:spacing w:after="240"/>
        <w:ind w:left="1134"/>
        <w:jc w:val="both"/>
        <w:rPr>
          <w:rFonts w:ascii="Times New Roman" w:hAnsi="Times New Roman" w:cs="Times New Roman"/>
          <w:szCs w:val="24"/>
        </w:rPr>
      </w:pPr>
      <w:r>
        <w:rPr>
          <w:rFonts w:ascii="Times New Roman" w:hAnsi="Times New Roman"/>
        </w:rPr>
        <w:t>„bot” oznacza zautomatyzowane konto internetowe, program komputerowy lub proces, w którym wszystkie lub zasadniczo wszystkie działania lub wpisy na koncie, w programie lub procesie nie są wynikiem działania człowieka;</w:t>
      </w:r>
    </w:p>
    <w:p w14:paraId="65E50B4B" w14:textId="2225AAAF" w:rsidR="00AE699E" w:rsidRPr="00835148" w:rsidRDefault="00A7406B" w:rsidP="00F6269D">
      <w:pPr>
        <w:spacing w:after="240"/>
        <w:ind w:left="1134"/>
        <w:jc w:val="both"/>
        <w:rPr>
          <w:rFonts w:ascii="Times New Roman" w:hAnsi="Times New Roman" w:cs="Times New Roman"/>
        </w:rPr>
      </w:pPr>
      <w:r>
        <w:rPr>
          <w:rFonts w:ascii="Times New Roman" w:hAnsi="Times New Roman"/>
        </w:rPr>
        <w:t xml:space="preserve">„dezinformacja” dla celów niniejszej Części i niniejszej Ustawy oznacza każdą fałszywą lub wprowadzającą w błąd internetową informację wyborczą, która </w:t>
      </w:r>
    </w:p>
    <w:p w14:paraId="4DF2ADBE" w14:textId="7F04E3C6" w:rsidR="00AE699E" w:rsidRPr="00835148" w:rsidRDefault="00A7406B" w:rsidP="00F6269D">
      <w:pPr>
        <w:pStyle w:val="ListParagraph"/>
        <w:numPr>
          <w:ilvl w:val="0"/>
          <w:numId w:val="89"/>
        </w:numPr>
        <w:spacing w:after="240"/>
        <w:ind w:left="2268" w:hanging="567"/>
        <w:contextualSpacing w:val="0"/>
        <w:jc w:val="both"/>
        <w:rPr>
          <w:rFonts w:ascii="Times New Roman" w:hAnsi="Times New Roman" w:cs="Times New Roman"/>
        </w:rPr>
      </w:pPr>
      <w:r>
        <w:rPr>
          <w:rFonts w:ascii="Times New Roman" w:hAnsi="Times New Roman"/>
        </w:rPr>
        <w:t xml:space="preserve">może wyrządzić szkody publiczne, oraz </w:t>
      </w:r>
    </w:p>
    <w:p w14:paraId="0631A600" w14:textId="0B7FD4A6" w:rsidR="00D17FEA" w:rsidRPr="00835148" w:rsidRDefault="00A7406B" w:rsidP="00804CD3">
      <w:pPr>
        <w:pStyle w:val="ListParagraph"/>
        <w:numPr>
          <w:ilvl w:val="0"/>
          <w:numId w:val="89"/>
        </w:numPr>
        <w:spacing w:after="240"/>
        <w:ind w:left="2268" w:hanging="567"/>
        <w:contextualSpacing w:val="0"/>
        <w:jc w:val="both"/>
        <w:rPr>
          <w:rFonts w:ascii="Times New Roman" w:hAnsi="Times New Roman" w:cs="Times New Roman"/>
        </w:rPr>
      </w:pPr>
      <w:bookmarkStart w:id="13" w:name="_Hlk103716918"/>
      <w:r>
        <w:rPr>
          <w:rFonts w:ascii="Times New Roman" w:hAnsi="Times New Roman"/>
        </w:rPr>
        <w:t>ze względu na rodzaj i charakter swojej treści, kontekst lub jakąkolwiek inną istotną okoliczność pozwala przypuszczać, że została stworzona lub rozpowszechniona w celu wprowadzenia w błąd</w:t>
      </w:r>
      <w:bookmarkEnd w:id="13"/>
      <w:r>
        <w:rPr>
          <w:rFonts w:ascii="Times New Roman" w:hAnsi="Times New Roman"/>
        </w:rPr>
        <w:t>;</w:t>
      </w:r>
    </w:p>
    <w:p w14:paraId="46EB4025" w14:textId="62D9A4BB" w:rsidR="00A7406B" w:rsidRPr="00835148" w:rsidRDefault="00A7406B" w:rsidP="00F6269D">
      <w:pPr>
        <w:spacing w:after="240"/>
        <w:ind w:left="1134"/>
        <w:jc w:val="both"/>
        <w:rPr>
          <w:rFonts w:ascii="Times New Roman" w:hAnsi="Times New Roman" w:cs="Times New Roman"/>
        </w:rPr>
      </w:pPr>
      <w:r>
        <w:rPr>
          <w:rFonts w:ascii="Times New Roman" w:hAnsi="Times New Roman"/>
        </w:rPr>
        <w:t>„okres kampanii wyborczej” oznacza:</w:t>
      </w:r>
    </w:p>
    <w:p w14:paraId="4A08B0F8" w14:textId="5A2D3C1B" w:rsidR="00A7406B" w:rsidRPr="00835148" w:rsidRDefault="00A7406B" w:rsidP="00F6269D">
      <w:pPr>
        <w:pStyle w:val="ListParagraph"/>
        <w:numPr>
          <w:ilvl w:val="0"/>
          <w:numId w:val="88"/>
        </w:numPr>
        <w:spacing w:after="240"/>
        <w:ind w:left="2268" w:hanging="567"/>
        <w:contextualSpacing w:val="0"/>
        <w:jc w:val="both"/>
      </w:pPr>
      <w:r>
        <w:rPr>
          <w:rFonts w:ascii="Times New Roman" w:hAnsi="Times New Roman"/>
        </w:rPr>
        <w:t>okres (łącznie z okresem wyborczym), jaki może zostać wyznaczony przez Komisję w odniesieniu do dowolnych wyborów lub referendum, rozpoczynający się w dniu poprzedzającym zbliżające się wybory lub referendum i kończący się w dniu głosowania o godzinie zamknięcia lokali wyborczych, przy czym terminy będą podane w zawiadomieniu opublikowanym przez Komisję w sposób, jaki uzna ona za stosowny, nie mniej niż siedem dni przed wcześniejszym z tych terminów;</w:t>
      </w:r>
    </w:p>
    <w:p w14:paraId="4A79F8A7" w14:textId="13D203CA" w:rsidR="00A7406B" w:rsidRPr="00835148" w:rsidRDefault="00A7406B" w:rsidP="00F6269D">
      <w:pPr>
        <w:pStyle w:val="ListParagraph"/>
        <w:numPr>
          <w:ilvl w:val="0"/>
          <w:numId w:val="88"/>
        </w:numPr>
        <w:spacing w:after="240"/>
        <w:ind w:left="2268" w:hanging="567"/>
        <w:contextualSpacing w:val="0"/>
        <w:jc w:val="both"/>
      </w:pPr>
      <w:r>
        <w:rPr>
          <w:rFonts w:ascii="Times New Roman" w:hAnsi="Times New Roman"/>
        </w:rPr>
        <w:t>okres rozpoczynający się na trzy miesiące przed najpóźniejszą datą, w której zgodnie z prawem mają się odbyć wybory, i kończący się wraz z upływem okresu wyborczego; lub</w:t>
      </w:r>
    </w:p>
    <w:p w14:paraId="259CF5B0" w14:textId="6C5E35C9" w:rsidR="004C07F1" w:rsidRPr="00835148" w:rsidRDefault="00A7406B" w:rsidP="00F6269D">
      <w:pPr>
        <w:pStyle w:val="ListParagraph"/>
        <w:numPr>
          <w:ilvl w:val="0"/>
          <w:numId w:val="88"/>
        </w:numPr>
        <w:spacing w:after="240"/>
        <w:ind w:left="2268" w:hanging="567"/>
        <w:contextualSpacing w:val="0"/>
        <w:jc w:val="both"/>
        <w:rPr>
          <w:rFonts w:ascii="Times New Roman" w:hAnsi="Times New Roman" w:cs="Times New Roman"/>
        </w:rPr>
      </w:pPr>
      <w:r>
        <w:rPr>
          <w:rFonts w:ascii="Times New Roman" w:hAnsi="Times New Roman"/>
        </w:rPr>
        <w:t>w przypadku gdy punkty a) i b) nie mają zastosowania – okres wyborczy;</w:t>
      </w:r>
    </w:p>
    <w:p w14:paraId="163AA4E8" w14:textId="6AEB89E5" w:rsidR="00D17FEA" w:rsidRPr="00835148" w:rsidRDefault="00D17FEA" w:rsidP="009A3E29">
      <w:pPr>
        <w:spacing w:after="240"/>
        <w:ind w:left="1134"/>
        <w:jc w:val="both"/>
        <w:rPr>
          <w:rFonts w:ascii="Times New Roman" w:hAnsi="Times New Roman" w:cs="Times New Roman"/>
        </w:rPr>
      </w:pPr>
      <w:r>
        <w:rPr>
          <w:rFonts w:ascii="Times New Roman" w:hAnsi="Times New Roman"/>
        </w:rPr>
        <w:t>„okres wyborczy” oznacza, w niniejszej Części, okres rozpoczynający się w dniu wydania zarządzenia na dzień wyborów i kończący się w dniu wyborów o godzinie zamknięcia lokali wyborczych;</w:t>
      </w:r>
    </w:p>
    <w:p w14:paraId="22E6740B"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lastRenderedPageBreak/>
        <w:t>„targetowanie podobnych” oznacza wykorzystanie danych z istniejącej grupy odbiorców internetowych w celu identyfikacji innych osób, które mają podobne cechy lub wykonują podobne czynności na platformie internetowej;</w:t>
      </w:r>
    </w:p>
    <w:p w14:paraId="7DFE9E10" w14:textId="2220423F" w:rsidR="00A7406B" w:rsidRPr="00835148" w:rsidRDefault="00A7406B" w:rsidP="00F6269D">
      <w:pPr>
        <w:spacing w:after="240"/>
        <w:ind w:left="1134"/>
        <w:jc w:val="both"/>
        <w:rPr>
          <w:rFonts w:ascii="Times New Roman" w:hAnsi="Times New Roman" w:cs="Times New Roman"/>
        </w:rPr>
      </w:pPr>
      <w:r>
        <w:rPr>
          <w:rFonts w:ascii="Times New Roman" w:hAnsi="Times New Roman"/>
        </w:rPr>
        <w:t>„zachowanie manipulacyjne lub nieautentyczne” oznacza taktyki, techniki i procedury, które:</w:t>
      </w:r>
    </w:p>
    <w:p w14:paraId="2C02C460" w14:textId="0B0E2384" w:rsidR="00A7406B" w:rsidRPr="00835148" w:rsidRDefault="003C36B6" w:rsidP="00F6269D">
      <w:pPr>
        <w:pStyle w:val="Opinionnormal"/>
        <w:numPr>
          <w:ilvl w:val="1"/>
          <w:numId w:val="11"/>
        </w:numPr>
        <w:spacing w:before="0" w:after="240" w:line="276" w:lineRule="auto"/>
        <w:ind w:left="2268" w:hanging="567"/>
        <w:rPr>
          <w:rFonts w:ascii="Times New Roman" w:hAnsi="Times New Roman" w:cs="Times New Roman"/>
          <w:b/>
          <w:bCs/>
          <w:sz w:val="24"/>
          <w:szCs w:val="24"/>
        </w:rPr>
      </w:pPr>
      <w:r>
        <w:rPr>
          <w:rFonts w:ascii="Times New Roman" w:hAnsi="Times New Roman"/>
          <w:sz w:val="24"/>
        </w:rPr>
        <w:t>stanowią wprowadzające w błąd korzystanie z usług lub funkcji udostępnianych przez platformy internetowe, w tym zachowanie użytkownika mające na celu sztuczne zwiększenie zasięgu lub postrzeganego poparcia publicznego dla określonych treści,</w:t>
      </w:r>
    </w:p>
    <w:p w14:paraId="01345465" w14:textId="00E3513E" w:rsidR="00A7406B" w:rsidRPr="00835148" w:rsidRDefault="00A7406B" w:rsidP="00F6269D">
      <w:pPr>
        <w:pStyle w:val="Opinionnormal"/>
        <w:numPr>
          <w:ilvl w:val="1"/>
          <w:numId w:val="11"/>
        </w:numPr>
        <w:spacing w:before="0" w:after="240" w:line="276" w:lineRule="auto"/>
        <w:ind w:left="2268" w:hanging="567"/>
        <w:rPr>
          <w:rFonts w:ascii="Times New Roman" w:hAnsi="Times New Roman" w:cs="Times New Roman"/>
          <w:sz w:val="24"/>
          <w:szCs w:val="24"/>
        </w:rPr>
      </w:pPr>
      <w:r>
        <w:rPr>
          <w:rFonts w:ascii="Times New Roman" w:hAnsi="Times New Roman"/>
          <w:sz w:val="24"/>
        </w:rPr>
        <w:t>mogą mieć wpływ na informacje widoczne dla innych użytkowników tej platformy,</w:t>
      </w:r>
    </w:p>
    <w:p w14:paraId="4F965F09" w14:textId="6A49E983" w:rsidR="00A7406B" w:rsidRDefault="007F7211" w:rsidP="00F6269D">
      <w:pPr>
        <w:pStyle w:val="Opinionnormal"/>
        <w:numPr>
          <w:ilvl w:val="1"/>
          <w:numId w:val="11"/>
        </w:numPr>
        <w:spacing w:before="0" w:after="240" w:line="276" w:lineRule="auto"/>
        <w:ind w:left="2268" w:hanging="567"/>
        <w:rPr>
          <w:rFonts w:ascii="Times New Roman" w:hAnsi="Times New Roman" w:cs="Times New Roman"/>
          <w:sz w:val="24"/>
          <w:szCs w:val="24"/>
        </w:rPr>
      </w:pPr>
      <w:r>
        <w:rPr>
          <w:rFonts w:ascii="Times New Roman" w:hAnsi="Times New Roman"/>
          <w:sz w:val="24"/>
        </w:rPr>
        <w:t>ze względu na swoją naturę i charakter, kontekst lub jakiekolwiek inne istotne okoliczności, dają podstawę do wnioskowania, że ich celem jest rozpowszechnianie, publikowanie lub zwiększony obieg fałszywych lub wprowadzających w błąd informacji wyborczych w internecie, oraz</w:t>
      </w:r>
    </w:p>
    <w:p w14:paraId="57861F65" w14:textId="309034A0" w:rsidR="00C12541" w:rsidRPr="00473A30" w:rsidRDefault="001757C3" w:rsidP="00473A30">
      <w:pPr>
        <w:pStyle w:val="Opinionnormal"/>
        <w:numPr>
          <w:ilvl w:val="1"/>
          <w:numId w:val="11"/>
        </w:numPr>
        <w:spacing w:before="0" w:after="240" w:line="276" w:lineRule="auto"/>
        <w:ind w:left="2268" w:hanging="567"/>
        <w:rPr>
          <w:rFonts w:ascii="Times New Roman" w:hAnsi="Times New Roman" w:cs="Times New Roman"/>
          <w:sz w:val="24"/>
          <w:szCs w:val="24"/>
        </w:rPr>
      </w:pPr>
      <w:r>
        <w:rPr>
          <w:rFonts w:ascii="Times New Roman" w:hAnsi="Times New Roman"/>
          <w:sz w:val="24"/>
        </w:rPr>
        <w:t>mogą wyrządzać szkody publiczne.</w:t>
      </w:r>
    </w:p>
    <w:p w14:paraId="706905FD"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t>„mikrotargetowanie” oznacza metodę targetowania obejmującą wykorzystanie technik analizy danych, narzędzi lub innych metod w celu kierowania, przekazywania lub komunikowania dostosowanej internetowej reklamy politycznej do konkretnej osoby lub grupy osób albo w celu zwiększenia obiegu, zasięgu lub widoczności internetowej reklamy politycznej;</w:t>
      </w:r>
    </w:p>
    <w:p w14:paraId="0817BFD6" w14:textId="2CFB34BB" w:rsidR="00A7406B" w:rsidRPr="00835148" w:rsidRDefault="00A7406B" w:rsidP="00DB2F82">
      <w:pPr>
        <w:spacing w:after="240"/>
        <w:ind w:left="1134"/>
        <w:jc w:val="both"/>
        <w:rPr>
          <w:rFonts w:ascii="Times New Roman" w:hAnsi="Times New Roman" w:cs="Times New Roman"/>
        </w:rPr>
      </w:pPr>
      <w:r>
        <w:rPr>
          <w:rFonts w:ascii="Times New Roman" w:hAnsi="Times New Roman"/>
        </w:rPr>
        <w:t>„dezinformacja” dla celów niniejszej Części i niniejszej Ustawy oznacza każdą fałszywą lub wprowadzającą w błąd informację o internetowym procesie wyborczym, która może spowodować szkodę publiczną, bez względu na to, czy informacja została stworzona lub rozpowszechniona ze świadomością jej fałszywości lub wprowadzającego w błąd charakteru lub z jakimkolwiek zamiarem spowodowania takiej szkody;</w:t>
      </w:r>
    </w:p>
    <w:p w14:paraId="1A4A5D07"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t>„internetowe informacje wyborcze” oznaczają:</w:t>
      </w:r>
    </w:p>
    <w:p w14:paraId="31DFA0B2" w14:textId="5DE9438F" w:rsidR="00A7406B" w:rsidRPr="00835148" w:rsidRDefault="00C325DA" w:rsidP="00F6269D">
      <w:pPr>
        <w:pStyle w:val="NormalWeb"/>
        <w:numPr>
          <w:ilvl w:val="0"/>
          <w:numId w:val="59"/>
        </w:numPr>
        <w:spacing w:before="0" w:beforeAutospacing="0" w:after="240" w:afterAutospacing="0" w:line="276" w:lineRule="auto"/>
        <w:ind w:left="2268" w:hanging="567"/>
        <w:jc w:val="both"/>
      </w:pPr>
      <w:r>
        <w:t xml:space="preserve">wszelkie internetowe informacje o procesie wyborczym; lub </w:t>
      </w:r>
    </w:p>
    <w:p w14:paraId="48E9955E" w14:textId="77777777" w:rsidR="00A7406B" w:rsidRPr="00835148" w:rsidRDefault="00A7406B" w:rsidP="00F6269D">
      <w:pPr>
        <w:pStyle w:val="NormalWeb"/>
        <w:numPr>
          <w:ilvl w:val="0"/>
          <w:numId w:val="59"/>
        </w:numPr>
        <w:spacing w:before="0" w:beforeAutospacing="0" w:after="240" w:afterAutospacing="0" w:line="276" w:lineRule="auto"/>
        <w:ind w:left="2268" w:hanging="567"/>
        <w:jc w:val="both"/>
      </w:pPr>
      <w:r>
        <w:t xml:space="preserve">wszelkie treści internetowe dotyczące </w:t>
      </w:r>
    </w:p>
    <w:p w14:paraId="3F4CDD99" w14:textId="1E1FE0FB" w:rsidR="00A7406B" w:rsidRPr="00835148" w:rsidRDefault="00A7406B" w:rsidP="00F6269D">
      <w:pPr>
        <w:pStyle w:val="NormalWeb"/>
        <w:spacing w:before="0" w:beforeAutospacing="0" w:after="240" w:afterAutospacing="0" w:line="276" w:lineRule="auto"/>
        <w:ind w:left="3119" w:hanging="567"/>
        <w:jc w:val="both"/>
      </w:pPr>
      <w:r>
        <w:t xml:space="preserve">(i) kandydata w wyborach; </w:t>
      </w:r>
    </w:p>
    <w:p w14:paraId="7733AE23" w14:textId="4806CCAF" w:rsidR="00A7406B" w:rsidRPr="00835148" w:rsidRDefault="00A7406B" w:rsidP="00F6269D">
      <w:pPr>
        <w:pStyle w:val="NormalWeb"/>
        <w:spacing w:before="0" w:beforeAutospacing="0" w:after="240" w:afterAutospacing="0" w:line="276" w:lineRule="auto"/>
        <w:ind w:left="3119" w:hanging="567"/>
        <w:jc w:val="both"/>
      </w:pPr>
      <w:r>
        <w:t>(ii) partii politycznej, której kandydaci biorą udział w wyborach,</w:t>
      </w:r>
    </w:p>
    <w:p w14:paraId="79786B4F" w14:textId="1C00EAA5" w:rsidR="00A7406B" w:rsidRPr="00835148" w:rsidRDefault="00A7406B" w:rsidP="00F6269D">
      <w:pPr>
        <w:pStyle w:val="NormalWeb"/>
        <w:spacing w:before="0" w:beforeAutospacing="0" w:after="240" w:afterAutospacing="0" w:line="276" w:lineRule="auto"/>
        <w:ind w:left="3119" w:hanging="567"/>
        <w:jc w:val="both"/>
      </w:pPr>
      <w:r>
        <w:t>(iii) kwestii, które mają znaczenie dla wyborów, lub</w:t>
      </w:r>
    </w:p>
    <w:p w14:paraId="6B24AD9E" w14:textId="1687CCC4" w:rsidR="00A7406B" w:rsidRPr="00835148" w:rsidRDefault="00A7406B" w:rsidP="00F6269D">
      <w:pPr>
        <w:pStyle w:val="NormalWeb"/>
        <w:spacing w:before="0" w:beforeAutospacing="0" w:after="240" w:afterAutospacing="0" w:line="276" w:lineRule="auto"/>
        <w:ind w:left="3119" w:hanging="567"/>
        <w:jc w:val="both"/>
      </w:pPr>
      <w:r>
        <w:lastRenderedPageBreak/>
        <w:t>(iv) kwestii istotnych z punktu widzenia referendum.</w:t>
      </w:r>
    </w:p>
    <w:p w14:paraId="239350EF" w14:textId="532FF454" w:rsidR="00C20FC8" w:rsidRPr="00835148" w:rsidRDefault="00C20FC8" w:rsidP="00C20FC8">
      <w:pPr>
        <w:spacing w:after="240"/>
        <w:ind w:left="1134"/>
        <w:jc w:val="both"/>
        <w:rPr>
          <w:rFonts w:ascii="Times New Roman" w:hAnsi="Times New Roman" w:cs="Times New Roman"/>
        </w:rPr>
      </w:pPr>
      <w:r>
        <w:rPr>
          <w:rFonts w:ascii="Times New Roman" w:hAnsi="Times New Roman"/>
        </w:rPr>
        <w:t>„internetowe informacje o procesie wyborczym” oznaczają treści dostępne w internecie o charakterze merytorycznym, dotyczące przeprowadzenia wyborów lub referendum, w tym między innymi rejestracji wyborców lub kandydatów, terminów i miejsc głosowania, ustaleń dotyczących głosowania korespondencyjnego, tajności głosowania, liczenia głosów i wszelkich innych treści merytorycznych dotyczących przeprowadzenia konkretnych wyborów lub referendum albo wyborów lub referendów w ogóle;</w:t>
      </w:r>
    </w:p>
    <w:p w14:paraId="7925883F" w14:textId="557F3D5F" w:rsidR="00A7406B" w:rsidRPr="00835148" w:rsidRDefault="00A7406B" w:rsidP="00F6269D">
      <w:pPr>
        <w:spacing w:after="240"/>
        <w:ind w:left="1134"/>
        <w:jc w:val="both"/>
        <w:rPr>
          <w:rFonts w:ascii="Times New Roman" w:hAnsi="Times New Roman" w:cs="Times New Roman"/>
        </w:rPr>
      </w:pPr>
      <w:r>
        <w:rPr>
          <w:rFonts w:ascii="Times New Roman" w:hAnsi="Times New Roman"/>
        </w:rPr>
        <w:t>„platforma internetowa” oznacza dowolną publicznie dostępną stronę internetową, aplikację internetową lub aplikację cyfrową dostępną dla ogółu społeczeństwa lub jego Części, która</w:t>
      </w:r>
    </w:p>
    <w:p w14:paraId="11A0E755" w14:textId="1AACF7AA" w:rsidR="00A7406B" w:rsidRPr="00835148" w:rsidRDefault="00A7406B" w:rsidP="00F6269D">
      <w:pPr>
        <w:pStyle w:val="NormalWeb"/>
        <w:numPr>
          <w:ilvl w:val="0"/>
          <w:numId w:val="86"/>
        </w:numPr>
        <w:spacing w:before="0" w:beforeAutospacing="0" w:after="240" w:afterAutospacing="0" w:line="276" w:lineRule="auto"/>
        <w:ind w:left="2268" w:hanging="567"/>
        <w:jc w:val="both"/>
      </w:pPr>
      <w:r>
        <w:t>ma co najmniej 100000 unikalnych miesięcznych użytkowników w państwie przez okres nie krótszy niż siedem miesięcy w ciągu 12 miesięcy bezpośrednio poprzedzających datę wydania zarządzenia na dzień wyborów, oraz</w:t>
      </w:r>
    </w:p>
    <w:p w14:paraId="64D75AD4" w14:textId="6E3B9FFF" w:rsidR="00A7406B" w:rsidRPr="00835148" w:rsidRDefault="00A7406B" w:rsidP="00F6269D">
      <w:pPr>
        <w:pStyle w:val="NormalWeb"/>
        <w:numPr>
          <w:ilvl w:val="0"/>
          <w:numId w:val="86"/>
        </w:numPr>
        <w:spacing w:before="0" w:beforeAutospacing="0" w:after="240" w:afterAutospacing="0" w:line="276" w:lineRule="auto"/>
        <w:ind w:left="2268" w:hanging="567"/>
        <w:jc w:val="both"/>
      </w:pPr>
      <w:r>
        <w:t>prezentuje wszelkie treści o charakterze politycznym, w tym między innymi internetowe reklamy polityczne;</w:t>
      </w:r>
    </w:p>
    <w:p w14:paraId="34C464A3" w14:textId="604146B7" w:rsidR="00A7406B" w:rsidRPr="00835148" w:rsidRDefault="00A7406B" w:rsidP="00F6269D">
      <w:pPr>
        <w:spacing w:after="240"/>
        <w:ind w:left="1134"/>
        <w:jc w:val="both"/>
        <w:rPr>
          <w:rFonts w:ascii="Times New Roman" w:hAnsi="Times New Roman" w:cs="Times New Roman"/>
        </w:rPr>
      </w:pPr>
      <w:r>
        <w:rPr>
          <w:rFonts w:ascii="Times New Roman" w:hAnsi="Times New Roman"/>
        </w:rPr>
        <w:t>„Internetowa reklama polityczna” ma znaczenie nadane jej w Części 4;</w:t>
      </w:r>
    </w:p>
    <w:p w14:paraId="6D559116" w14:textId="7BC1F25E" w:rsidR="00A7406B" w:rsidRPr="00835148" w:rsidRDefault="00A7406B" w:rsidP="00F6269D">
      <w:pPr>
        <w:spacing w:after="240"/>
        <w:ind w:left="1134"/>
        <w:jc w:val="both"/>
        <w:rPr>
          <w:rFonts w:ascii="Times New Roman" w:hAnsi="Times New Roman" w:cs="Times New Roman"/>
        </w:rPr>
      </w:pPr>
      <w:r>
        <w:rPr>
          <w:rFonts w:ascii="Times New Roman" w:hAnsi="Times New Roman"/>
        </w:rPr>
        <w:t xml:space="preserve">„cele polityczne” mają znaczenie nadane im przez ustęp 22(2)(aa) </w:t>
      </w:r>
      <w:hyperlink r:id="rId14">
        <w:r>
          <w:rPr>
            <w:rFonts w:ascii="Times New Roman" w:hAnsi="Times New Roman"/>
            <w:u w:val="single"/>
          </w:rPr>
          <w:t>ustawy Prawo Wyborcze z 1997 r.</w:t>
        </w:r>
      </w:hyperlink>
      <w:r>
        <w:rPr>
          <w:rFonts w:ascii="Times New Roman" w:hAnsi="Times New Roman"/>
        </w:rPr>
        <w:t>;</w:t>
      </w:r>
    </w:p>
    <w:p w14:paraId="06ABEAF6"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t>„zarządzenie w sprawie dnia głosowania” oznacza zarządzenie ministra wyznaczające dzień przeprowadzenia głosowania, które</w:t>
      </w:r>
    </w:p>
    <w:p w14:paraId="6174D846" w14:textId="5B427840"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w przypadku wyborów do Dáil – na mocy ustępu 96 </w:t>
      </w:r>
      <w:r>
        <w:rPr>
          <w:u w:val="single"/>
        </w:rPr>
        <w:t>ustawy Prawo Wyborcze z 1992 r.</w:t>
      </w:r>
      <w:r>
        <w:t>,</w:t>
      </w:r>
    </w:p>
    <w:p w14:paraId="5A99DE2E" w14:textId="31598D76"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w przypadku wyborów do Parlamentu Europejskiego – na podstawie art. 10 </w:t>
      </w:r>
      <w:r>
        <w:rPr>
          <w:u w:val="single"/>
        </w:rPr>
        <w:t>ustawy z 1997 r.</w:t>
      </w:r>
      <w:r>
        <w:t>,</w:t>
      </w:r>
    </w:p>
    <w:p w14:paraId="5BED6200" w14:textId="4DCC3C4D"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w przypadku wyborów lokalnych – na mocy ustępu 26 </w:t>
      </w:r>
      <w:r>
        <w:rPr>
          <w:u w:val="single"/>
        </w:rPr>
        <w:t>ustawy o samorządzie lokalnym z 2001 r.</w:t>
      </w:r>
      <w:r>
        <w:t>,</w:t>
      </w:r>
    </w:p>
    <w:p w14:paraId="3CD58B4B" w14:textId="6BCDDF53"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w przypadku wyborów prezydenckich – na mocy art. 6(1)(c) </w:t>
      </w:r>
      <w:r>
        <w:rPr>
          <w:u w:val="single"/>
        </w:rPr>
        <w:t>ustawy o wyborach prezydenckich z 1993 r.</w:t>
      </w:r>
    </w:p>
    <w:p w14:paraId="32498F71" w14:textId="674D884C" w:rsidR="00A7406B" w:rsidRPr="00835148" w:rsidRDefault="00120F66" w:rsidP="00F6269D">
      <w:pPr>
        <w:pStyle w:val="NormalWeb"/>
        <w:numPr>
          <w:ilvl w:val="0"/>
          <w:numId w:val="87"/>
        </w:numPr>
        <w:spacing w:before="0" w:beforeAutospacing="0" w:after="240" w:afterAutospacing="0" w:line="276" w:lineRule="auto"/>
        <w:ind w:left="2268" w:hanging="567"/>
        <w:jc w:val="both"/>
      </w:pPr>
      <w:r>
        <w:t xml:space="preserve">w przypadku referendum jest dokonywane na mocy ustępu 10 lub ustępu 12 </w:t>
      </w:r>
      <w:r>
        <w:rPr>
          <w:u w:val="single"/>
        </w:rPr>
        <w:t>ustawy z 1994 r.</w:t>
      </w:r>
      <w:r>
        <w:t>, lub</w:t>
      </w:r>
    </w:p>
    <w:p w14:paraId="4B10A3B0" w14:textId="5A7BF9AE" w:rsidR="00A7406B" w:rsidRPr="00835148" w:rsidRDefault="00A7406B" w:rsidP="00F6269D">
      <w:pPr>
        <w:pStyle w:val="NormalWeb"/>
        <w:numPr>
          <w:ilvl w:val="0"/>
          <w:numId w:val="87"/>
        </w:numPr>
        <w:spacing w:before="0" w:beforeAutospacing="0" w:after="240" w:afterAutospacing="0" w:line="276" w:lineRule="auto"/>
        <w:ind w:left="2268" w:hanging="567"/>
        <w:jc w:val="both"/>
      </w:pPr>
      <w:r>
        <w:t xml:space="preserve">w przypadku wyborów do Seanad jest dokonywane na mocy ustępu 12 </w:t>
      </w:r>
      <w:hyperlink r:id="rId15">
        <w:r>
          <w:rPr>
            <w:u w:val="single"/>
          </w:rPr>
          <w:t>Ustawy o wyborach do Seanad</w:t>
        </w:r>
      </w:hyperlink>
      <w:r>
        <w:rPr>
          <w:u w:val="single"/>
        </w:rPr>
        <w:t xml:space="preserve"> (członkowie uniwersytetów) z 1937 r. </w:t>
      </w:r>
      <w:r>
        <w:rPr>
          <w:u w:val="single"/>
        </w:rPr>
        <w:lastRenderedPageBreak/>
        <w:t>oraz na mocy ustępu 24 Ustawy o wyborach do Seanad (członkowie komisji) z 1947 r.</w:t>
      </w:r>
      <w:r>
        <w:t>;</w:t>
      </w:r>
    </w:p>
    <w:p w14:paraId="58647545" w14:textId="3C22AECB" w:rsidR="00A7406B" w:rsidRPr="00835148" w:rsidRDefault="00A7406B" w:rsidP="00F6269D">
      <w:pPr>
        <w:spacing w:after="240"/>
        <w:ind w:left="1134"/>
        <w:jc w:val="both"/>
        <w:rPr>
          <w:rFonts w:ascii="Times New Roman" w:hAnsi="Times New Roman" w:cs="Times New Roman"/>
        </w:rPr>
      </w:pPr>
      <w:r>
        <w:rPr>
          <w:rFonts w:ascii="Times New Roman" w:hAnsi="Times New Roman"/>
        </w:rPr>
        <w:t>„szkoda publiczna” oznacza wszelkie poważne zagrożenie dla uczciwości lub rzetelności wyborów lub referendum;</w:t>
      </w:r>
    </w:p>
    <w:p w14:paraId="0C6CFEF7" w14:textId="15D67F21" w:rsidR="00E76461" w:rsidRPr="00835148" w:rsidRDefault="00A7406B" w:rsidP="00AE1118">
      <w:pPr>
        <w:spacing w:after="240"/>
        <w:ind w:left="1134"/>
        <w:jc w:val="both"/>
        <w:rPr>
          <w:rFonts w:ascii="Times New Roman" w:hAnsi="Times New Roman" w:cs="Times New Roman"/>
        </w:rPr>
      </w:pPr>
      <w:r>
        <w:rPr>
          <w:rFonts w:ascii="Times New Roman" w:hAnsi="Times New Roman"/>
        </w:rPr>
        <w:t>„system rekomendujący” oznacza w pełni lub Częściowo zautomatyzowany system wykorzystywany przez platformę internetową do sugerowania w swoim interfejsie internetowym określonych informacji odbiorcom usługi, w tym w wyniku wyszukiwania zainicjowanego przez odbiorcę lub w inny sposób określający względną kolejność lub rangę wyświetlanych informacji.</w:t>
      </w:r>
    </w:p>
    <w:p w14:paraId="3DB1D383" w14:textId="68215284" w:rsidR="00FE377C" w:rsidRPr="00835148" w:rsidRDefault="00FE377C" w:rsidP="00883C74">
      <w:pPr>
        <w:pStyle w:val="Heading1"/>
      </w:pPr>
      <w:bookmarkStart w:id="14" w:name="_Toc106188826"/>
      <w:r>
        <w:t>Artykuł 2: Funkcje Komisji w zakresie internetowych informacji wyborczych oraz zachowań manipulacyjnych lub nieautentycznych</w:t>
      </w:r>
      <w:bookmarkEnd w:id="14"/>
    </w:p>
    <w:p w14:paraId="0C54829B" w14:textId="316308CA" w:rsidR="00942D49" w:rsidRPr="00835148" w:rsidRDefault="00942D49" w:rsidP="00F6269D">
      <w:pPr>
        <w:spacing w:before="240" w:after="240"/>
        <w:ind w:left="539" w:firstLine="181"/>
        <w:jc w:val="both"/>
        <w:rPr>
          <w:rFonts w:ascii="Times New Roman" w:hAnsi="Times New Roman" w:cs="Times New Roman"/>
          <w:i/>
          <w:iCs/>
          <w:szCs w:val="24"/>
        </w:rPr>
      </w:pPr>
      <w:r>
        <w:rPr>
          <w:rFonts w:ascii="Times New Roman" w:hAnsi="Times New Roman"/>
          <w:i/>
        </w:rPr>
        <w:t>Niniejszy artykuł stanowi, że:</w:t>
      </w:r>
    </w:p>
    <w:p w14:paraId="67223190" w14:textId="34F77157" w:rsidR="00D21A52" w:rsidRPr="00835148" w:rsidRDefault="00FE377C" w:rsidP="00F3736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Zadaniem Komisji jest ochrona uczciwości i rzetelności wyborów i referendów na mocy niniejszej Części.</w:t>
      </w:r>
    </w:p>
    <w:p w14:paraId="6C9CF46C" w14:textId="4AA11E7C" w:rsidR="000C3812" w:rsidRPr="00D21A52" w:rsidRDefault="00942D49" w:rsidP="00F3736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Zadaniem Komisji jest monitorowanie, badanie i zwalczanie rozpowszechniania</w:t>
      </w:r>
    </w:p>
    <w:p w14:paraId="51529193" w14:textId="081D3126" w:rsidR="000C3812" w:rsidRPr="00835148" w:rsidRDefault="00ED7DE9" w:rsidP="00F6269D">
      <w:pPr>
        <w:pStyle w:val="ListParagraph"/>
        <w:numPr>
          <w:ilvl w:val="0"/>
          <w:numId w:val="94"/>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dezinformacji oraz  </w:t>
      </w:r>
    </w:p>
    <w:p w14:paraId="37B79E0C" w14:textId="234C177C" w:rsidR="000C3812" w:rsidRPr="00835148" w:rsidRDefault="00FE377C" w:rsidP="00F6269D">
      <w:pPr>
        <w:pStyle w:val="ListParagraph"/>
        <w:numPr>
          <w:ilvl w:val="0"/>
          <w:numId w:val="94"/>
        </w:numPr>
        <w:spacing w:before="240" w:after="240"/>
        <w:ind w:left="2552" w:hanging="567"/>
        <w:contextualSpacing w:val="0"/>
        <w:jc w:val="both"/>
        <w:rPr>
          <w:rFonts w:ascii="Times New Roman" w:hAnsi="Times New Roman" w:cs="Times New Roman"/>
          <w:szCs w:val="24"/>
        </w:rPr>
      </w:pPr>
      <w:r>
        <w:rPr>
          <w:rFonts w:ascii="Times New Roman" w:hAnsi="Times New Roman"/>
        </w:rPr>
        <w:t>informacji wprowadzających w błąd.</w:t>
      </w:r>
    </w:p>
    <w:p w14:paraId="4F8B75E4" w14:textId="29D83B78" w:rsidR="00FE377C" w:rsidRPr="00835148" w:rsidRDefault="000C3812"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Zadaniem Komisji jest monitorowanie, badanie i identyfikowanie zachowań manipulacyjnych lub nieautentycznych.</w:t>
      </w:r>
    </w:p>
    <w:p w14:paraId="4446BA60" w14:textId="6C4E2247" w:rsidR="000C3812" w:rsidRPr="00835148" w:rsidRDefault="00942D49"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Zadaniem Komisji jest monitorowanie, badanie i określanie tendencji w odniesieniu do </w:t>
      </w:r>
    </w:p>
    <w:p w14:paraId="377044F4" w14:textId="09FF88CE" w:rsidR="000C3812" w:rsidRPr="00835148" w:rsidRDefault="00ED7DE9" w:rsidP="00F6269D">
      <w:pPr>
        <w:pStyle w:val="ListParagraph"/>
        <w:numPr>
          <w:ilvl w:val="0"/>
          <w:numId w:val="92"/>
        </w:numPr>
        <w:spacing w:before="240" w:after="240"/>
        <w:ind w:left="2552" w:hanging="567"/>
        <w:contextualSpacing w:val="0"/>
        <w:jc w:val="both"/>
        <w:rPr>
          <w:rFonts w:ascii="Times New Roman" w:hAnsi="Times New Roman" w:cs="Times New Roman"/>
          <w:szCs w:val="24"/>
        </w:rPr>
      </w:pPr>
      <w:r>
        <w:rPr>
          <w:rFonts w:ascii="Times New Roman" w:hAnsi="Times New Roman"/>
        </w:rPr>
        <w:t>dezinformacji,</w:t>
      </w:r>
    </w:p>
    <w:p w14:paraId="643E2791" w14:textId="07289B17" w:rsidR="000C3812" w:rsidRPr="00835148" w:rsidRDefault="00ED7DE9" w:rsidP="00F6269D">
      <w:pPr>
        <w:pStyle w:val="ListParagraph"/>
        <w:numPr>
          <w:ilvl w:val="0"/>
          <w:numId w:val="92"/>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informacji wprowadzających w błąd oraz </w:t>
      </w:r>
    </w:p>
    <w:p w14:paraId="7819807A" w14:textId="2CBADAC9" w:rsidR="00D32162" w:rsidRPr="004A5780" w:rsidRDefault="000C3812" w:rsidP="00473A30">
      <w:pPr>
        <w:pStyle w:val="ListParagraph"/>
        <w:numPr>
          <w:ilvl w:val="0"/>
          <w:numId w:val="92"/>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zachowań manipulacyjnych lub nieautentycznych. </w:t>
      </w:r>
    </w:p>
    <w:p w14:paraId="773D60C3" w14:textId="17681B0D" w:rsidR="005C2FFD" w:rsidRPr="00835148" w:rsidRDefault="005C2FFD"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Zadaniem Komisji jest promowanie świadomości społecznej w zakresie dezinformacji, informacji wprowadzających w błąd oraz zachowań manipulacyjnych lub nieautentycznych; w ramach realizacji tego zadania Komisja może tworzyć, ułatwiać lub promować programy edukacyjne lub informacyjne. </w:t>
      </w:r>
    </w:p>
    <w:p w14:paraId="690A3CDC" w14:textId="6B292A70" w:rsidR="00FE377C" w:rsidRPr="00835148" w:rsidRDefault="00942D49"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Komisja ma prawo do zawierania umów i innych porozumień z osobami lub instytucjami w kraju lub poza jego granicami.</w:t>
      </w:r>
    </w:p>
    <w:p w14:paraId="4A41A6DC" w14:textId="6711C7B0" w:rsidR="003C524C" w:rsidRPr="00835148" w:rsidRDefault="003C524C" w:rsidP="00883C74">
      <w:pPr>
        <w:pStyle w:val="Heading1"/>
      </w:pPr>
      <w:bookmarkStart w:id="15" w:name="_Toc99116947"/>
      <w:bookmarkStart w:id="16" w:name="_Toc99122327"/>
      <w:bookmarkStart w:id="17" w:name="_Toc99116948"/>
      <w:bookmarkStart w:id="18" w:name="_Toc99122328"/>
      <w:bookmarkStart w:id="19" w:name="_Toc99116949"/>
      <w:bookmarkStart w:id="20" w:name="_Toc99122329"/>
      <w:bookmarkStart w:id="21" w:name="_Toc99116950"/>
      <w:bookmarkStart w:id="22" w:name="_Toc99122330"/>
      <w:bookmarkStart w:id="23" w:name="_Toc99116951"/>
      <w:bookmarkStart w:id="24" w:name="_Toc99122331"/>
      <w:bookmarkStart w:id="25" w:name="_Toc99116952"/>
      <w:bookmarkStart w:id="26" w:name="_Toc99122332"/>
      <w:bookmarkStart w:id="27" w:name="_Toc99116953"/>
      <w:bookmarkStart w:id="28" w:name="_Toc99122333"/>
      <w:bookmarkStart w:id="29" w:name="_Toc99116954"/>
      <w:bookmarkStart w:id="30" w:name="_Toc99122334"/>
      <w:bookmarkStart w:id="31" w:name="_Toc99116955"/>
      <w:bookmarkStart w:id="32" w:name="_Toc99122335"/>
      <w:bookmarkStart w:id="33" w:name="_Toc97143726"/>
      <w:bookmarkStart w:id="34" w:name="_Toc97143727"/>
      <w:bookmarkStart w:id="35" w:name="_Toc97143728"/>
      <w:bookmarkStart w:id="36" w:name="_Toc97143729"/>
      <w:bookmarkStart w:id="37" w:name="_Toc97143730"/>
      <w:bookmarkStart w:id="38" w:name="_Toc97143731"/>
      <w:bookmarkStart w:id="39" w:name="_Toc97143732"/>
      <w:bookmarkStart w:id="40" w:name="_Toc99116956"/>
      <w:bookmarkStart w:id="41" w:name="_Toc99122336"/>
      <w:bookmarkStart w:id="42" w:name="_Toc99116957"/>
      <w:bookmarkStart w:id="43" w:name="_Toc99122337"/>
      <w:bookmarkStart w:id="44" w:name="_Toc99116958"/>
      <w:bookmarkStart w:id="45" w:name="_Toc99122338"/>
      <w:bookmarkStart w:id="46" w:name="_Toc99116959"/>
      <w:bookmarkStart w:id="47" w:name="_Toc99122339"/>
      <w:bookmarkStart w:id="48" w:name="_Toc99116960"/>
      <w:bookmarkStart w:id="49" w:name="_Toc99122340"/>
      <w:bookmarkStart w:id="50" w:name="_Toc99116961"/>
      <w:bookmarkStart w:id="51" w:name="_Toc99122341"/>
      <w:bookmarkStart w:id="52" w:name="_Toc99116962"/>
      <w:bookmarkStart w:id="53" w:name="_Toc99122342"/>
      <w:bookmarkStart w:id="54" w:name="_Toc99116963"/>
      <w:bookmarkStart w:id="55" w:name="_Toc99122343"/>
      <w:bookmarkStart w:id="56" w:name="_Toc99116964"/>
      <w:bookmarkStart w:id="57" w:name="_Toc99122344"/>
      <w:bookmarkStart w:id="58" w:name="_Toc106188827"/>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lastRenderedPageBreak/>
        <w:t xml:space="preserve">Artykuł 3: </w:t>
      </w:r>
      <w:bookmarkStart w:id="59" w:name="_Toc97143735"/>
      <w:bookmarkStart w:id="60" w:name="_Toc97143736"/>
      <w:bookmarkStart w:id="61" w:name="_Toc97143737"/>
      <w:bookmarkStart w:id="62" w:name="_Toc97143738"/>
      <w:bookmarkStart w:id="63" w:name="_Toc97143739"/>
      <w:bookmarkStart w:id="64" w:name="_Toc97143740"/>
      <w:bookmarkStart w:id="65" w:name="_Toc97143741"/>
      <w:bookmarkEnd w:id="59"/>
      <w:bookmarkEnd w:id="60"/>
      <w:bookmarkEnd w:id="61"/>
      <w:bookmarkEnd w:id="62"/>
      <w:bookmarkEnd w:id="63"/>
      <w:bookmarkEnd w:id="64"/>
      <w:bookmarkEnd w:id="65"/>
      <w:r>
        <w:t>Powołanie i rola Komitetu Doradczego</w:t>
      </w:r>
      <w:bookmarkEnd w:id="58"/>
    </w:p>
    <w:p w14:paraId="53AB2AB3" w14:textId="77777777" w:rsidR="003C524C" w:rsidRPr="00835148" w:rsidRDefault="003C524C" w:rsidP="009A3E29">
      <w:pPr>
        <w:pStyle w:val="PlainText"/>
        <w:spacing w:after="100" w:afterAutospacing="1" w:line="276" w:lineRule="auto"/>
        <w:ind w:left="720"/>
        <w:jc w:val="both"/>
        <w:rPr>
          <w:rFonts w:ascii="Times New Roman" w:hAnsi="Times New Roman" w:cs="Times New Roman"/>
          <w:i/>
          <w:iCs/>
          <w:sz w:val="24"/>
          <w:szCs w:val="24"/>
        </w:rPr>
      </w:pPr>
      <w:r>
        <w:rPr>
          <w:rFonts w:ascii="Times New Roman" w:hAnsi="Times New Roman"/>
          <w:i/>
          <w:sz w:val="24"/>
        </w:rPr>
        <w:t>Niniejszy artykuł stanowi, że:</w:t>
      </w:r>
    </w:p>
    <w:p w14:paraId="6891FAA1" w14:textId="371C70FB" w:rsidR="003C524C" w:rsidRPr="00835148" w:rsidRDefault="003C524C" w:rsidP="009A3E29">
      <w:pPr>
        <w:pStyle w:val="ListParagraph"/>
        <w:numPr>
          <w:ilvl w:val="0"/>
          <w:numId w:val="5"/>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Komisja ustanawia komitet doradczy ds. internetowych informacji wyborczych (zwany w niniejszej Części „Komitetem Doradczym”), którego zadaniem jest udzielanie Komisji porad. </w:t>
      </w:r>
    </w:p>
    <w:p w14:paraId="4348D804" w14:textId="59271A0F" w:rsidR="003C524C" w:rsidRPr="00835148" w:rsidRDefault="003C524C" w:rsidP="009A3E29">
      <w:pPr>
        <w:pStyle w:val="ListParagraph"/>
        <w:numPr>
          <w:ilvl w:val="0"/>
          <w:numId w:val="5"/>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Komitet Doradczy doradza Komisji na jej wniosek oraz, w razie potrzeby, z własnej inicjatywy w następującym zakresie: </w:t>
      </w:r>
    </w:p>
    <w:p w14:paraId="5C93F003" w14:textId="3C2AC658" w:rsidR="003C524C" w:rsidRPr="00835148" w:rsidRDefault="003C524C" w:rsidP="00F6269D">
      <w:pPr>
        <w:pStyle w:val="ListParagraph"/>
        <w:numPr>
          <w:ilvl w:val="1"/>
          <w:numId w:val="5"/>
        </w:numPr>
        <w:spacing w:before="120" w:after="120"/>
        <w:ind w:left="2552" w:hanging="567"/>
        <w:contextualSpacing w:val="0"/>
        <w:jc w:val="both"/>
        <w:rPr>
          <w:rFonts w:ascii="Times New Roman" w:hAnsi="Times New Roman" w:cs="Times New Roman"/>
          <w:szCs w:val="24"/>
        </w:rPr>
      </w:pPr>
      <w:r>
        <w:rPr>
          <w:rFonts w:ascii="Times New Roman" w:hAnsi="Times New Roman"/>
        </w:rPr>
        <w:t>charakter i skutki dezinformacji i informacji wprowadzających w błąd, oraz</w:t>
      </w:r>
    </w:p>
    <w:p w14:paraId="326B85C6" w14:textId="4010CE26" w:rsidR="003C524C" w:rsidRPr="00835148" w:rsidRDefault="003C524C" w:rsidP="00F6269D">
      <w:pPr>
        <w:pStyle w:val="ListParagraph"/>
        <w:numPr>
          <w:ilvl w:val="1"/>
          <w:numId w:val="5"/>
        </w:numPr>
        <w:spacing w:before="120" w:after="120"/>
        <w:ind w:left="2552" w:hanging="567"/>
        <w:contextualSpacing w:val="0"/>
        <w:jc w:val="both"/>
        <w:rPr>
          <w:rFonts w:ascii="Times New Roman" w:hAnsi="Times New Roman" w:cs="Times New Roman"/>
          <w:szCs w:val="24"/>
        </w:rPr>
      </w:pPr>
      <w:r>
        <w:rPr>
          <w:rFonts w:ascii="Times New Roman" w:hAnsi="Times New Roman"/>
        </w:rPr>
        <w:t>tam, gdzie jest to zasadne, na temat korzystania przez Komisję z uprawnień nadanych jej na mocy niniejszej Części.</w:t>
      </w:r>
    </w:p>
    <w:p w14:paraId="5792E561" w14:textId="22FC60AA" w:rsidR="00553883" w:rsidRDefault="003C524C" w:rsidP="009A3E29">
      <w:pPr>
        <w:pStyle w:val="ListParagraph"/>
        <w:numPr>
          <w:ilvl w:val="0"/>
          <w:numId w:val="5"/>
        </w:numPr>
        <w:spacing w:before="240" w:after="240"/>
        <w:ind w:left="1440" w:hanging="720"/>
        <w:contextualSpacing w:val="0"/>
        <w:jc w:val="both"/>
        <w:rPr>
          <w:rFonts w:ascii="Times New Roman" w:hAnsi="Times New Roman" w:cs="Times New Roman"/>
          <w:szCs w:val="24"/>
        </w:rPr>
      </w:pPr>
      <w:r>
        <w:rPr>
          <w:rFonts w:ascii="Times New Roman" w:hAnsi="Times New Roman"/>
        </w:rPr>
        <w:t>W skład Komitetu Doradczego wchodzi nie więcej niż sześć osób mianowanych przez Komisję, posiadających wiedzę specjalistyczną w następujących dziedzinach:</w:t>
      </w:r>
    </w:p>
    <w:p w14:paraId="526147D8" w14:textId="78905E2C" w:rsidR="00D22BE4" w:rsidRDefault="002765E1" w:rsidP="00553883">
      <w:pPr>
        <w:pStyle w:val="ListParagraph"/>
        <w:numPr>
          <w:ilvl w:val="1"/>
          <w:numId w:val="5"/>
        </w:numPr>
        <w:spacing w:before="240" w:after="240"/>
        <w:ind w:left="1985" w:hanging="567"/>
        <w:contextualSpacing w:val="0"/>
        <w:jc w:val="both"/>
        <w:rPr>
          <w:rFonts w:ascii="Times New Roman" w:hAnsi="Times New Roman" w:cs="Times New Roman"/>
          <w:szCs w:val="24"/>
        </w:rPr>
      </w:pPr>
      <w:r>
        <w:rPr>
          <w:rFonts w:ascii="Times New Roman" w:hAnsi="Times New Roman"/>
        </w:rPr>
        <w:t>proces wyborów i referendum w państwie,</w:t>
      </w:r>
    </w:p>
    <w:p w14:paraId="3B19984F" w14:textId="12799CAC" w:rsidR="002765E1" w:rsidRDefault="00D22BE4" w:rsidP="00553883">
      <w:pPr>
        <w:pStyle w:val="ListParagraph"/>
        <w:numPr>
          <w:ilvl w:val="1"/>
          <w:numId w:val="5"/>
        </w:numPr>
        <w:spacing w:before="240" w:after="240"/>
        <w:ind w:left="1985" w:hanging="567"/>
        <w:contextualSpacing w:val="0"/>
        <w:jc w:val="both"/>
        <w:rPr>
          <w:rFonts w:ascii="Times New Roman" w:hAnsi="Times New Roman" w:cs="Times New Roman"/>
          <w:szCs w:val="24"/>
        </w:rPr>
      </w:pPr>
      <w:r>
        <w:rPr>
          <w:rFonts w:ascii="Times New Roman" w:hAnsi="Times New Roman"/>
        </w:rPr>
        <w:t>promowanie uczciwości i rzetelności w wyborach i referendach, oraz</w:t>
      </w:r>
    </w:p>
    <w:p w14:paraId="61F7B8DF" w14:textId="379DBA95" w:rsidR="003C524C" w:rsidRPr="00835148" w:rsidRDefault="003C524C" w:rsidP="00B9195A">
      <w:pPr>
        <w:pStyle w:val="ListParagraph"/>
        <w:numPr>
          <w:ilvl w:val="1"/>
          <w:numId w:val="5"/>
        </w:numPr>
        <w:spacing w:before="240" w:after="240"/>
        <w:ind w:left="1985" w:hanging="567"/>
        <w:contextualSpacing w:val="0"/>
        <w:jc w:val="both"/>
        <w:rPr>
          <w:rFonts w:ascii="Times New Roman" w:hAnsi="Times New Roman" w:cs="Times New Roman"/>
          <w:szCs w:val="24"/>
        </w:rPr>
      </w:pPr>
      <w:r>
        <w:rPr>
          <w:rFonts w:ascii="Times New Roman" w:hAnsi="Times New Roman"/>
        </w:rPr>
        <w:t xml:space="preserve">wykorzystanie technologii informacyjnych i rozpowszechnianie informacji w internecie w kontekście wyborów i referendów. </w:t>
      </w:r>
    </w:p>
    <w:p w14:paraId="777C28D6" w14:textId="5FC15E32" w:rsidR="003C524C" w:rsidRPr="00835148" w:rsidRDefault="003C524C" w:rsidP="00883C74">
      <w:pPr>
        <w:pStyle w:val="Heading1"/>
      </w:pPr>
      <w:bookmarkStart w:id="66" w:name="_Toc97143743"/>
      <w:bookmarkStart w:id="67" w:name="_Toc97143744"/>
      <w:bookmarkStart w:id="68" w:name="_Toc97143745"/>
      <w:bookmarkStart w:id="69" w:name="_Toc97143746"/>
      <w:bookmarkStart w:id="70" w:name="_Toc97143747"/>
      <w:bookmarkStart w:id="71" w:name="_Toc106188828"/>
      <w:bookmarkEnd w:id="66"/>
      <w:bookmarkEnd w:id="67"/>
      <w:bookmarkEnd w:id="68"/>
      <w:bookmarkEnd w:id="69"/>
      <w:bookmarkEnd w:id="70"/>
      <w:r>
        <w:t>Artykuł 4: Powołanie i rola rady interesariuszy</w:t>
      </w:r>
      <w:bookmarkEnd w:id="71"/>
    </w:p>
    <w:p w14:paraId="7137942C" w14:textId="77777777" w:rsidR="003C524C" w:rsidRPr="00835148" w:rsidRDefault="003C524C" w:rsidP="009A3E29">
      <w:pPr>
        <w:pStyle w:val="PlainText"/>
        <w:spacing w:before="240" w:after="240" w:line="276" w:lineRule="auto"/>
        <w:ind w:left="720"/>
        <w:jc w:val="both"/>
        <w:rPr>
          <w:rFonts w:ascii="Times New Roman" w:hAnsi="Times New Roman" w:cs="Times New Roman"/>
          <w:sz w:val="24"/>
          <w:szCs w:val="24"/>
        </w:rPr>
      </w:pPr>
      <w:r>
        <w:rPr>
          <w:rFonts w:ascii="Times New Roman" w:hAnsi="Times New Roman"/>
          <w:i/>
          <w:sz w:val="24"/>
        </w:rPr>
        <w:t>Niniejszy artykuł stanowi, że</w:t>
      </w:r>
      <w:r>
        <w:rPr>
          <w:rFonts w:ascii="Times New Roman" w:hAnsi="Times New Roman"/>
          <w:sz w:val="24"/>
        </w:rPr>
        <w:t>:</w:t>
      </w:r>
    </w:p>
    <w:p w14:paraId="7C3C54B1" w14:textId="4C1F9939" w:rsidR="003C524C" w:rsidRPr="00835148" w:rsidRDefault="003C524C" w:rsidP="009A3E29">
      <w:pPr>
        <w:pStyle w:val="ListParagraph"/>
        <w:numPr>
          <w:ilvl w:val="0"/>
          <w:numId w:val="6"/>
        </w:numPr>
        <w:spacing w:before="240" w:after="240"/>
        <w:ind w:left="1440" w:hanging="720"/>
        <w:contextualSpacing w:val="0"/>
        <w:jc w:val="both"/>
        <w:rPr>
          <w:rFonts w:ascii="Times New Roman" w:hAnsi="Times New Roman" w:cs="Times New Roman"/>
          <w:szCs w:val="24"/>
        </w:rPr>
      </w:pPr>
      <w:r>
        <w:rPr>
          <w:rFonts w:ascii="Times New Roman" w:hAnsi="Times New Roman"/>
        </w:rPr>
        <w:t>Komisja powołuje radę interesariuszy, której zadaniem jest doradzanie Komisji w zakresie przygotowywania i stosowania kodeksów postępowania.</w:t>
      </w:r>
    </w:p>
    <w:p w14:paraId="3189FC1E" w14:textId="24C4BE64" w:rsidR="003C524C" w:rsidRPr="00771496" w:rsidRDefault="003C524C" w:rsidP="001A03EC">
      <w:pPr>
        <w:pStyle w:val="ListParagraph"/>
        <w:numPr>
          <w:ilvl w:val="0"/>
          <w:numId w:val="6"/>
        </w:numPr>
        <w:spacing w:before="240" w:after="240"/>
        <w:ind w:left="1440" w:hanging="720"/>
        <w:contextualSpacing w:val="0"/>
        <w:jc w:val="both"/>
        <w:rPr>
          <w:rFonts w:ascii="Times New Roman" w:hAnsi="Times New Roman" w:cs="Times New Roman"/>
          <w:szCs w:val="24"/>
        </w:rPr>
      </w:pPr>
      <w:r>
        <w:rPr>
          <w:rFonts w:ascii="Times New Roman" w:hAnsi="Times New Roman"/>
        </w:rPr>
        <w:t>W skład rady interesariuszy wchodzi nie więcej niż 15 osób mianowanych przez Komisję, odzwierciedlających poglądy członków Oireachtas, a także przedstawicieli mediów drukowanych, nadawanych i internetowych oraz poszczególnych partii politycznych.</w:t>
      </w:r>
    </w:p>
    <w:p w14:paraId="26AD365A" w14:textId="77777777" w:rsidR="00C47AF9" w:rsidRDefault="00C47AF9">
      <w:pPr>
        <w:spacing w:before="240" w:after="240" w:line="360" w:lineRule="auto"/>
        <w:ind w:left="1077" w:hanging="720"/>
        <w:rPr>
          <w:rFonts w:ascii="Times New Roman" w:hAnsi="Times New Roman" w:cs="Times New Roman"/>
          <w:sz w:val="26"/>
          <w:szCs w:val="26"/>
        </w:rPr>
      </w:pPr>
      <w:r>
        <w:br w:type="page"/>
      </w:r>
    </w:p>
    <w:p w14:paraId="3AC67939" w14:textId="040AA01D" w:rsidR="00AD5419" w:rsidRPr="008273CD" w:rsidRDefault="00AD5419" w:rsidP="008273CD">
      <w:pPr>
        <w:spacing w:before="480" w:after="480" w:line="360" w:lineRule="auto"/>
        <w:jc w:val="center"/>
        <w:rPr>
          <w:rFonts w:ascii="Times New Roman" w:hAnsi="Times New Roman" w:cs="Times New Roman"/>
          <w:b/>
          <w:bCs/>
          <w:sz w:val="28"/>
          <w:szCs w:val="28"/>
        </w:rPr>
      </w:pPr>
      <w:r>
        <w:rPr>
          <w:rFonts w:ascii="Times New Roman" w:hAnsi="Times New Roman"/>
          <w:b/>
          <w:sz w:val="28"/>
        </w:rPr>
        <w:lastRenderedPageBreak/>
        <w:t>Rozdział 2: Obowiązki użytkowników platform internetowych i platform internetowych</w:t>
      </w:r>
    </w:p>
    <w:p w14:paraId="202A1993" w14:textId="5E0AEEEA" w:rsidR="00BF3C23" w:rsidRDefault="00BF3C23" w:rsidP="00883C74">
      <w:pPr>
        <w:pStyle w:val="Heading1"/>
      </w:pPr>
      <w:bookmarkStart w:id="72" w:name="_Toc106188829"/>
      <w:r>
        <w:t>[Artykuł 5 usunięto]</w:t>
      </w:r>
      <w:bookmarkEnd w:id="72"/>
    </w:p>
    <w:p w14:paraId="647C6724" w14:textId="77777777" w:rsidR="00C47AF9" w:rsidRPr="00687387" w:rsidRDefault="00C47AF9" w:rsidP="00687387">
      <w:pPr>
        <w:rPr>
          <w:lang w:val="en-IE"/>
        </w:rPr>
      </w:pPr>
    </w:p>
    <w:p w14:paraId="4D5E71E3" w14:textId="02045E7F" w:rsidR="00AD5419" w:rsidRPr="00835148" w:rsidRDefault="00AD5419" w:rsidP="00883C74">
      <w:pPr>
        <w:pStyle w:val="Heading1"/>
      </w:pPr>
      <w:bookmarkStart w:id="73" w:name="_Toc106188830"/>
      <w:r>
        <w:t>Artykuł 6: Zobowiązanie platform internetowych do przekazywania informacji Komisji</w:t>
      </w:r>
      <w:bookmarkEnd w:id="73"/>
    </w:p>
    <w:p w14:paraId="3B43EF33" w14:textId="77777777" w:rsidR="00AD5419" w:rsidRPr="00835148" w:rsidRDefault="00AD5419" w:rsidP="00F6269D">
      <w:pPr>
        <w:ind w:firstLine="720"/>
        <w:jc w:val="both"/>
        <w:rPr>
          <w:rFonts w:ascii="Times New Roman" w:hAnsi="Times New Roman" w:cs="Times New Roman"/>
          <w:i/>
          <w:iCs/>
          <w:szCs w:val="24"/>
        </w:rPr>
      </w:pPr>
      <w:r>
        <w:rPr>
          <w:rFonts w:ascii="Times New Roman" w:hAnsi="Times New Roman"/>
          <w:i/>
        </w:rPr>
        <w:t>Niniejszy artykuł stanowi, że:</w:t>
      </w:r>
    </w:p>
    <w:p w14:paraId="383C5A49" w14:textId="7F5161D9"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 xml:space="preserve">Jeżeli w okresie kampanii wyborczej platforma internetowa stwierdzi, na podstawie informacji, o których wie, w tym w drodze powiadomienia otrzymanego za pośrednictwem mechanizmu składania skarg ustanowionego na mocy art. 7, że jej usługi mogą być wykorzystywane do celów: </w:t>
      </w:r>
    </w:p>
    <w:p w14:paraId="4B89BD22" w14:textId="5BACED41" w:rsidR="00357387"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dezinformacji;</w:t>
      </w:r>
    </w:p>
    <w:p w14:paraId="7E60656D" w14:textId="310E4B74"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 xml:space="preserve">informacji wprowadzających w błąd lub </w:t>
      </w:r>
    </w:p>
    <w:p w14:paraId="53200EAB" w14:textId="0C716721"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zachowań manipulacyjnych lub nieautentycznych,</w:t>
      </w:r>
    </w:p>
    <w:p w14:paraId="0FDF8A92" w14:textId="3F417B3E" w:rsidR="00AD5419" w:rsidRPr="00835148" w:rsidRDefault="00AD5419" w:rsidP="006A4A51">
      <w:pPr>
        <w:ind w:left="1418"/>
        <w:jc w:val="both"/>
        <w:rPr>
          <w:rFonts w:ascii="Times New Roman" w:hAnsi="Times New Roman" w:cs="Times New Roman"/>
          <w:szCs w:val="24"/>
        </w:rPr>
      </w:pPr>
      <w:r>
        <w:rPr>
          <w:rFonts w:ascii="Times New Roman" w:hAnsi="Times New Roman"/>
        </w:rPr>
        <w:t xml:space="preserve">bez zbędnej zwłoki powiadamia ona Komisję o takich dezinformacjach, informacjach wprowadzających w błąd, manipulacjach lub nieautentycznych zachowaniach. </w:t>
      </w:r>
    </w:p>
    <w:p w14:paraId="0DD3AB5B" w14:textId="7B6F61C1"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Bez uszczerbku dla ust. 1, platforma internetowa z ponad 1 milionem unikalnych użytkowników miesięcznie w państwie opracuje, jak najszybciej na początku okresu kampanii wyborczej, i przekaże Komisji sprawozdanie przedstawiające wszelkie znaczące zagrożenia dla uczciwości lub rzetelności wyborów lub referendum, wynikające z dezinformacji, informacji wprowadzających w błąd, manipulacji lub nieautentycznego zachowania w jej usługach.</w:t>
      </w:r>
    </w:p>
    <w:p w14:paraId="0C616AE6" w14:textId="77777777"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Sprawozdanie, o którym mowa w ust. 2, powinno zawierać co najmniej:</w:t>
      </w:r>
    </w:p>
    <w:p w14:paraId="104EACCF" w14:textId="61CD7BA3"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informacje dotyczące rozpowszechnienia istotnych dezinformacji i dezinformacji w serwisie platformy internetowej, w tym powiadomienia otrzymane w ramach art. 7,</w:t>
      </w:r>
    </w:p>
    <w:p w14:paraId="35483DF8" w14:textId="00DF3C52"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informacje dotyczące rozpowszechnienia zachowań manipulacyjnych lub nieautentycznych w serwisie platformy internetowej, w tym powiadomienia otrzymane w ramach art. 7,</w:t>
      </w:r>
    </w:p>
    <w:p w14:paraId="2F7E127C" w14:textId="77777777"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lastRenderedPageBreak/>
        <w:t>informacje dotyczące powszechności stosowania mikrotargetowania lub targetowania osób podobnych w usługach świadczonych przez platformę internetową, oraz</w:t>
      </w:r>
    </w:p>
    <w:p w14:paraId="1297EC27" w14:textId="77777777"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 xml:space="preserve">informacje dotyczące wszelkich zagrożeń związanych z działaniem systemu rekomendacji wykorzystywanego przez platformę internetową do dystrybucji i promocji treści. </w:t>
      </w:r>
    </w:p>
    <w:p w14:paraId="694B441F" w14:textId="77777777"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Informacje zawarte w sprawozdaniu, o którym mowa w ust. 2, zawierają nietechniczne streszczenia zagadnień określonych w ust. 3 lit. a)-d).</w:t>
      </w:r>
    </w:p>
    <w:p w14:paraId="07813CB2" w14:textId="4B36B192"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 xml:space="preserve">Komisja monitoruje przestrzeganie przez platformy internetowe wymogów niniejszego artykułu. </w:t>
      </w:r>
    </w:p>
    <w:p w14:paraId="629AD04A" w14:textId="4B923B99" w:rsidR="00AD5419" w:rsidRPr="00835148" w:rsidRDefault="00AD5419" w:rsidP="00883C74">
      <w:pPr>
        <w:pStyle w:val="Heading1"/>
      </w:pPr>
      <w:bookmarkStart w:id="74" w:name="_Toc106188831"/>
      <w:r>
        <w:t>Artykuł 7: Obowiązek wprowadzenia przez platformę internetową mechanizmu powiadamiania</w:t>
      </w:r>
      <w:bookmarkEnd w:id="74"/>
    </w:p>
    <w:p w14:paraId="6835A50F" w14:textId="77777777" w:rsidR="00AD5419" w:rsidRPr="00835148" w:rsidRDefault="00AD5419" w:rsidP="00F6269D">
      <w:pPr>
        <w:ind w:firstLine="720"/>
        <w:jc w:val="both"/>
        <w:rPr>
          <w:rFonts w:ascii="Times New Roman" w:hAnsi="Times New Roman" w:cs="Times New Roman"/>
          <w:i/>
          <w:iCs/>
          <w:szCs w:val="24"/>
        </w:rPr>
      </w:pPr>
      <w:r>
        <w:rPr>
          <w:rFonts w:ascii="Times New Roman" w:hAnsi="Times New Roman"/>
          <w:i/>
        </w:rPr>
        <w:t>Niniejszy artykuł stanowi, że:</w:t>
      </w:r>
    </w:p>
    <w:p w14:paraId="5FBA12E7" w14:textId="77777777" w:rsidR="00357387" w:rsidRPr="00835148" w:rsidRDefault="00AD5419" w:rsidP="009A3E29">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Platformy internetowe wprowadzają mechanizmy umożliwiające każdej osobie fizycznej lub podmiotowi powiadomienie ich o obecności na platformach informacji, które dana osoba fizyczna lub podmiot uważa za</w:t>
      </w:r>
    </w:p>
    <w:p w14:paraId="6D0A2C27" w14:textId="0F19D841" w:rsidR="00AD5419" w:rsidRPr="00835148" w:rsidRDefault="00357387" w:rsidP="009A3E29">
      <w:pPr>
        <w:pStyle w:val="ListParagraph"/>
        <w:widowControl w:val="0"/>
        <w:numPr>
          <w:ilvl w:val="0"/>
          <w:numId w:val="96"/>
        </w:numPr>
        <w:autoSpaceDE w:val="0"/>
        <w:autoSpaceDN w:val="0"/>
        <w:spacing w:before="240" w:after="240"/>
        <w:ind w:left="2552" w:hanging="567"/>
        <w:contextualSpacing w:val="0"/>
        <w:jc w:val="both"/>
        <w:rPr>
          <w:rFonts w:ascii="Times New Roman" w:hAnsi="Times New Roman" w:cs="Times New Roman"/>
          <w:szCs w:val="24"/>
        </w:rPr>
      </w:pPr>
      <w:r>
        <w:rPr>
          <w:rFonts w:ascii="Times New Roman" w:hAnsi="Times New Roman"/>
        </w:rPr>
        <w:t>dezinformację lub</w:t>
      </w:r>
    </w:p>
    <w:p w14:paraId="614CC978" w14:textId="6D89ED82" w:rsidR="00357387" w:rsidRPr="00835148" w:rsidRDefault="00357387" w:rsidP="00F6269D">
      <w:pPr>
        <w:pStyle w:val="ListParagraph"/>
        <w:widowControl w:val="0"/>
        <w:numPr>
          <w:ilvl w:val="0"/>
          <w:numId w:val="96"/>
        </w:numPr>
        <w:autoSpaceDE w:val="0"/>
        <w:autoSpaceDN w:val="0"/>
        <w:spacing w:before="240" w:after="240"/>
        <w:ind w:left="2552" w:hanging="567"/>
        <w:contextualSpacing w:val="0"/>
        <w:jc w:val="both"/>
        <w:rPr>
          <w:rFonts w:ascii="Times New Roman" w:hAnsi="Times New Roman" w:cs="Times New Roman"/>
          <w:szCs w:val="24"/>
        </w:rPr>
      </w:pPr>
      <w:r>
        <w:rPr>
          <w:rFonts w:ascii="Times New Roman" w:hAnsi="Times New Roman"/>
        </w:rPr>
        <w:t>informacje wprowadzające w błąd.</w:t>
      </w:r>
    </w:p>
    <w:p w14:paraId="3A4CD01A" w14:textId="7C4307B8"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Platformy internetowe powinny wprowadzić mechanizmy umożliwiające każdej osobie lub podmiotowi powiadomienie ich o obecności w ich serwisie określonych działań lub zachowań związanych z internetowymi informacjami wyborczymi, które dana osoba lub podmiot uważa za przejaw manipulacji lub nieautentycznego zachowania.</w:t>
      </w:r>
    </w:p>
    <w:p w14:paraId="2FD839B5" w14:textId="2B7AE74B"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Mechanizmy, o których mowa w ust. 1 i 2, są łatwo dostępne, przyjazne dla użytkownika i umożliwiają składanie zgłoszeń wyłącznie drogą elektroniczną.</w:t>
      </w:r>
    </w:p>
    <w:p w14:paraId="152A9A71" w14:textId="77777777"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 xml:space="preserve">Platformy internetowe bez zbędnej zwłoki oceniają, przetwarzają i ustalają zasadność zastrzeżeń zgłoszonych w zawiadomieniach otrzymanych na podstawie ust. 1 lub 2. </w:t>
      </w:r>
    </w:p>
    <w:p w14:paraId="1E7391AE" w14:textId="6613006E"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 xml:space="preserve">Platformy internetowe przechowują dokumentację wszystkich zgłoszeń otrzymanych na podstawie ust. 1 lub 2 oraz wyników procesu decyzyjnego, o którym mowa w ust. 4, przez okres dwóch lat od zakończenia danego okresu wyborczego. </w:t>
      </w:r>
    </w:p>
    <w:p w14:paraId="52A895A1" w14:textId="77777777"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Platformy internetowe udostępniają Komisji zapisy, o których mowa w pkt 5, do wglądu po uprzednim powiadomieniu.</w:t>
      </w:r>
    </w:p>
    <w:p w14:paraId="2A6361BF" w14:textId="6F696EA4" w:rsidR="00AD5419" w:rsidRPr="008273CD" w:rsidRDefault="00AD5419" w:rsidP="008273CD">
      <w:pPr>
        <w:pStyle w:val="Heading1"/>
        <w:jc w:val="center"/>
        <w:rPr>
          <w:sz w:val="28"/>
          <w:szCs w:val="28"/>
        </w:rPr>
      </w:pPr>
      <w:bookmarkStart w:id="75" w:name="_Toc106188832"/>
      <w:r>
        <w:rPr>
          <w:sz w:val="28"/>
        </w:rPr>
        <w:lastRenderedPageBreak/>
        <w:t>Rozdział 3: Uprawnienia Komisji</w:t>
      </w:r>
      <w:bookmarkEnd w:id="75"/>
    </w:p>
    <w:p w14:paraId="289914F5" w14:textId="47AA4F6A" w:rsidR="00511749" w:rsidRPr="00835148" w:rsidRDefault="00511749" w:rsidP="00883C74">
      <w:pPr>
        <w:pStyle w:val="Heading1"/>
      </w:pPr>
      <w:bookmarkStart w:id="76" w:name="_Toc106188833"/>
      <w:r>
        <w:t>Artykuł 8: Monitorowanie przez Komisję internetowych informacji wyborczych i związane z tym dochodzenia</w:t>
      </w:r>
      <w:bookmarkEnd w:id="76"/>
    </w:p>
    <w:p w14:paraId="13C5C8C8" w14:textId="77777777" w:rsidR="00511749" w:rsidRPr="00835148" w:rsidRDefault="00511749" w:rsidP="00F6269D">
      <w:pPr>
        <w:ind w:left="720"/>
        <w:jc w:val="both"/>
        <w:rPr>
          <w:rFonts w:ascii="Times New Roman" w:hAnsi="Times New Roman" w:cs="Times New Roman"/>
          <w:i/>
          <w:iCs/>
          <w:szCs w:val="24"/>
        </w:rPr>
      </w:pPr>
      <w:r>
        <w:rPr>
          <w:rFonts w:ascii="Times New Roman" w:hAnsi="Times New Roman"/>
          <w:i/>
        </w:rPr>
        <w:t>Niniejszy artykuł stanowi, że:</w:t>
      </w:r>
    </w:p>
    <w:p w14:paraId="66CE0B62" w14:textId="4CCCD462" w:rsidR="00E5016A" w:rsidRDefault="00511749" w:rsidP="009A3E29">
      <w:pPr>
        <w:pStyle w:val="ListParagraph"/>
        <w:numPr>
          <w:ilvl w:val="0"/>
          <w:numId w:val="33"/>
        </w:numPr>
        <w:spacing w:before="240" w:after="240"/>
        <w:ind w:left="1440" w:hanging="720"/>
        <w:contextualSpacing w:val="0"/>
        <w:jc w:val="both"/>
        <w:rPr>
          <w:rFonts w:ascii="Times New Roman" w:hAnsi="Times New Roman" w:cs="Times New Roman"/>
          <w:szCs w:val="24"/>
        </w:rPr>
      </w:pPr>
      <w:r>
        <w:rPr>
          <w:rFonts w:ascii="Times New Roman" w:hAnsi="Times New Roman"/>
        </w:rPr>
        <w:t>W celu wypełnienia swoich funkcji wynikających z niniejszej Części Komisja może monitorować informacje wyborcze w internecie.</w:t>
      </w:r>
    </w:p>
    <w:p w14:paraId="3AB5845D" w14:textId="4C6193A3" w:rsidR="009329AD" w:rsidRPr="00835148" w:rsidRDefault="00E5016A" w:rsidP="009A3E29">
      <w:pPr>
        <w:pStyle w:val="ListParagraph"/>
        <w:numPr>
          <w:ilvl w:val="0"/>
          <w:numId w:val="33"/>
        </w:numPr>
        <w:spacing w:before="240" w:after="240"/>
        <w:ind w:left="1440" w:hanging="720"/>
        <w:contextualSpacing w:val="0"/>
        <w:jc w:val="both"/>
        <w:rPr>
          <w:rFonts w:ascii="Times New Roman" w:hAnsi="Times New Roman" w:cs="Times New Roman"/>
          <w:szCs w:val="24"/>
        </w:rPr>
      </w:pPr>
      <w:r>
        <w:rPr>
          <w:rFonts w:ascii="Times New Roman" w:hAnsi="Times New Roman"/>
        </w:rPr>
        <w:t>Jeżeli Komisja ma powody sądzić, że określone informacje wyborcze dostępne w internecie mogą</w:t>
      </w:r>
    </w:p>
    <w:p w14:paraId="6622CAD7" w14:textId="31832706" w:rsidR="009329AD" w:rsidRPr="00835148" w:rsidRDefault="00860ECF" w:rsidP="009A3E29">
      <w:pPr>
        <w:pStyle w:val="ListParagraph"/>
        <w:numPr>
          <w:ilvl w:val="0"/>
          <w:numId w:val="97"/>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stanowić dezinformację, </w:t>
      </w:r>
    </w:p>
    <w:p w14:paraId="213C4AC6" w14:textId="4414EA39" w:rsidR="009329AD" w:rsidRPr="00835148" w:rsidRDefault="00860ECF" w:rsidP="009A3E29">
      <w:pPr>
        <w:pStyle w:val="ListParagraph"/>
        <w:numPr>
          <w:ilvl w:val="0"/>
          <w:numId w:val="97"/>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stanowić informacje wprowadzające w błąd lub </w:t>
      </w:r>
    </w:p>
    <w:p w14:paraId="2C5B9D73" w14:textId="716A748E" w:rsidR="009329AD" w:rsidRPr="00835148" w:rsidRDefault="00511749" w:rsidP="009A3E29">
      <w:pPr>
        <w:pStyle w:val="ListParagraph"/>
        <w:numPr>
          <w:ilvl w:val="0"/>
          <w:numId w:val="97"/>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obejmować manipulacyjne lub nieautentyczne zachowania, w tym korzystanie z nieujawnionych botów, </w:t>
      </w:r>
    </w:p>
    <w:p w14:paraId="25B468F7" w14:textId="1C06625A" w:rsidR="00511749" w:rsidRPr="00835148" w:rsidRDefault="00427476" w:rsidP="00F6269D">
      <w:pPr>
        <w:spacing w:before="240" w:after="240"/>
        <w:ind w:left="1440"/>
        <w:jc w:val="both"/>
        <w:rPr>
          <w:rFonts w:ascii="Times New Roman" w:hAnsi="Times New Roman" w:cs="Times New Roman"/>
          <w:szCs w:val="24"/>
        </w:rPr>
      </w:pPr>
      <w:r>
        <w:rPr>
          <w:rFonts w:ascii="Times New Roman" w:hAnsi="Times New Roman"/>
        </w:rPr>
        <w:t xml:space="preserve">Komisja może zbadać lub przeprowadzić dochodzenie albo wyznaczyć upoważnionego urzędnika do zbadania lub przeprowadzenia dochodzenia w każdej takiej sprawie. </w:t>
      </w:r>
    </w:p>
    <w:p w14:paraId="152B8A13" w14:textId="06DA3EBB" w:rsidR="00511749" w:rsidRDefault="00511749" w:rsidP="009A3E29">
      <w:pPr>
        <w:pStyle w:val="ListParagraph"/>
        <w:numPr>
          <w:ilvl w:val="0"/>
          <w:numId w:val="3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Komisja może przeprowadzić takie dochodzenia, jakie uzna za stosowne, lub zlecić przeprowadzenie takich dochodzeń upoważnionemu urzędnikowi, a Komisja lub upoważniony urzędnik może zażądać od dowolnej osoby niezwłocznego dostarczenia wszelkich informacji, dokumentów lub rzeczy znajdujących się w posiadaniu lub pozyskanych przez tę osobę, których Komisja lub upoważniony urzędnik może zażądać do celów dochodzenia.  </w:t>
      </w:r>
    </w:p>
    <w:p w14:paraId="20B38135" w14:textId="64297FA6" w:rsidR="0038298A" w:rsidRDefault="0038298A" w:rsidP="0096718D">
      <w:pPr>
        <w:pStyle w:val="ListParagraph"/>
        <w:numPr>
          <w:ilvl w:val="0"/>
          <w:numId w:val="33"/>
        </w:numPr>
        <w:ind w:left="1418" w:hanging="709"/>
        <w:jc w:val="both"/>
        <w:rPr>
          <w:rFonts w:ascii="Times New Roman" w:hAnsi="Times New Roman" w:cs="Times New Roman"/>
          <w:szCs w:val="24"/>
        </w:rPr>
      </w:pPr>
      <w:r>
        <w:rPr>
          <w:rFonts w:ascii="Times New Roman" w:hAnsi="Times New Roman"/>
        </w:rPr>
        <w:t xml:space="preserve">Wszelkie uprawnienia śledcze upoważnionych funkcjonariuszy, wykonywane na podstawie Części 4 w odniesieniu do internetowych reklam politycznych lub w inny sposób, są wykonywane odpowiednio w odniesieniu do funkcji Komisji na podstawie niniejszej Części w podobny sposób w odniesieniu do fałszywych [lub wprowadzających w błąd] internetowych informacji wyborczych oraz zachowań manipulacyjnych lub nieautentycznych. </w:t>
      </w:r>
    </w:p>
    <w:p w14:paraId="2712EF5A" w14:textId="77777777" w:rsidR="000F1EE0" w:rsidRPr="00E4201E" w:rsidRDefault="000F1EE0" w:rsidP="0054587C">
      <w:pPr>
        <w:pStyle w:val="ListParagraph"/>
        <w:ind w:left="1418"/>
        <w:jc w:val="both"/>
        <w:rPr>
          <w:rFonts w:ascii="Times New Roman" w:hAnsi="Times New Roman" w:cs="Times New Roman"/>
          <w:szCs w:val="24"/>
        </w:rPr>
      </w:pPr>
    </w:p>
    <w:p w14:paraId="3BACAD69" w14:textId="6045B43A" w:rsidR="000F1EE0" w:rsidRPr="008273CD" w:rsidRDefault="000F1EE0" w:rsidP="008273CD">
      <w:pPr>
        <w:pStyle w:val="ListParagraph"/>
        <w:numPr>
          <w:ilvl w:val="0"/>
          <w:numId w:val="33"/>
        </w:numPr>
        <w:ind w:left="1418" w:hanging="709"/>
        <w:jc w:val="both"/>
        <w:rPr>
          <w:rFonts w:ascii="Times New Roman" w:hAnsi="Times New Roman" w:cs="Times New Roman"/>
          <w:szCs w:val="24"/>
        </w:rPr>
      </w:pPr>
      <w:r>
        <w:rPr>
          <w:rFonts w:ascii="Times New Roman" w:hAnsi="Times New Roman"/>
        </w:rPr>
        <w:t>Jeżeli upoważniony urzędnik przekaże Komisji raport dotyczący fałszywych [lub wprowadzających w błąd] internetowych informacji wyborczych lub zachowań manipulacyjnych lub nieautentycznych zgodnie z punktem (5), Komisja rozpatrzy ten raport, wszelkie złożone oświadczenia i wszelkie zalecenia przedstawione przez upoważnionego urzędnika lub pracownika Komisji.</w:t>
      </w:r>
    </w:p>
    <w:p w14:paraId="0E40789A" w14:textId="77777777" w:rsidR="000F1EE0" w:rsidRPr="00E4201E" w:rsidRDefault="000F1EE0" w:rsidP="0054587C">
      <w:pPr>
        <w:pStyle w:val="ListParagraph"/>
        <w:rPr>
          <w:rFonts w:ascii="Times New Roman" w:hAnsi="Times New Roman" w:cs="Times New Roman"/>
          <w:szCs w:val="24"/>
        </w:rPr>
      </w:pPr>
    </w:p>
    <w:p w14:paraId="6A855A3A" w14:textId="59A4C9CA" w:rsidR="000F1EE0" w:rsidRPr="008273CD" w:rsidRDefault="000F1EE0" w:rsidP="008273CD">
      <w:pPr>
        <w:pStyle w:val="ListParagraph"/>
        <w:numPr>
          <w:ilvl w:val="0"/>
          <w:numId w:val="33"/>
        </w:numPr>
        <w:ind w:left="1418" w:hanging="709"/>
        <w:jc w:val="both"/>
        <w:rPr>
          <w:rFonts w:ascii="Times New Roman" w:hAnsi="Times New Roman" w:cs="Times New Roman"/>
          <w:szCs w:val="24"/>
        </w:rPr>
      </w:pPr>
      <w:r>
        <w:rPr>
          <w:rFonts w:ascii="Times New Roman" w:hAnsi="Times New Roman"/>
        </w:rPr>
        <w:lastRenderedPageBreak/>
        <w:t xml:space="preserve">Komisja może, jeżeli uzna to za stosowne, wezwać osobę, co do której upoważniony urzędnik lub pracownik Komisji ma uzasadnione podstawy, by sądzić, że może naruszać, naruszała lub narusza swoje obowiązki wynikające z niniejszej Części, do złożenia w określonym przez nią terminie dalszych pisemnych wyjaśnień w odniesieniu do opinii i sprawozdania przedstawionego Komisji przez upoważnionego urzędnika lub pracownika. </w:t>
      </w:r>
    </w:p>
    <w:p w14:paraId="3F5C6539" w14:textId="77777777" w:rsidR="000F1EE0" w:rsidRPr="00E4201E" w:rsidRDefault="000F1EE0" w:rsidP="0054587C">
      <w:pPr>
        <w:pStyle w:val="ListParagraph"/>
        <w:rPr>
          <w:rFonts w:ascii="Times New Roman" w:hAnsi="Times New Roman" w:cs="Times New Roman"/>
          <w:szCs w:val="24"/>
        </w:rPr>
      </w:pPr>
    </w:p>
    <w:p w14:paraId="22FB839C" w14:textId="77777777" w:rsidR="000F1EE0" w:rsidRDefault="000F1EE0" w:rsidP="000F1EE0">
      <w:pPr>
        <w:pStyle w:val="ListParagraph"/>
        <w:numPr>
          <w:ilvl w:val="0"/>
          <w:numId w:val="33"/>
        </w:numPr>
        <w:ind w:left="1418" w:hanging="709"/>
        <w:jc w:val="both"/>
        <w:rPr>
          <w:rFonts w:ascii="Times New Roman" w:hAnsi="Times New Roman" w:cs="Times New Roman"/>
          <w:szCs w:val="24"/>
        </w:rPr>
      </w:pPr>
      <w:r>
        <w:rPr>
          <w:rFonts w:ascii="Times New Roman" w:hAnsi="Times New Roman"/>
        </w:rPr>
        <w:t xml:space="preserve">Po rozpatrzeniu sprawozdania i wszelkich zaleceń upoważnionego urzędnika, o którym mowa w ustępie 5, lub członka personelu Komisji oraz wszelkich dalszych wniosków, o których mowa w ustępie 6, Komisja może </w:t>
      </w:r>
    </w:p>
    <w:p w14:paraId="21B60AE3" w14:textId="77777777" w:rsidR="000F1EE0" w:rsidRPr="00E4201E" w:rsidRDefault="000F1EE0" w:rsidP="000F1EE0">
      <w:pPr>
        <w:pStyle w:val="ListParagraph"/>
        <w:ind w:left="1418"/>
        <w:jc w:val="both"/>
        <w:rPr>
          <w:rFonts w:ascii="Times New Roman" w:hAnsi="Times New Roman" w:cs="Times New Roman"/>
          <w:szCs w:val="24"/>
        </w:rPr>
      </w:pPr>
    </w:p>
    <w:p w14:paraId="4E1883A8" w14:textId="77777777" w:rsidR="000F1EE0"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nie podejmować dalszych działań, </w:t>
      </w:r>
    </w:p>
    <w:p w14:paraId="096B7143" w14:textId="6182660B" w:rsidR="000F1EE0"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jeżeli uzyska przekonanie, że dochodzi lub doszło do naruszenia przepisów, wykonać wszelkie uprawnienia przysługujące jej zgodnie z postanowieniami art. 10 w stosunku do osób, które zdaniem Komisji naruszają lub naruszyły wymagania niniejszej Części, </w:t>
      </w:r>
    </w:p>
    <w:p w14:paraId="42E86358" w14:textId="77777777" w:rsidR="000F1EE0"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opublikować sprawozdanie z dochodzenia, lub </w:t>
      </w:r>
    </w:p>
    <w:p w14:paraId="545E55B5" w14:textId="02825785" w:rsidR="000F1EE0" w:rsidRPr="0054587C"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t>jeżeli uzyska przekonanie, że ma lub miał miejsce przypadek naruszenia prawa, wnieść oskarżenie w związku z przestępstwem, które mogło zostać popełnione zgodnie z postanowieniami art. 24, 25 i 26.</w:t>
      </w:r>
    </w:p>
    <w:p w14:paraId="7DA53FB5" w14:textId="77777777" w:rsidR="0038298A" w:rsidRPr="00E4201E" w:rsidRDefault="0038298A" w:rsidP="0096718D">
      <w:pPr>
        <w:pStyle w:val="ListParagraph"/>
        <w:spacing w:before="240" w:after="240"/>
        <w:ind w:left="1440"/>
        <w:contextualSpacing w:val="0"/>
        <w:jc w:val="both"/>
        <w:rPr>
          <w:rFonts w:ascii="Times New Roman" w:hAnsi="Times New Roman" w:cs="Times New Roman"/>
          <w:szCs w:val="24"/>
        </w:rPr>
      </w:pPr>
    </w:p>
    <w:p w14:paraId="57A69D5C" w14:textId="27364FBC" w:rsidR="00231DDE" w:rsidRPr="00883C74" w:rsidRDefault="00231DDE" w:rsidP="003354AE">
      <w:pPr>
        <w:pStyle w:val="Heading1"/>
      </w:pPr>
      <w:bookmarkStart w:id="77" w:name="_Toc106188834"/>
      <w:r>
        <w:t>Artykuł 8A: Przekazanie uprawnień Komisji dyrektorowi naczelnemu [lub innemu członkowi Komisji]</w:t>
      </w:r>
      <w:r w:rsidR="00850779" w:rsidRPr="00883C74">
        <w:rPr>
          <w:rStyle w:val="FootnoteReference"/>
          <w:vertAlign w:val="baseline"/>
        </w:rPr>
        <w:footnoteReference w:id="1"/>
      </w:r>
      <w:bookmarkEnd w:id="77"/>
    </w:p>
    <w:p w14:paraId="3C449259" w14:textId="12A9880E" w:rsidR="009F7ED4" w:rsidRPr="004A5780" w:rsidRDefault="009F7ED4" w:rsidP="004A5780">
      <w:pPr>
        <w:ind w:left="720"/>
        <w:jc w:val="both"/>
        <w:rPr>
          <w:rFonts w:ascii="Times New Roman" w:hAnsi="Times New Roman" w:cs="Times New Roman"/>
          <w:i/>
          <w:iCs/>
          <w:szCs w:val="24"/>
        </w:rPr>
      </w:pPr>
      <w:r>
        <w:rPr>
          <w:rFonts w:ascii="Times New Roman" w:hAnsi="Times New Roman"/>
          <w:i/>
        </w:rPr>
        <w:t>Niniejszy artykuł stanowi, że:</w:t>
      </w:r>
    </w:p>
    <w:p w14:paraId="69D002F6" w14:textId="32158218" w:rsidR="00473A30" w:rsidRDefault="00AE2D7B" w:rsidP="00473A30">
      <w:pPr>
        <w:pStyle w:val="ListParagraph"/>
        <w:numPr>
          <w:ilvl w:val="0"/>
          <w:numId w:val="125"/>
        </w:numPr>
        <w:ind w:hanging="731"/>
        <w:jc w:val="both"/>
        <w:rPr>
          <w:rFonts w:ascii="Times New Roman" w:hAnsi="Times New Roman" w:cs="Times New Roman"/>
        </w:rPr>
      </w:pPr>
      <w:r>
        <w:rPr>
          <w:rFonts w:ascii="Times New Roman" w:hAnsi="Times New Roman"/>
        </w:rPr>
        <w:t>Komisja może, w drodze zarządzenia, przekazać wykonywanie swoich uprawnień w ramach art. 10, które Komisja uzna za właściwe, dyrektorowi naczelnemu Komisji [lub innemu członkowi Komisji], a dyrektor naczelny [lub inny członek Komisji] wykonuje takie obowiązki, jakie są właściwe dla przekazanych w ten sposób uprawnień, i działa w tym celu zamiast Komisji.</w:t>
      </w:r>
    </w:p>
    <w:p w14:paraId="0566BE66" w14:textId="77777777" w:rsidR="00473A30" w:rsidRPr="00E4201E" w:rsidRDefault="00473A30" w:rsidP="004A5780">
      <w:pPr>
        <w:pStyle w:val="ListParagraph"/>
        <w:ind w:left="1440"/>
        <w:jc w:val="both"/>
        <w:rPr>
          <w:rFonts w:ascii="Times New Roman" w:hAnsi="Times New Roman" w:cs="Times New Roman"/>
        </w:rPr>
      </w:pPr>
    </w:p>
    <w:p w14:paraId="56FF6D4A" w14:textId="77777777" w:rsidR="00B95721" w:rsidRPr="00406C29" w:rsidRDefault="008B169A" w:rsidP="00B95721">
      <w:pPr>
        <w:pStyle w:val="ListParagraph"/>
        <w:numPr>
          <w:ilvl w:val="0"/>
          <w:numId w:val="125"/>
        </w:numPr>
        <w:ind w:hanging="731"/>
        <w:jc w:val="both"/>
        <w:rPr>
          <w:rFonts w:ascii="Times New Roman" w:hAnsi="Times New Roman" w:cs="Times New Roman"/>
        </w:rPr>
      </w:pPr>
      <w:r>
        <w:rPr>
          <w:rFonts w:ascii="Times New Roman" w:hAnsi="Times New Roman"/>
        </w:rPr>
        <w:t>W przypadku przekazania uprawnień na podstawie ust. 2</w:t>
      </w:r>
    </w:p>
    <w:p w14:paraId="37E49455" w14:textId="34697F8D" w:rsidR="00B95721" w:rsidRPr="00E4201E" w:rsidRDefault="00B95721" w:rsidP="00B95721">
      <w:pPr>
        <w:pStyle w:val="ListParagraph"/>
        <w:ind w:left="1440"/>
        <w:jc w:val="both"/>
        <w:rPr>
          <w:rFonts w:ascii="Times New Roman" w:hAnsi="Times New Roman" w:cs="Times New Roman"/>
        </w:rPr>
      </w:pPr>
    </w:p>
    <w:p w14:paraId="2DCCB182" w14:textId="2E16730A" w:rsidR="00B95721" w:rsidRPr="008B169A" w:rsidRDefault="00B95721" w:rsidP="00B95721">
      <w:pPr>
        <w:pStyle w:val="ListParagraph"/>
        <w:spacing w:before="240" w:after="240"/>
        <w:ind w:left="2127" w:hanging="698"/>
        <w:jc w:val="both"/>
        <w:rPr>
          <w:rFonts w:ascii="Times New Roman" w:hAnsi="Times New Roman" w:cs="Times New Roman"/>
          <w:szCs w:val="24"/>
        </w:rPr>
      </w:pPr>
      <w:r>
        <w:rPr>
          <w:rFonts w:ascii="Times New Roman" w:hAnsi="Times New Roman"/>
        </w:rPr>
        <w:lastRenderedPageBreak/>
        <w:t>(a)</w:t>
      </w:r>
      <w:r>
        <w:rPr>
          <w:rFonts w:ascii="Times New Roman" w:hAnsi="Times New Roman"/>
        </w:rPr>
        <w:tab/>
        <w:t>dyrektor naczelny Komisji [lub inny członek Komisji] wykonuje przekazane uprawnienia pod ogólnym kierownictwem i kontrolą Komisji,</w:t>
      </w:r>
    </w:p>
    <w:p w14:paraId="20C29B06" w14:textId="77777777" w:rsidR="00B95721" w:rsidRPr="00E4201E" w:rsidRDefault="00B95721" w:rsidP="00B95721">
      <w:pPr>
        <w:pStyle w:val="ListParagraph"/>
        <w:spacing w:before="240" w:after="240"/>
        <w:jc w:val="both"/>
        <w:rPr>
          <w:rFonts w:ascii="Times New Roman" w:hAnsi="Times New Roman" w:cs="Times New Roman"/>
          <w:szCs w:val="24"/>
        </w:rPr>
      </w:pPr>
    </w:p>
    <w:p w14:paraId="64C20401" w14:textId="2C049A18" w:rsidR="00B95721" w:rsidRPr="008B169A" w:rsidRDefault="00B95721" w:rsidP="00B95721">
      <w:pPr>
        <w:pStyle w:val="ListParagraph"/>
        <w:spacing w:before="240" w:after="240"/>
        <w:ind w:left="2127" w:hanging="698"/>
        <w:jc w:val="both"/>
        <w:rPr>
          <w:rFonts w:ascii="Times New Roman" w:hAnsi="Times New Roman" w:cs="Times New Roman"/>
          <w:szCs w:val="24"/>
        </w:rPr>
      </w:pPr>
      <w:r>
        <w:rPr>
          <w:rFonts w:ascii="Times New Roman" w:hAnsi="Times New Roman"/>
        </w:rPr>
        <w:t>(b)</w:t>
      </w:r>
      <w:r>
        <w:rPr>
          <w:rFonts w:ascii="Times New Roman" w:hAnsi="Times New Roman"/>
        </w:rPr>
        <w:tab/>
        <w:t>dyrektor naczelny Komisji [lub inny członek Komisji] wykonuje przekazane uprawnienia zgodnie z takimi (ewentualnymi) ograniczeniami, jakie mogą być określone w przekazanych uprawnieniach, dotyczącymi okresu lub zakresu, w jakim ma on wykonywać te uprawnienia,</w:t>
      </w:r>
    </w:p>
    <w:p w14:paraId="02207781" w14:textId="77777777" w:rsidR="00B95721" w:rsidRPr="00E4201E" w:rsidRDefault="00B95721" w:rsidP="00B95721">
      <w:pPr>
        <w:pStyle w:val="ListParagraph"/>
        <w:spacing w:before="240" w:after="240"/>
        <w:jc w:val="both"/>
        <w:rPr>
          <w:rFonts w:ascii="Times New Roman" w:hAnsi="Times New Roman" w:cs="Times New Roman"/>
          <w:szCs w:val="24"/>
        </w:rPr>
      </w:pPr>
    </w:p>
    <w:p w14:paraId="32953AE0" w14:textId="4262B65A" w:rsidR="00B95721" w:rsidRDefault="00B95721" w:rsidP="00B95721">
      <w:pPr>
        <w:pStyle w:val="ListParagraph"/>
        <w:spacing w:before="240" w:after="240"/>
        <w:ind w:left="2127" w:hanging="698"/>
        <w:contextualSpacing w:val="0"/>
        <w:jc w:val="both"/>
        <w:rPr>
          <w:rFonts w:ascii="Times New Roman" w:hAnsi="Times New Roman" w:cs="Times New Roman"/>
          <w:szCs w:val="24"/>
        </w:rPr>
      </w:pPr>
      <w:r>
        <w:rPr>
          <w:rFonts w:ascii="Times New Roman" w:hAnsi="Times New Roman"/>
        </w:rPr>
        <w:t>(c)</w:t>
      </w:r>
      <w:r>
        <w:rPr>
          <w:rFonts w:ascii="Times New Roman" w:hAnsi="Times New Roman"/>
        </w:rPr>
        <w:tab/>
        <w:t>przepisy niniejszej lub jakiejkolwiek innej ustawy, które nadają Komisji uprawnienia lub regulują sposób, w jaki uprawnienia mają być wykonywane, jeżeli i w zakresie, w jakim dotyczy to nadanych uprawnień, wywołują skutki, do celów wykonywania uprawnień przez dyrektora naczelnego [lub innego członka Komisji], z zastąpieniem dyrektora naczelnego Komisji [lub innego członka Komisji] przez Komisję, a każdy taki przepis odczytuje się odpowiednio.</w:t>
      </w:r>
    </w:p>
    <w:p w14:paraId="6EE16632" w14:textId="61B6F248" w:rsidR="00B95721" w:rsidRPr="00406C29" w:rsidRDefault="00CA66CE" w:rsidP="00B95721">
      <w:pPr>
        <w:pStyle w:val="ListParagraph"/>
        <w:numPr>
          <w:ilvl w:val="0"/>
          <w:numId w:val="125"/>
        </w:numPr>
        <w:ind w:hanging="731"/>
        <w:jc w:val="both"/>
        <w:rPr>
          <w:rFonts w:ascii="Times New Roman" w:hAnsi="Times New Roman" w:cs="Times New Roman"/>
        </w:rPr>
      </w:pPr>
      <w:r>
        <w:rPr>
          <w:rFonts w:ascii="Times New Roman" w:hAnsi="Times New Roman"/>
        </w:rPr>
        <w:t>W przypadku przekazania uprawnień na mocy niniejszego art., uprawnienia te nadal przysługują Komisji, ale przysługują jednocześnie dyrektorowi naczelnemu Komisji [lub innemu członkowi Komisji], któremu zostały przekazane, i mogą być wykonywane zarówno przez Komisję, jak i dyrektora naczelnego Komisji [lub innego członka Komisji].</w:t>
      </w:r>
    </w:p>
    <w:p w14:paraId="0D79649F" w14:textId="77777777" w:rsidR="00B95721" w:rsidRPr="00E4201E" w:rsidRDefault="00B95721" w:rsidP="004A5780">
      <w:pPr>
        <w:pStyle w:val="ListParagraph"/>
        <w:ind w:left="1440"/>
        <w:jc w:val="both"/>
        <w:rPr>
          <w:rFonts w:ascii="Times New Roman" w:hAnsi="Times New Roman" w:cs="Times New Roman"/>
        </w:rPr>
      </w:pPr>
    </w:p>
    <w:p w14:paraId="17ADABBD" w14:textId="00CC748F" w:rsidR="00B95721" w:rsidRPr="00406C29" w:rsidRDefault="00CA66CE" w:rsidP="00B95721">
      <w:pPr>
        <w:pStyle w:val="ListParagraph"/>
        <w:numPr>
          <w:ilvl w:val="0"/>
          <w:numId w:val="125"/>
        </w:numPr>
        <w:ind w:hanging="731"/>
        <w:jc w:val="both"/>
        <w:rPr>
          <w:rFonts w:ascii="Times New Roman" w:hAnsi="Times New Roman" w:cs="Times New Roman"/>
        </w:rPr>
      </w:pPr>
      <w:r>
        <w:rPr>
          <w:rFonts w:ascii="Times New Roman" w:hAnsi="Times New Roman"/>
        </w:rPr>
        <w:t>Komisja może, w drodze zarządzenia, zmienić lub odwołać powołanie dokonane na mocy niniejszego artykułu.</w:t>
      </w:r>
    </w:p>
    <w:p w14:paraId="770C7821" w14:textId="77777777" w:rsidR="00B95721" w:rsidRPr="00E4201E" w:rsidRDefault="00B95721" w:rsidP="004A5780">
      <w:pPr>
        <w:pStyle w:val="ListParagraph"/>
        <w:ind w:left="1440"/>
        <w:jc w:val="both"/>
        <w:rPr>
          <w:rFonts w:ascii="Times New Roman" w:hAnsi="Times New Roman" w:cs="Times New Roman"/>
        </w:rPr>
      </w:pPr>
    </w:p>
    <w:p w14:paraId="7D7EE482" w14:textId="43E9788F" w:rsidR="00511749" w:rsidRPr="00406C29" w:rsidRDefault="00511749" w:rsidP="00B95721">
      <w:pPr>
        <w:pStyle w:val="ListParagraph"/>
        <w:numPr>
          <w:ilvl w:val="0"/>
          <w:numId w:val="125"/>
        </w:numPr>
        <w:ind w:hanging="731"/>
        <w:jc w:val="both"/>
        <w:rPr>
          <w:rFonts w:ascii="Times New Roman" w:hAnsi="Times New Roman" w:cs="Times New Roman"/>
        </w:rPr>
      </w:pPr>
      <w:r>
        <w:rPr>
          <w:rFonts w:ascii="Times New Roman" w:hAnsi="Times New Roman"/>
        </w:rPr>
        <w:t>Komisja może w dowolnym czasie przekazać wszelkie materiały lub informacje wynikające z dochodzenia prowadzonego na mocy art. 8, w tym wszelkie sprawozdania przygotowane przez upoważnionego urzędnika, dyrektorowi naczelnemu Komisji [lub innemu członkowi Komisji] i czyni to, jeżeli jest zdania, że informacje te mogą być niezbędne do umożliwienia właściwego wykonywania wszelkich uprawnień na mocy art. 10, które zostały przekazane dyrektorowi naczelnemu Komisji [lub innemu członkowi Komisji] na mocy niniejszego artykułu.</w:t>
      </w:r>
    </w:p>
    <w:p w14:paraId="04BCABA0" w14:textId="77777777" w:rsidR="00375AED" w:rsidRPr="00E4201E" w:rsidRDefault="00375AED" w:rsidP="004A5780">
      <w:pPr>
        <w:pStyle w:val="ListParagraph"/>
        <w:ind w:left="1440"/>
        <w:jc w:val="both"/>
        <w:rPr>
          <w:rFonts w:ascii="Times New Roman" w:hAnsi="Times New Roman" w:cs="Times New Roman"/>
        </w:rPr>
      </w:pPr>
    </w:p>
    <w:p w14:paraId="04570423" w14:textId="482DD1AA" w:rsidR="00850779" w:rsidRPr="004A5780" w:rsidRDefault="00850779" w:rsidP="004A5780">
      <w:pPr>
        <w:pStyle w:val="ListParagraph"/>
        <w:numPr>
          <w:ilvl w:val="0"/>
          <w:numId w:val="125"/>
        </w:numPr>
        <w:ind w:left="1418" w:hanging="709"/>
        <w:jc w:val="both"/>
        <w:rPr>
          <w:rFonts w:ascii="Times New Roman" w:hAnsi="Times New Roman" w:cs="Times New Roman"/>
        </w:rPr>
      </w:pPr>
      <w:r>
        <w:rPr>
          <w:rFonts w:ascii="Times New Roman" w:hAnsi="Times New Roman"/>
        </w:rPr>
        <w:t>Jakakolwiek wada powołania na mocy niniejszego art. lub brak powołania w odniesieniu do uprawnienia wykonywanego przez dyrektora naczelnego Komisji [lub innego członka Komisji] działającego w dobrej wierze w imieniu Komisji nie skutkuje sama w sobie unieważnieniem wykonywania uprawnień na mocy art. 10 przez dyrektora naczelnego Komisji [lub innego członka Komisji].</w:t>
      </w:r>
    </w:p>
    <w:p w14:paraId="13115A0C" w14:textId="613F3A09" w:rsidR="00CF5CC6" w:rsidRPr="00835148" w:rsidRDefault="00CF5CC6" w:rsidP="008273CD">
      <w:pPr>
        <w:pStyle w:val="Heading1"/>
        <w:spacing w:before="360"/>
      </w:pPr>
      <w:bookmarkStart w:id="78" w:name="_Toc98764333"/>
      <w:bookmarkStart w:id="79" w:name="_Toc98764375"/>
      <w:bookmarkStart w:id="80" w:name="_Toc98767793"/>
      <w:bookmarkStart w:id="81" w:name="_Toc99116967"/>
      <w:bookmarkStart w:id="82" w:name="_Toc99122347"/>
      <w:bookmarkStart w:id="83" w:name="_Toc97143749"/>
      <w:bookmarkStart w:id="84" w:name="_Toc97143751"/>
      <w:bookmarkStart w:id="85" w:name="_Toc97143752"/>
      <w:bookmarkStart w:id="86" w:name="_Toc97143753"/>
      <w:bookmarkStart w:id="87" w:name="_Toc97143754"/>
      <w:bookmarkStart w:id="88" w:name="_Toc97143755"/>
      <w:bookmarkStart w:id="89" w:name="_Toc106188835"/>
      <w:bookmarkEnd w:id="78"/>
      <w:bookmarkEnd w:id="79"/>
      <w:bookmarkEnd w:id="80"/>
      <w:bookmarkEnd w:id="81"/>
      <w:bookmarkEnd w:id="82"/>
      <w:bookmarkEnd w:id="83"/>
      <w:bookmarkEnd w:id="84"/>
      <w:bookmarkEnd w:id="85"/>
      <w:bookmarkEnd w:id="86"/>
      <w:bookmarkEnd w:id="87"/>
      <w:bookmarkEnd w:id="88"/>
      <w:r>
        <w:lastRenderedPageBreak/>
        <w:t>Artykuł 9: Wymagania dotyczące wykonywania uprawnień Komisji na mocy niniejszej Części</w:t>
      </w:r>
      <w:bookmarkEnd w:id="89"/>
      <w:r>
        <w:t xml:space="preserve"> </w:t>
      </w:r>
    </w:p>
    <w:p w14:paraId="6129DB19" w14:textId="7C0ACFBE" w:rsidR="00C55D7F" w:rsidRPr="00835148" w:rsidRDefault="002A3C42" w:rsidP="00DB1CBC">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t>Komisja wykonuje swoje uprawnienia na mocy art. 10 wyłącznie, gdy uzyska przekonanie, że leży to w interesie publicznym z uwzględnieniem wszystkich okoliczności, w tym praw każdej osoby, o której Komisji wiadomo, że może odczuć skutki wykonania tych uprawnień.</w:t>
      </w:r>
    </w:p>
    <w:p w14:paraId="1BB8380F" w14:textId="51A24422" w:rsidR="00CF5CC6" w:rsidRPr="00835148" w:rsidRDefault="00C55D7F" w:rsidP="00CF5CC6">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t>Bez uszczerbku dla ust. 1, rozważając wykorzystanie uprawnień wynikających z art. 10, Komisja przywiązuje należytą wagę do następujących kwestii:</w:t>
      </w:r>
    </w:p>
    <w:p w14:paraId="054B45AF"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t>konstytucyjne prawo do wolności wypowiedzi,</w:t>
      </w:r>
    </w:p>
    <w:p w14:paraId="33BD00D3"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t>konstytucyjne prawo do wolności zrzeszania się,</w:t>
      </w:r>
    </w:p>
    <w:p w14:paraId="74D5659B"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t>konstytucyjne prawo do uczestnictwa w sprawach publicznych, oraz</w:t>
      </w:r>
    </w:p>
    <w:p w14:paraId="39A7EC09"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t>konstytucyjny obowiązek państwa do obrony i zapewnienia uczciwości i rzetelności wyborów i referendów.</w:t>
      </w:r>
    </w:p>
    <w:p w14:paraId="7A16F181" w14:textId="591CB686" w:rsidR="00CF5CC6" w:rsidRPr="00835148" w:rsidRDefault="00CF5CC6" w:rsidP="00CF5CC6">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t xml:space="preserve">Ponadto, rozważając wykonywanie uprawnień przewidzianych w art. 10, Komisja bierze pod uwagę następujące kwestie: </w:t>
      </w:r>
    </w:p>
    <w:p w14:paraId="5D3BD2B4" w14:textId="52918D9F" w:rsidR="00CF5CC6" w:rsidRPr="00835148" w:rsidRDefault="00CF5CC6" w:rsidP="00CF5CC6">
      <w:pPr>
        <w:pStyle w:val="ListParagraph"/>
        <w:numPr>
          <w:ilvl w:val="0"/>
          <w:numId w:val="102"/>
        </w:numPr>
        <w:spacing w:before="240" w:after="240"/>
        <w:ind w:left="2268" w:hanging="567"/>
        <w:contextualSpacing w:val="0"/>
        <w:jc w:val="both"/>
        <w:rPr>
          <w:rFonts w:ascii="Times New Roman" w:hAnsi="Times New Roman" w:cs="Times New Roman"/>
          <w:szCs w:val="24"/>
        </w:rPr>
      </w:pPr>
      <w:r>
        <w:rPr>
          <w:rFonts w:ascii="Times New Roman" w:hAnsi="Times New Roman"/>
        </w:rPr>
        <w:t>konieczność zapewnienia ekonomicznego i efektywnego wykorzystania zasobów Komisji;</w:t>
      </w:r>
    </w:p>
    <w:p w14:paraId="5B0F3282" w14:textId="2291B803" w:rsidR="00CF5CC6" w:rsidRPr="00835148" w:rsidRDefault="00CF5CC6" w:rsidP="00CF5CC6">
      <w:pPr>
        <w:pStyle w:val="ListParagraph"/>
        <w:numPr>
          <w:ilvl w:val="0"/>
          <w:numId w:val="102"/>
        </w:numPr>
        <w:spacing w:before="240" w:after="240"/>
        <w:ind w:left="2268" w:hanging="567"/>
        <w:contextualSpacing w:val="0"/>
        <w:jc w:val="both"/>
        <w:rPr>
          <w:rFonts w:ascii="Times New Roman" w:hAnsi="Times New Roman" w:cs="Times New Roman"/>
          <w:i/>
          <w:iCs/>
          <w:szCs w:val="24"/>
        </w:rPr>
      </w:pPr>
      <w:r>
        <w:rPr>
          <w:rFonts w:ascii="Times New Roman" w:hAnsi="Times New Roman"/>
        </w:rPr>
        <w:t>istotność danego zagrożenia w odniesieniu do ogólnej uczciwości i rzetelności wyborów lub referendum;</w:t>
      </w:r>
    </w:p>
    <w:p w14:paraId="71118D60" w14:textId="77777777" w:rsidR="00CF5CC6" w:rsidRPr="00835148" w:rsidRDefault="00CF5CC6" w:rsidP="00CF5CC6">
      <w:pPr>
        <w:pStyle w:val="ListParagraph"/>
        <w:numPr>
          <w:ilvl w:val="0"/>
          <w:numId w:val="102"/>
        </w:numPr>
        <w:spacing w:before="240" w:after="240"/>
        <w:ind w:left="2268" w:hanging="567"/>
        <w:contextualSpacing w:val="0"/>
        <w:jc w:val="both"/>
        <w:rPr>
          <w:rFonts w:ascii="Times New Roman" w:hAnsi="Times New Roman" w:cs="Times New Roman"/>
          <w:i/>
          <w:iCs/>
          <w:szCs w:val="24"/>
        </w:rPr>
      </w:pPr>
      <w:r>
        <w:rPr>
          <w:rFonts w:ascii="Times New Roman" w:hAnsi="Times New Roman"/>
        </w:rPr>
        <w:t>wszelkie wytyczne opublikowane na mocy ustępu 3 niniejszego artykułu.</w:t>
      </w:r>
    </w:p>
    <w:p w14:paraId="49698825" w14:textId="77777777" w:rsidR="00CF5CC6" w:rsidRPr="00835148" w:rsidRDefault="00CF5CC6" w:rsidP="00CF5CC6">
      <w:pPr>
        <w:pStyle w:val="ListParagraph"/>
        <w:numPr>
          <w:ilvl w:val="0"/>
          <w:numId w:val="63"/>
        </w:numPr>
        <w:ind w:left="1418" w:hanging="709"/>
        <w:contextualSpacing w:val="0"/>
        <w:jc w:val="both"/>
        <w:rPr>
          <w:rFonts w:ascii="Times New Roman" w:hAnsi="Times New Roman" w:cs="Times New Roman"/>
          <w:szCs w:val="24"/>
        </w:rPr>
      </w:pPr>
      <w:r>
        <w:rPr>
          <w:rFonts w:ascii="Times New Roman" w:hAnsi="Times New Roman"/>
        </w:rPr>
        <w:t>Komisja wprowadza wytyczne informujące o właściwym wykonywaniu uprawnień Komisji na mocy niniejszej Części przez Komisję lub, w przypadku gdy wydane zostało polecenie przekazania uprawnień na mocy art. 8A, przez dyrektora generalnego Komisji [lub innego członka Komisji]. Wytyczne te mogą obejmować:</w:t>
      </w:r>
    </w:p>
    <w:p w14:paraId="7098DF69" w14:textId="77777777" w:rsidR="00CF5CC6" w:rsidRPr="00835148" w:rsidRDefault="00CF5CC6" w:rsidP="00CF5CC6">
      <w:pPr>
        <w:pStyle w:val="ListParagraph"/>
        <w:numPr>
          <w:ilvl w:val="0"/>
          <w:numId w:val="103"/>
        </w:numPr>
        <w:spacing w:before="240" w:after="240"/>
        <w:ind w:left="2268" w:hanging="567"/>
        <w:contextualSpacing w:val="0"/>
        <w:jc w:val="both"/>
        <w:rPr>
          <w:rFonts w:ascii="Times New Roman" w:hAnsi="Times New Roman" w:cs="Times New Roman"/>
          <w:szCs w:val="24"/>
        </w:rPr>
      </w:pPr>
      <w:r>
        <w:rPr>
          <w:rFonts w:ascii="Times New Roman" w:hAnsi="Times New Roman"/>
        </w:rPr>
        <w:t>środki gwarantujące, że wykonywanie uprawnień Komisji będzie przejrzyste dla opinii publicznej i zgodne z najlepszymi praktykami międzynarodowymi;</w:t>
      </w:r>
    </w:p>
    <w:p w14:paraId="33BFB588" w14:textId="77777777" w:rsidR="00CF5CC6" w:rsidRPr="00835148" w:rsidRDefault="00CF5CC6" w:rsidP="00CF5CC6">
      <w:pPr>
        <w:pStyle w:val="ListParagraph"/>
        <w:numPr>
          <w:ilvl w:val="0"/>
          <w:numId w:val="103"/>
        </w:numPr>
        <w:ind w:left="2268" w:hanging="567"/>
        <w:contextualSpacing w:val="0"/>
        <w:jc w:val="both"/>
        <w:rPr>
          <w:rFonts w:ascii="Times New Roman" w:hAnsi="Times New Roman" w:cs="Times New Roman"/>
          <w:szCs w:val="24"/>
        </w:rPr>
      </w:pPr>
      <w:r>
        <w:rPr>
          <w:rFonts w:ascii="Times New Roman" w:hAnsi="Times New Roman"/>
        </w:rPr>
        <w:t xml:space="preserve">środki mające na celu kierowanie oceną istotności dokonywaną przez Komisję do celów wykonywania jej uprawnień na mocy niniejszego działu lub któregokolwiek z nich. </w:t>
      </w:r>
    </w:p>
    <w:p w14:paraId="5CA3FBF2" w14:textId="77777777" w:rsidR="00CF5CC6" w:rsidRPr="00835148" w:rsidRDefault="00CF5CC6" w:rsidP="00CF5CC6">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lastRenderedPageBreak/>
        <w:t xml:space="preserve">Każde zawiadomienie lub polecenie wydane na mocy art. 10: </w:t>
      </w:r>
    </w:p>
    <w:p w14:paraId="1A054F14"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zawiera uzasadnienie opinii Komisji, że wydanie takiego zawiadomienia lub nakazu jest właściwe,</w:t>
      </w:r>
    </w:p>
    <w:p w14:paraId="58B775C6"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określa datę i godzinę, do której osoba, do której skierowane jest zawiadomienie lub polecenie, ma się do niego zastosować,</w:t>
      </w:r>
    </w:p>
    <w:p w14:paraId="112E2006"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określa datę i godzinę, do której osoba, do której skierowane jest zawiadomienie lub polecenie, potwierdza Komisji, że zawiadomienie lub polecenie zostało wykonane,</w:t>
      </w:r>
    </w:p>
    <w:p w14:paraId="318F39A8"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poucza, że osoba, do której skierowane jest zawiadomienie lub zarządzenie, może się od niego odwołać zgodnie z postanowieniami art. 15 i że takie odwołanie musi zostać złożone za pośrednictwem portalu na stronie internetowej Komisji w terminie siedmiu dni od wydania zawiadomienia lub zarządzenia;</w:t>
      </w:r>
    </w:p>
    <w:p w14:paraId="5EA3B3B4"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 xml:space="preserve">poucza, że jeżeli nie wniesiono odwołania zgodnie z postanowieniami art. 15, zawiadomienie lub zarządzenie uznaje się za niepodważalne; </w:t>
      </w:r>
    </w:p>
    <w:p w14:paraId="4931D9C8"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poucza, że niezastosowanie się do zawiadomienia lub nakazu może skutkować nałożeniem kary administracyjnej; oraz</w:t>
      </w:r>
    </w:p>
    <w:p w14:paraId="187C9BE2"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poucza, że niezastosowanie się do zawiadomienia lub nakazu wydanego na mocy art. 10 jest przestępstwem.</w:t>
      </w:r>
    </w:p>
    <w:p w14:paraId="7F74F8DA" w14:textId="77777777" w:rsidR="00CF5CC6" w:rsidRPr="00835148" w:rsidRDefault="00CF5CC6" w:rsidP="00CF5CC6">
      <w:pPr>
        <w:pStyle w:val="ListParagraph"/>
        <w:numPr>
          <w:ilvl w:val="0"/>
          <w:numId w:val="6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W celu uniknięcia wątpliwości Komisja może stwierdzić, że biorąc pod uwagę wszystkie okoliczności, właściwe jest wydanie więcej niż jednego zawiadomienia lub nakazu w związku z tą samą treścią lub zachowaniem w internecie. </w:t>
      </w:r>
    </w:p>
    <w:p w14:paraId="79557470" w14:textId="1761DBA6" w:rsidR="00197D63" w:rsidRPr="005647BF" w:rsidRDefault="00993B94" w:rsidP="00883C74">
      <w:pPr>
        <w:pStyle w:val="Heading1"/>
      </w:pPr>
      <w:bookmarkStart w:id="90" w:name="_Toc99398259"/>
      <w:bookmarkStart w:id="91" w:name="_Toc99549817"/>
      <w:bookmarkStart w:id="92" w:name="_Toc99550566"/>
      <w:bookmarkStart w:id="93" w:name="_Toc99395267"/>
      <w:bookmarkStart w:id="94" w:name="_Toc99398260"/>
      <w:bookmarkStart w:id="95" w:name="_Toc99549818"/>
      <w:bookmarkStart w:id="96" w:name="_Toc99550567"/>
      <w:bookmarkStart w:id="97" w:name="_Toc99395268"/>
      <w:bookmarkStart w:id="98" w:name="_Toc99398261"/>
      <w:bookmarkStart w:id="99" w:name="_Toc99549819"/>
      <w:bookmarkStart w:id="100" w:name="_Toc99550568"/>
      <w:bookmarkStart w:id="101" w:name="_Toc99395269"/>
      <w:bookmarkStart w:id="102" w:name="_Toc99398262"/>
      <w:bookmarkStart w:id="103" w:name="_Toc99549820"/>
      <w:bookmarkStart w:id="104" w:name="_Toc99550569"/>
      <w:bookmarkStart w:id="105" w:name="_Toc99395270"/>
      <w:bookmarkStart w:id="106" w:name="_Toc99398263"/>
      <w:bookmarkStart w:id="107" w:name="_Toc99549821"/>
      <w:bookmarkStart w:id="108" w:name="_Toc99550570"/>
      <w:bookmarkStart w:id="109" w:name="_Toc99395271"/>
      <w:bookmarkStart w:id="110" w:name="_Toc99398264"/>
      <w:bookmarkStart w:id="111" w:name="_Toc99549822"/>
      <w:bookmarkStart w:id="112" w:name="_Toc99550571"/>
      <w:bookmarkStart w:id="113" w:name="_Toc99395272"/>
      <w:bookmarkStart w:id="114" w:name="_Toc99398265"/>
      <w:bookmarkStart w:id="115" w:name="_Toc99549823"/>
      <w:bookmarkStart w:id="116" w:name="_Toc99550572"/>
      <w:bookmarkStart w:id="117" w:name="_Toc99395273"/>
      <w:bookmarkStart w:id="118" w:name="_Toc99398266"/>
      <w:bookmarkStart w:id="119" w:name="_Toc99549824"/>
      <w:bookmarkStart w:id="120" w:name="_Toc99550573"/>
      <w:bookmarkStart w:id="121" w:name="_Toc99395274"/>
      <w:bookmarkStart w:id="122" w:name="_Toc99398267"/>
      <w:bookmarkStart w:id="123" w:name="_Toc99549825"/>
      <w:bookmarkStart w:id="124" w:name="_Toc99550574"/>
      <w:bookmarkStart w:id="125" w:name="_Toc99395275"/>
      <w:bookmarkStart w:id="126" w:name="_Toc99398268"/>
      <w:bookmarkStart w:id="127" w:name="_Toc99549826"/>
      <w:bookmarkStart w:id="128" w:name="_Toc99550575"/>
      <w:bookmarkStart w:id="129" w:name="_Toc99395276"/>
      <w:bookmarkStart w:id="130" w:name="_Toc99398269"/>
      <w:bookmarkStart w:id="131" w:name="_Toc99549827"/>
      <w:bookmarkStart w:id="132" w:name="_Toc99550576"/>
      <w:bookmarkStart w:id="133" w:name="_Toc99395277"/>
      <w:bookmarkStart w:id="134" w:name="_Toc99398270"/>
      <w:bookmarkStart w:id="135" w:name="_Toc99549828"/>
      <w:bookmarkStart w:id="136" w:name="_Toc99550577"/>
      <w:bookmarkStart w:id="137" w:name="_Toc99395278"/>
      <w:bookmarkStart w:id="138" w:name="_Toc99398271"/>
      <w:bookmarkStart w:id="139" w:name="_Toc99549829"/>
      <w:bookmarkStart w:id="140" w:name="_Toc99550578"/>
      <w:bookmarkStart w:id="141" w:name="_Toc99395279"/>
      <w:bookmarkStart w:id="142" w:name="_Toc99398272"/>
      <w:bookmarkStart w:id="143" w:name="_Toc99549830"/>
      <w:bookmarkStart w:id="144" w:name="_Toc99550579"/>
      <w:bookmarkStart w:id="145" w:name="_Toc99395280"/>
      <w:bookmarkStart w:id="146" w:name="_Toc99398273"/>
      <w:bookmarkStart w:id="147" w:name="_Toc99549831"/>
      <w:bookmarkStart w:id="148" w:name="_Toc99550580"/>
      <w:bookmarkStart w:id="149" w:name="_Toc99395281"/>
      <w:bookmarkStart w:id="150" w:name="_Toc99398274"/>
      <w:bookmarkStart w:id="151" w:name="_Toc99549832"/>
      <w:bookmarkStart w:id="152" w:name="_Toc99550581"/>
      <w:bookmarkStart w:id="153" w:name="_Toc99395282"/>
      <w:bookmarkStart w:id="154" w:name="_Toc99398275"/>
      <w:bookmarkStart w:id="155" w:name="_Toc99549833"/>
      <w:bookmarkStart w:id="156" w:name="_Toc99550582"/>
      <w:bookmarkStart w:id="157" w:name="_Toc99395283"/>
      <w:bookmarkStart w:id="158" w:name="_Toc99398276"/>
      <w:bookmarkStart w:id="159" w:name="_Toc99549834"/>
      <w:bookmarkStart w:id="160" w:name="_Toc99550583"/>
      <w:bookmarkStart w:id="161" w:name="_Toc99395284"/>
      <w:bookmarkStart w:id="162" w:name="_Toc99398277"/>
      <w:bookmarkStart w:id="163" w:name="_Toc99549835"/>
      <w:bookmarkStart w:id="164" w:name="_Toc99550584"/>
      <w:bookmarkStart w:id="165" w:name="_Toc99395285"/>
      <w:bookmarkStart w:id="166" w:name="_Toc99398278"/>
      <w:bookmarkStart w:id="167" w:name="_Toc99549836"/>
      <w:bookmarkStart w:id="168" w:name="_Toc99550585"/>
      <w:bookmarkStart w:id="169" w:name="_Toc99395286"/>
      <w:bookmarkStart w:id="170" w:name="_Toc99398279"/>
      <w:bookmarkStart w:id="171" w:name="_Toc99549837"/>
      <w:bookmarkStart w:id="172" w:name="_Toc99550586"/>
      <w:bookmarkStart w:id="173" w:name="_Toc99395287"/>
      <w:bookmarkStart w:id="174" w:name="_Toc99398280"/>
      <w:bookmarkStart w:id="175" w:name="_Toc99549838"/>
      <w:bookmarkStart w:id="176" w:name="_Toc99550587"/>
      <w:bookmarkStart w:id="177" w:name="_Toc99395288"/>
      <w:bookmarkStart w:id="178" w:name="_Toc99398281"/>
      <w:bookmarkStart w:id="179" w:name="_Toc99549839"/>
      <w:bookmarkStart w:id="180" w:name="_Toc99550588"/>
      <w:bookmarkStart w:id="181" w:name="_Toc99395289"/>
      <w:bookmarkStart w:id="182" w:name="_Toc99398282"/>
      <w:bookmarkStart w:id="183" w:name="_Toc99549840"/>
      <w:bookmarkStart w:id="184" w:name="_Toc99550589"/>
      <w:bookmarkStart w:id="185" w:name="_Toc99395290"/>
      <w:bookmarkStart w:id="186" w:name="_Toc99398283"/>
      <w:bookmarkStart w:id="187" w:name="_Toc99549841"/>
      <w:bookmarkStart w:id="188" w:name="_Toc99550590"/>
      <w:bookmarkStart w:id="189" w:name="_Toc99395291"/>
      <w:bookmarkStart w:id="190" w:name="_Toc99398284"/>
      <w:bookmarkStart w:id="191" w:name="_Toc99549842"/>
      <w:bookmarkStart w:id="192" w:name="_Toc99550591"/>
      <w:bookmarkStart w:id="193" w:name="_Toc99395292"/>
      <w:bookmarkStart w:id="194" w:name="_Toc99398285"/>
      <w:bookmarkStart w:id="195" w:name="_Toc99549843"/>
      <w:bookmarkStart w:id="196" w:name="_Toc99550592"/>
      <w:bookmarkStart w:id="197" w:name="_Toc99395293"/>
      <w:bookmarkStart w:id="198" w:name="_Toc99398286"/>
      <w:bookmarkStart w:id="199" w:name="_Toc99549844"/>
      <w:bookmarkStart w:id="200" w:name="_Toc99550593"/>
      <w:bookmarkStart w:id="201" w:name="_Toc99395294"/>
      <w:bookmarkStart w:id="202" w:name="_Toc99398287"/>
      <w:bookmarkStart w:id="203" w:name="_Toc99549845"/>
      <w:bookmarkStart w:id="204" w:name="_Toc99550594"/>
      <w:bookmarkStart w:id="205" w:name="_Toc99395295"/>
      <w:bookmarkStart w:id="206" w:name="_Toc99398288"/>
      <w:bookmarkStart w:id="207" w:name="_Toc99549846"/>
      <w:bookmarkStart w:id="208" w:name="_Toc99550595"/>
      <w:bookmarkStart w:id="209" w:name="_Toc99395296"/>
      <w:bookmarkStart w:id="210" w:name="_Toc99398289"/>
      <w:bookmarkStart w:id="211" w:name="_Toc99549847"/>
      <w:bookmarkStart w:id="212" w:name="_Toc99550596"/>
      <w:bookmarkStart w:id="213" w:name="_Toc99395297"/>
      <w:bookmarkStart w:id="214" w:name="_Toc99398290"/>
      <w:bookmarkStart w:id="215" w:name="_Toc99549848"/>
      <w:bookmarkStart w:id="216" w:name="_Toc99550597"/>
      <w:bookmarkStart w:id="217" w:name="_Toc99395298"/>
      <w:bookmarkStart w:id="218" w:name="_Toc99398291"/>
      <w:bookmarkStart w:id="219" w:name="_Toc99549849"/>
      <w:bookmarkStart w:id="220" w:name="_Toc99550598"/>
      <w:bookmarkStart w:id="221" w:name="_Toc99395299"/>
      <w:bookmarkStart w:id="222" w:name="_Toc99398292"/>
      <w:bookmarkStart w:id="223" w:name="_Toc99549850"/>
      <w:bookmarkStart w:id="224" w:name="_Toc99550599"/>
      <w:bookmarkStart w:id="225" w:name="_Toc99395300"/>
      <w:bookmarkStart w:id="226" w:name="_Toc99398293"/>
      <w:bookmarkStart w:id="227" w:name="_Toc99549851"/>
      <w:bookmarkStart w:id="228" w:name="_Toc99550600"/>
      <w:bookmarkStart w:id="229" w:name="_Toc99395301"/>
      <w:bookmarkStart w:id="230" w:name="_Toc99398294"/>
      <w:bookmarkStart w:id="231" w:name="_Toc99549852"/>
      <w:bookmarkStart w:id="232" w:name="_Toc99550601"/>
      <w:bookmarkStart w:id="233" w:name="_Toc99395302"/>
      <w:bookmarkStart w:id="234" w:name="_Toc99398295"/>
      <w:bookmarkStart w:id="235" w:name="_Toc99549853"/>
      <w:bookmarkStart w:id="236" w:name="_Toc99550602"/>
      <w:bookmarkStart w:id="237" w:name="_Toc99395303"/>
      <w:bookmarkStart w:id="238" w:name="_Toc99398296"/>
      <w:bookmarkStart w:id="239" w:name="_Toc99549854"/>
      <w:bookmarkStart w:id="240" w:name="_Toc99550603"/>
      <w:bookmarkStart w:id="241" w:name="_Toc99395304"/>
      <w:bookmarkStart w:id="242" w:name="_Toc99398297"/>
      <w:bookmarkStart w:id="243" w:name="_Toc99549855"/>
      <w:bookmarkStart w:id="244" w:name="_Toc99550604"/>
      <w:bookmarkStart w:id="245" w:name="_Toc99395305"/>
      <w:bookmarkStart w:id="246" w:name="_Toc99398298"/>
      <w:bookmarkStart w:id="247" w:name="_Toc99549856"/>
      <w:bookmarkStart w:id="248" w:name="_Toc99550605"/>
      <w:bookmarkStart w:id="249" w:name="_Toc99395306"/>
      <w:bookmarkStart w:id="250" w:name="_Toc99398299"/>
      <w:bookmarkStart w:id="251" w:name="_Toc99549857"/>
      <w:bookmarkStart w:id="252" w:name="_Toc99550606"/>
      <w:bookmarkStart w:id="253" w:name="_Toc99395307"/>
      <w:bookmarkStart w:id="254" w:name="_Toc99398300"/>
      <w:bookmarkStart w:id="255" w:name="_Toc99549858"/>
      <w:bookmarkStart w:id="256" w:name="_Toc99550607"/>
      <w:bookmarkStart w:id="257" w:name="_Toc99395308"/>
      <w:bookmarkStart w:id="258" w:name="_Toc99398301"/>
      <w:bookmarkStart w:id="259" w:name="_Toc99549859"/>
      <w:bookmarkStart w:id="260" w:name="_Toc99550608"/>
      <w:bookmarkStart w:id="261" w:name="_Toc99395309"/>
      <w:bookmarkStart w:id="262" w:name="_Toc99398302"/>
      <w:bookmarkStart w:id="263" w:name="_Toc99549860"/>
      <w:bookmarkStart w:id="264" w:name="_Toc99550609"/>
      <w:bookmarkStart w:id="265" w:name="_Toc99395310"/>
      <w:bookmarkStart w:id="266" w:name="_Toc99398303"/>
      <w:bookmarkStart w:id="267" w:name="_Toc99549861"/>
      <w:bookmarkStart w:id="268" w:name="_Toc99550610"/>
      <w:bookmarkStart w:id="269" w:name="_Toc99395311"/>
      <w:bookmarkStart w:id="270" w:name="_Toc99398304"/>
      <w:bookmarkStart w:id="271" w:name="_Toc99549862"/>
      <w:bookmarkStart w:id="272" w:name="_Toc99550611"/>
      <w:bookmarkStart w:id="273" w:name="_Toc99395312"/>
      <w:bookmarkStart w:id="274" w:name="_Toc99398305"/>
      <w:bookmarkStart w:id="275" w:name="_Toc99549863"/>
      <w:bookmarkStart w:id="276" w:name="_Toc99550612"/>
      <w:bookmarkStart w:id="277" w:name="_Toc99395313"/>
      <w:bookmarkStart w:id="278" w:name="_Toc99398306"/>
      <w:bookmarkStart w:id="279" w:name="_Toc99549864"/>
      <w:bookmarkStart w:id="280" w:name="_Toc99550613"/>
      <w:bookmarkStart w:id="281" w:name="_Toc99395314"/>
      <w:bookmarkStart w:id="282" w:name="_Toc99398307"/>
      <w:bookmarkStart w:id="283" w:name="_Toc99549865"/>
      <w:bookmarkStart w:id="284" w:name="_Toc99550614"/>
      <w:bookmarkStart w:id="285" w:name="_Toc99395315"/>
      <w:bookmarkStart w:id="286" w:name="_Toc99398308"/>
      <w:bookmarkStart w:id="287" w:name="_Toc99549866"/>
      <w:bookmarkStart w:id="288" w:name="_Toc99550615"/>
      <w:bookmarkStart w:id="289" w:name="_Toc99395316"/>
      <w:bookmarkStart w:id="290" w:name="_Toc99398309"/>
      <w:bookmarkStart w:id="291" w:name="_Toc99549867"/>
      <w:bookmarkStart w:id="292" w:name="_Toc99550616"/>
      <w:bookmarkStart w:id="293" w:name="_Toc97143758"/>
      <w:bookmarkStart w:id="294" w:name="_Toc97143759"/>
      <w:bookmarkStart w:id="295" w:name="_Toc97143760"/>
      <w:bookmarkStart w:id="296" w:name="_Toc97143761"/>
      <w:bookmarkStart w:id="297" w:name="_Toc97143762"/>
      <w:bookmarkStart w:id="298" w:name="_Toc97143763"/>
      <w:bookmarkStart w:id="299" w:name="_Toc97143764"/>
      <w:bookmarkStart w:id="300" w:name="_Toc97143765"/>
      <w:bookmarkStart w:id="301" w:name="_Toc97143766"/>
      <w:bookmarkStart w:id="302" w:name="_Toc97143767"/>
      <w:bookmarkStart w:id="303" w:name="_Toc97143768"/>
      <w:bookmarkStart w:id="304" w:name="_Toc97143769"/>
      <w:bookmarkStart w:id="305" w:name="_Toc97143770"/>
      <w:bookmarkStart w:id="306" w:name="_Toc97143771"/>
      <w:bookmarkStart w:id="307" w:name="_Toc97143772"/>
      <w:bookmarkStart w:id="308" w:name="_Toc97143773"/>
      <w:bookmarkStart w:id="309" w:name="_Toc97143774"/>
      <w:bookmarkStart w:id="310" w:name="_Toc97143775"/>
      <w:bookmarkStart w:id="311" w:name="_Toc99398310"/>
      <w:bookmarkStart w:id="312" w:name="_Toc99549868"/>
      <w:bookmarkStart w:id="313" w:name="_Toc99550617"/>
      <w:bookmarkStart w:id="314" w:name="_Toc99398311"/>
      <w:bookmarkStart w:id="315" w:name="_Toc99549869"/>
      <w:bookmarkStart w:id="316" w:name="_Toc99550618"/>
      <w:bookmarkStart w:id="317" w:name="_Toc99398312"/>
      <w:bookmarkStart w:id="318" w:name="_Toc99549870"/>
      <w:bookmarkStart w:id="319" w:name="_Toc99550619"/>
      <w:bookmarkStart w:id="320" w:name="_Toc99398313"/>
      <w:bookmarkStart w:id="321" w:name="_Toc99549871"/>
      <w:bookmarkStart w:id="322" w:name="_Toc99550620"/>
      <w:bookmarkStart w:id="323" w:name="_Toc99398314"/>
      <w:bookmarkStart w:id="324" w:name="_Toc99549872"/>
      <w:bookmarkStart w:id="325" w:name="_Toc99550621"/>
      <w:bookmarkStart w:id="326" w:name="_Toc99398315"/>
      <w:bookmarkStart w:id="327" w:name="_Toc99549873"/>
      <w:bookmarkStart w:id="328" w:name="_Toc99550622"/>
      <w:bookmarkStart w:id="329" w:name="_Toc99398316"/>
      <w:bookmarkStart w:id="330" w:name="_Toc99549874"/>
      <w:bookmarkStart w:id="331" w:name="_Toc99550623"/>
      <w:bookmarkStart w:id="332" w:name="_Toc99398317"/>
      <w:bookmarkStart w:id="333" w:name="_Toc99549875"/>
      <w:bookmarkStart w:id="334" w:name="_Toc99550624"/>
      <w:bookmarkStart w:id="335" w:name="_Toc99398318"/>
      <w:bookmarkStart w:id="336" w:name="_Toc99549876"/>
      <w:bookmarkStart w:id="337" w:name="_Toc99550625"/>
      <w:bookmarkStart w:id="338" w:name="_Toc99398319"/>
      <w:bookmarkStart w:id="339" w:name="_Toc99549877"/>
      <w:bookmarkStart w:id="340" w:name="_Toc99550626"/>
      <w:bookmarkStart w:id="341" w:name="_Toc99398320"/>
      <w:bookmarkStart w:id="342" w:name="_Toc99549878"/>
      <w:bookmarkStart w:id="343" w:name="_Toc99550627"/>
      <w:bookmarkStart w:id="344" w:name="_Toc99398321"/>
      <w:bookmarkStart w:id="345" w:name="_Toc99549879"/>
      <w:bookmarkStart w:id="346" w:name="_Toc99550628"/>
      <w:bookmarkStart w:id="347" w:name="_Toc99398322"/>
      <w:bookmarkStart w:id="348" w:name="_Toc99549880"/>
      <w:bookmarkStart w:id="349" w:name="_Toc99550629"/>
      <w:bookmarkStart w:id="350" w:name="_Toc99116971"/>
      <w:bookmarkStart w:id="351" w:name="_Toc99122352"/>
      <w:bookmarkStart w:id="352" w:name="_Toc99126776"/>
      <w:bookmarkStart w:id="353" w:name="_Toc99395320"/>
      <w:bookmarkStart w:id="354" w:name="_Toc99398323"/>
      <w:bookmarkStart w:id="355" w:name="_Toc99549881"/>
      <w:bookmarkStart w:id="356" w:name="_Toc99550630"/>
      <w:bookmarkStart w:id="357" w:name="_Toc99398324"/>
      <w:bookmarkStart w:id="358" w:name="_Toc99549882"/>
      <w:bookmarkStart w:id="359" w:name="_Toc99550631"/>
      <w:bookmarkStart w:id="360" w:name="_Toc99398325"/>
      <w:bookmarkStart w:id="361" w:name="_Toc99549883"/>
      <w:bookmarkStart w:id="362" w:name="_Toc99550632"/>
      <w:bookmarkStart w:id="363" w:name="_Toc99398326"/>
      <w:bookmarkStart w:id="364" w:name="_Toc99549884"/>
      <w:bookmarkStart w:id="365" w:name="_Toc99550633"/>
      <w:bookmarkStart w:id="366" w:name="_Toc99398327"/>
      <w:bookmarkStart w:id="367" w:name="_Toc99549885"/>
      <w:bookmarkStart w:id="368" w:name="_Toc99550634"/>
      <w:bookmarkStart w:id="369" w:name="_Toc99398328"/>
      <w:bookmarkStart w:id="370" w:name="_Toc99549886"/>
      <w:bookmarkStart w:id="371" w:name="_Toc99550635"/>
      <w:bookmarkStart w:id="372" w:name="_Toc99398329"/>
      <w:bookmarkStart w:id="373" w:name="_Toc99549887"/>
      <w:bookmarkStart w:id="374" w:name="_Toc99550636"/>
      <w:bookmarkStart w:id="375" w:name="_Toc99398330"/>
      <w:bookmarkStart w:id="376" w:name="_Toc99549888"/>
      <w:bookmarkStart w:id="377" w:name="_Toc99550637"/>
      <w:bookmarkStart w:id="378" w:name="_Toc99398331"/>
      <w:bookmarkStart w:id="379" w:name="_Toc99549889"/>
      <w:bookmarkStart w:id="380" w:name="_Toc99550638"/>
      <w:bookmarkStart w:id="381" w:name="_Toc99398332"/>
      <w:bookmarkStart w:id="382" w:name="_Toc99549890"/>
      <w:bookmarkStart w:id="383" w:name="_Toc99550639"/>
      <w:bookmarkStart w:id="384" w:name="_Toc99398333"/>
      <w:bookmarkStart w:id="385" w:name="_Toc99549891"/>
      <w:bookmarkStart w:id="386" w:name="_Toc99550640"/>
      <w:bookmarkStart w:id="387" w:name="_Toc99398334"/>
      <w:bookmarkStart w:id="388" w:name="_Toc99549892"/>
      <w:bookmarkStart w:id="389" w:name="_Toc99550641"/>
      <w:bookmarkStart w:id="390" w:name="_Toc99398335"/>
      <w:bookmarkStart w:id="391" w:name="_Toc99549893"/>
      <w:bookmarkStart w:id="392" w:name="_Toc99550642"/>
      <w:bookmarkStart w:id="393" w:name="_Toc99398336"/>
      <w:bookmarkStart w:id="394" w:name="_Toc99549894"/>
      <w:bookmarkStart w:id="395" w:name="_Toc99550643"/>
      <w:bookmarkStart w:id="396" w:name="_Toc99398337"/>
      <w:bookmarkStart w:id="397" w:name="_Toc99549895"/>
      <w:bookmarkStart w:id="398" w:name="_Toc99550644"/>
      <w:bookmarkStart w:id="399" w:name="_Toc99398338"/>
      <w:bookmarkStart w:id="400" w:name="_Toc99549896"/>
      <w:bookmarkStart w:id="401" w:name="_Toc99550645"/>
      <w:bookmarkStart w:id="402" w:name="_Toc99395322"/>
      <w:bookmarkStart w:id="403" w:name="_Toc99398339"/>
      <w:bookmarkStart w:id="404" w:name="_Toc99549897"/>
      <w:bookmarkStart w:id="405" w:name="_Toc99550646"/>
      <w:bookmarkStart w:id="406" w:name="_Toc99395323"/>
      <w:bookmarkStart w:id="407" w:name="_Toc99398340"/>
      <w:bookmarkStart w:id="408" w:name="_Toc99549898"/>
      <w:bookmarkStart w:id="409" w:name="_Toc99550647"/>
      <w:bookmarkStart w:id="410" w:name="_Toc99398341"/>
      <w:bookmarkStart w:id="411" w:name="_Toc99549899"/>
      <w:bookmarkStart w:id="412" w:name="_Toc99550648"/>
      <w:bookmarkStart w:id="413" w:name="_Toc99398342"/>
      <w:bookmarkStart w:id="414" w:name="_Toc99549900"/>
      <w:bookmarkStart w:id="415" w:name="_Toc99550649"/>
      <w:bookmarkStart w:id="416" w:name="_Toc99398343"/>
      <w:bookmarkStart w:id="417" w:name="_Toc99549901"/>
      <w:bookmarkStart w:id="418" w:name="_Toc99550650"/>
      <w:bookmarkStart w:id="419" w:name="_Toc99398344"/>
      <w:bookmarkStart w:id="420" w:name="_Toc99549902"/>
      <w:bookmarkStart w:id="421" w:name="_Toc99550651"/>
      <w:bookmarkStart w:id="422" w:name="_Toc99398345"/>
      <w:bookmarkStart w:id="423" w:name="_Toc99549903"/>
      <w:bookmarkStart w:id="424" w:name="_Toc99550652"/>
      <w:bookmarkStart w:id="425" w:name="_Toc99398346"/>
      <w:bookmarkStart w:id="426" w:name="_Toc99549904"/>
      <w:bookmarkStart w:id="427" w:name="_Toc99550653"/>
      <w:bookmarkStart w:id="428" w:name="_Toc99116974"/>
      <w:bookmarkStart w:id="429" w:name="_Toc99122355"/>
      <w:bookmarkStart w:id="430" w:name="_Toc99126779"/>
      <w:bookmarkStart w:id="431" w:name="_Toc99395325"/>
      <w:bookmarkStart w:id="432" w:name="_Toc99398347"/>
      <w:bookmarkStart w:id="433" w:name="_Toc99549905"/>
      <w:bookmarkStart w:id="434" w:name="_Toc99550654"/>
      <w:bookmarkStart w:id="435" w:name="_Toc106188836"/>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t>Artykuł 10: Uprawnienia Komisji</w:t>
      </w:r>
      <w:bookmarkEnd w:id="435"/>
    </w:p>
    <w:p w14:paraId="69E362D2" w14:textId="5A36DF05" w:rsidR="003C524C" w:rsidRPr="00835148" w:rsidRDefault="003C524C" w:rsidP="00F6269D">
      <w:pPr>
        <w:pStyle w:val="Heading2"/>
      </w:pPr>
      <w:bookmarkStart w:id="436" w:name="_Toc106188837"/>
      <w:r>
        <w:t>Artykuł 10(i): Uprawnienie do wydania zawiadomienia o usunięciu</w:t>
      </w:r>
      <w:bookmarkEnd w:id="436"/>
    </w:p>
    <w:p w14:paraId="5353108B" w14:textId="77777777" w:rsidR="003C524C" w:rsidRPr="00835148" w:rsidRDefault="003C524C" w:rsidP="00F6269D">
      <w:pPr>
        <w:ind w:left="717"/>
        <w:jc w:val="both"/>
        <w:rPr>
          <w:rFonts w:ascii="Times New Roman" w:hAnsi="Times New Roman" w:cs="Times New Roman"/>
          <w:i/>
          <w:iCs/>
          <w:szCs w:val="24"/>
        </w:rPr>
      </w:pPr>
      <w:r>
        <w:rPr>
          <w:rFonts w:ascii="Times New Roman" w:hAnsi="Times New Roman"/>
          <w:i/>
        </w:rPr>
        <w:t>Niniejszy artykuł stanowi, że:</w:t>
      </w:r>
    </w:p>
    <w:p w14:paraId="2F86A508" w14:textId="77777777" w:rsidR="003D5CE3" w:rsidRPr="00835148" w:rsidRDefault="003D5CE3" w:rsidP="003D5CE3">
      <w:pPr>
        <w:pStyle w:val="ListParagraph"/>
        <w:numPr>
          <w:ilvl w:val="0"/>
          <w:numId w:val="66"/>
        </w:numPr>
        <w:spacing w:before="240" w:after="240"/>
        <w:ind w:left="1418" w:hanging="698"/>
        <w:contextualSpacing w:val="0"/>
        <w:jc w:val="both"/>
        <w:rPr>
          <w:rFonts w:ascii="Times New Roman" w:hAnsi="Times New Roman" w:cs="Times New Roman"/>
          <w:szCs w:val="24"/>
        </w:rPr>
      </w:pPr>
      <w:r>
        <w:rPr>
          <w:rFonts w:ascii="Times New Roman" w:hAnsi="Times New Roman"/>
        </w:rPr>
        <w:t>Jeżeli –</w:t>
      </w:r>
    </w:p>
    <w:p w14:paraId="5B75E6D1" w14:textId="70F73308" w:rsidR="003D5CE3" w:rsidRPr="00835148" w:rsidRDefault="003D5CE3" w:rsidP="003D5CE3">
      <w:pPr>
        <w:pStyle w:val="ListParagraph"/>
        <w:numPr>
          <w:ilvl w:val="0"/>
          <w:numId w:val="65"/>
        </w:numPr>
        <w:spacing w:before="240" w:after="240"/>
        <w:ind w:left="2268" w:hanging="567"/>
        <w:contextualSpacing w:val="0"/>
        <w:jc w:val="both"/>
        <w:rPr>
          <w:rFonts w:ascii="Times New Roman" w:hAnsi="Times New Roman" w:cs="Times New Roman"/>
          <w:szCs w:val="24"/>
        </w:rPr>
      </w:pPr>
      <w:r>
        <w:rPr>
          <w:rFonts w:ascii="Times New Roman" w:hAnsi="Times New Roman"/>
        </w:rPr>
        <w:t>w okresie kampanii wyborczej, Komisja uzyska przekonanie na podstawie dostępnych informacji, uzyskanych w wyniku monitorowania internetowych informacji wyborczych lub dostarczonych przez dowolną inną osobę lub w inny sposób, że wszelkie internetowe informacje wyborcze stanowią dezinformację; lub</w:t>
      </w:r>
    </w:p>
    <w:p w14:paraId="5524C1A2" w14:textId="61BC186F" w:rsidR="003D5CE3" w:rsidRPr="00835148" w:rsidRDefault="003D5CE3" w:rsidP="003D5CE3">
      <w:pPr>
        <w:pStyle w:val="ListParagraph"/>
        <w:numPr>
          <w:ilvl w:val="0"/>
          <w:numId w:val="65"/>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w dowolnym momencie Komisja uzyska przekonanie, na podstawie dostępnych informacji, uzyskanych w wyniku monitorowania </w:t>
      </w:r>
      <w:r>
        <w:rPr>
          <w:rFonts w:ascii="Times New Roman" w:hAnsi="Times New Roman"/>
        </w:rPr>
        <w:lastRenderedPageBreak/>
        <w:t xml:space="preserve">internetowych informacji wyborczych lub dostarczonych przez dowolną inną osobę lub w inny sposób, że wszelkie internetowe informacje o procesie wyborczym stanowią informacje wprowadzające w błąd </w:t>
      </w:r>
    </w:p>
    <w:p w14:paraId="34AE80CF" w14:textId="5FBE861D" w:rsidR="003C524C" w:rsidRPr="00835148" w:rsidRDefault="007113C3" w:rsidP="009A3E29">
      <w:pPr>
        <w:pStyle w:val="ListParagraph"/>
        <w:spacing w:before="240" w:after="240"/>
        <w:ind w:left="1440"/>
        <w:contextualSpacing w:val="0"/>
        <w:jc w:val="both"/>
        <w:rPr>
          <w:rFonts w:ascii="Times New Roman" w:hAnsi="Times New Roman" w:cs="Times New Roman"/>
          <w:szCs w:val="24"/>
        </w:rPr>
      </w:pPr>
      <w:r>
        <w:rPr>
          <w:rFonts w:ascii="Times New Roman" w:hAnsi="Times New Roman"/>
        </w:rPr>
        <w:t>i Komisja uzyska przekonanie, że wydanie takiego zawiadomienia jest niezbędne dla ochrony uczciwości lub rzetelności wyborów lub referendum, Komisja może wydać zawiadomienie o usunięciu, nakazujące dowolnej osobie fizycznej lub prawnej, w tym operatorowi lub hostowi jakiejkolwiek platformy internetowej, usunięcie w określonym terminie treści, której dotyczy zawiadomienie o usunięciu.</w:t>
      </w:r>
    </w:p>
    <w:p w14:paraId="7EAC651F" w14:textId="2FDA4648" w:rsidR="00FC397F" w:rsidRPr="00835148" w:rsidRDefault="005D6C2F" w:rsidP="00FC397F">
      <w:pPr>
        <w:pStyle w:val="ListParagraph"/>
        <w:numPr>
          <w:ilvl w:val="0"/>
          <w:numId w:val="66"/>
        </w:numPr>
        <w:spacing w:before="240" w:after="240"/>
        <w:ind w:left="1418" w:hanging="698"/>
        <w:contextualSpacing w:val="0"/>
        <w:jc w:val="both"/>
        <w:rPr>
          <w:rFonts w:ascii="Times New Roman" w:hAnsi="Times New Roman" w:cs="Times New Roman"/>
          <w:szCs w:val="24"/>
        </w:rPr>
      </w:pPr>
      <w:r>
        <w:rPr>
          <w:rFonts w:ascii="Times New Roman" w:hAnsi="Times New Roman"/>
        </w:rPr>
        <w:t>Zawiadomienie na mocy tego art.:</w:t>
      </w:r>
    </w:p>
    <w:p w14:paraId="0E39BAC9" w14:textId="63C70B8D" w:rsidR="00FC397F" w:rsidRPr="00835148" w:rsidRDefault="00FE5CB2"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zawiera uzasadnienie opinii Komisji, że warunki określone w punkcie 1) zostały spełnione;</w:t>
      </w:r>
    </w:p>
    <w:p w14:paraId="362BC0AD" w14:textId="692ABBA6" w:rsidR="0002779D" w:rsidRPr="00835148" w:rsidRDefault="0002779D"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podaje dokładną lokalizację w internecie informacji wyborczych, o których mowa w ust. 1 lit. a) lub b), oraz, w razie potrzeby, wszelkie dodatkowe dane umożliwiające identyfikację tych informacji;</w:t>
      </w:r>
    </w:p>
    <w:p w14:paraId="5F434442" w14:textId="1579F61B" w:rsidR="00A606BA" w:rsidRPr="00835148" w:rsidRDefault="006518AA"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zawiera oświadczenie zalecane przez Komisję w odniesieniu do internetowych informacji wyborczych, o których mowa w punkcie 1) lit. a) lub b);</w:t>
      </w:r>
    </w:p>
    <w:p w14:paraId="1EFB0800" w14:textId="1C015DE3" w:rsidR="006518AA" w:rsidRPr="00835148" w:rsidRDefault="00A20244"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informuje odbiorcę, że musi on spowodować umieszczenie oświadczenia, o którym mowa w lit. c), w miejscu w internecie, o którym mowa w lit. b); </w:t>
      </w:r>
    </w:p>
    <w:p w14:paraId="1A78434F" w14:textId="42402F6B" w:rsidR="007813FD" w:rsidRPr="00835148" w:rsidRDefault="007813FD" w:rsidP="00AE1118">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informuje odbiorcę o prawie do odwołania się od zawiadomienia na mocy art. 15 w ciągu pięciu dni.</w:t>
      </w:r>
    </w:p>
    <w:p w14:paraId="2D58E2CA" w14:textId="5EFE21D5" w:rsidR="003C524C" w:rsidRPr="00835148" w:rsidRDefault="003C524C" w:rsidP="00F6269D">
      <w:pPr>
        <w:pStyle w:val="ListParagraph"/>
        <w:numPr>
          <w:ilvl w:val="0"/>
          <w:numId w:val="66"/>
        </w:numPr>
        <w:spacing w:before="240" w:after="240"/>
        <w:ind w:left="1418" w:hanging="698"/>
        <w:contextualSpacing w:val="0"/>
        <w:jc w:val="both"/>
        <w:rPr>
          <w:rFonts w:ascii="Times New Roman" w:hAnsi="Times New Roman" w:cs="Times New Roman"/>
          <w:szCs w:val="24"/>
        </w:rPr>
      </w:pPr>
      <w:r>
        <w:rPr>
          <w:rFonts w:ascii="Times New Roman" w:hAnsi="Times New Roman"/>
        </w:rPr>
        <w:t xml:space="preserve">W oświadczeniu, o którym mowa w ust. 3 lit. c), należy wyraźnie stwierdzić: </w:t>
      </w:r>
    </w:p>
    <w:p w14:paraId="460139F9" w14:textId="5F545AC4" w:rsidR="003C524C" w:rsidRPr="00835148" w:rsidRDefault="00070C56" w:rsidP="00F6269D">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że jest to zalecone oświadczenie, które musi być opublikowane zgodnie z wydanym przez Komisję zawiadomieniem o usunięciu, na mocy którego Komisja zażądała usunięcia pewnych treści widocznych w tej lokalizacji w internecie zgodnie z niniejszym artykułem:</w:t>
      </w:r>
    </w:p>
    <w:p w14:paraId="23425EED" w14:textId="6750D29E" w:rsidR="003C524C" w:rsidRPr="00835148" w:rsidRDefault="003C524C" w:rsidP="002905E3">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że działania te zostały podjęte, ponieważ treści publikowane wcześniej w danym miejscu stanowiły dezinformację lub informacje wprowadzające w błąd;</w:t>
      </w:r>
    </w:p>
    <w:p w14:paraId="444067D7" w14:textId="55E31012" w:rsidR="003C524C" w:rsidRPr="00835148" w:rsidRDefault="00F50E28" w:rsidP="00F6269D">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krótki opis powodów, dla których Komisja uznała, że konieczne jest zażądanie usunięcia informacji w celu ochrony uczciwości lub rzetelności wyborów lub referendum, zależnie od przypadku; oraz</w:t>
      </w:r>
    </w:p>
    <w:p w14:paraId="1D916831" w14:textId="2B65E88C" w:rsidR="00E1346F" w:rsidRPr="00835148" w:rsidRDefault="00E1346F" w:rsidP="00F6269D">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lastRenderedPageBreak/>
        <w:t>że każda osoba fizyczna lub prawna, której bezpośrednio dotyczy zawiadomienie, może w ciągu pięciu dni odwołać się od niego zgodnie z postanowieniami artykułu 15.</w:t>
      </w:r>
    </w:p>
    <w:p w14:paraId="75DC705B" w14:textId="2F2F5DC7" w:rsidR="003C524C" w:rsidRPr="00835148" w:rsidRDefault="003C524C" w:rsidP="00F6269D">
      <w:pPr>
        <w:pStyle w:val="Heading2"/>
        <w:spacing w:before="480" w:after="240"/>
      </w:pPr>
      <w:bookmarkStart w:id="437" w:name="_Toc97143779"/>
      <w:bookmarkStart w:id="438" w:name="_Toc106188838"/>
      <w:bookmarkEnd w:id="437"/>
      <w:r>
        <w:t>Artykuł 10(ii): Uprawnienia do wystawiania zawiadomienia korygującego</w:t>
      </w:r>
      <w:bookmarkEnd w:id="438"/>
    </w:p>
    <w:p w14:paraId="24CF3751" w14:textId="77777777" w:rsidR="003C524C" w:rsidRPr="00835148" w:rsidRDefault="003C524C" w:rsidP="00F6269D">
      <w:pPr>
        <w:ind w:left="720"/>
        <w:jc w:val="both"/>
        <w:rPr>
          <w:rFonts w:ascii="Times New Roman" w:hAnsi="Times New Roman" w:cs="Times New Roman"/>
          <w:i/>
          <w:iCs/>
          <w:szCs w:val="24"/>
        </w:rPr>
      </w:pPr>
      <w:r>
        <w:rPr>
          <w:rFonts w:ascii="Times New Roman" w:hAnsi="Times New Roman"/>
          <w:i/>
        </w:rPr>
        <w:t>Niniejszy artykuł stanowi, że:</w:t>
      </w:r>
    </w:p>
    <w:p w14:paraId="68DE536F" w14:textId="5E1DEB46" w:rsidR="003D5CE3" w:rsidRPr="00835148" w:rsidRDefault="00355B69" w:rsidP="00AE1118">
      <w:pPr>
        <w:pStyle w:val="ListParagraph"/>
        <w:numPr>
          <w:ilvl w:val="0"/>
          <w:numId w:val="117"/>
        </w:numPr>
        <w:spacing w:before="240" w:after="240"/>
        <w:ind w:left="1418" w:hanging="698"/>
        <w:contextualSpacing w:val="0"/>
        <w:jc w:val="both"/>
        <w:rPr>
          <w:rFonts w:ascii="Times New Roman" w:hAnsi="Times New Roman" w:cs="Times New Roman"/>
          <w:szCs w:val="24"/>
        </w:rPr>
      </w:pPr>
      <w:r>
        <w:rPr>
          <w:rFonts w:ascii="Times New Roman" w:hAnsi="Times New Roman"/>
        </w:rPr>
        <w:t>Jeżeli –</w:t>
      </w:r>
    </w:p>
    <w:p w14:paraId="1EA06993" w14:textId="6100B620" w:rsidR="00355B69" w:rsidRPr="00835148" w:rsidRDefault="00663193" w:rsidP="00F6269D">
      <w:pPr>
        <w:pStyle w:val="ListParagraph"/>
        <w:widowControl w:val="0"/>
        <w:numPr>
          <w:ilvl w:val="0"/>
          <w:numId w:val="2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w okresie kampanii wyborczej, Komisja uzyska przekonanie na podstawie dostępnych informacji, uzyskanych w wyniku monitorowania internetowych informacji wyborczych lub dostarczonych przez dowolną inną osobę lub w inny sposób, że wszelkie internetowe informacje wyborcze stanowią dezinformację; lub</w:t>
      </w:r>
    </w:p>
    <w:p w14:paraId="48CD7B73" w14:textId="0ECAF852" w:rsidR="00663193" w:rsidRPr="00835148" w:rsidRDefault="003D5CE3" w:rsidP="00F6269D">
      <w:pPr>
        <w:pStyle w:val="ListParagraph"/>
        <w:widowControl w:val="0"/>
        <w:numPr>
          <w:ilvl w:val="0"/>
          <w:numId w:val="2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w dowolnym momencie Komisja uzyska przekonanie na podstawie dostępnych informacji, uzyskanych w wyniku monitorowania internetowych informacji wyborczych lub dostarczonych przez dowolną inną osobę lub w inny sposób, że wszelkie internetowe informacje wprowadzające w błąd; </w:t>
      </w:r>
    </w:p>
    <w:p w14:paraId="3C89D367" w14:textId="790DB58C" w:rsidR="003C524C" w:rsidRPr="00835148" w:rsidRDefault="00355B69" w:rsidP="00F6269D">
      <w:pPr>
        <w:spacing w:before="240" w:after="240"/>
        <w:ind w:left="1418" w:firstLine="22"/>
        <w:jc w:val="both"/>
        <w:rPr>
          <w:rFonts w:ascii="Times New Roman" w:hAnsi="Times New Roman" w:cs="Times New Roman"/>
          <w:szCs w:val="24"/>
        </w:rPr>
      </w:pPr>
      <w:r>
        <w:rPr>
          <w:rFonts w:ascii="Times New Roman" w:hAnsi="Times New Roman"/>
        </w:rPr>
        <w:t>i Komisja uzyska przekonanie, że wydanie takiego zawiadomienia jest konieczne dla ochrony uczciwości lub rzetelności wyborów lub referendum, może ona wydać zawiadomienie korygujące, nakazujące każdej osobie fizycznej lub prawnej, do której jest ono skierowane, w tym każdemu operatorowi lub hostowi platformy internetowej, przekazanie wszystkim użytkownikom końcowym oświadczenia zaleconego przez Komisję na mocy niniejszego artykułu.</w:t>
      </w:r>
    </w:p>
    <w:p w14:paraId="7F665791" w14:textId="015CB07B" w:rsidR="00E972F7" w:rsidRPr="00835148" w:rsidRDefault="00E972F7" w:rsidP="008A1159">
      <w:pPr>
        <w:pStyle w:val="ListParagraph"/>
        <w:numPr>
          <w:ilvl w:val="0"/>
          <w:numId w:val="117"/>
        </w:numPr>
        <w:spacing w:before="240" w:after="240"/>
        <w:ind w:left="1418" w:hanging="709"/>
        <w:contextualSpacing w:val="0"/>
        <w:jc w:val="both"/>
        <w:rPr>
          <w:rFonts w:ascii="Times New Roman" w:hAnsi="Times New Roman" w:cs="Times New Roman"/>
          <w:szCs w:val="24"/>
        </w:rPr>
      </w:pPr>
      <w:r>
        <w:rPr>
          <w:rFonts w:ascii="Times New Roman" w:hAnsi="Times New Roman"/>
        </w:rPr>
        <w:t>Zawiadomienie na mocy tego art.:</w:t>
      </w:r>
    </w:p>
    <w:p w14:paraId="143A5FEC" w14:textId="773E8A3D" w:rsidR="00E972F7" w:rsidRPr="00835148" w:rsidRDefault="006A5228"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zawiera uzasadnienie opinii</w:t>
      </w:r>
      <w:bookmarkStart w:id="439" w:name="_Hlk103674927"/>
      <w:r>
        <w:rPr>
          <w:rFonts w:ascii="Times New Roman" w:hAnsi="Times New Roman"/>
        </w:rPr>
        <w:t xml:space="preserve"> Komisji </w:t>
      </w:r>
      <w:bookmarkEnd w:id="439"/>
      <w:r>
        <w:rPr>
          <w:rFonts w:ascii="Times New Roman" w:hAnsi="Times New Roman"/>
        </w:rPr>
        <w:t>stwierdzającej, że warunki określone w punkcie 1) zostały spełnione;</w:t>
      </w:r>
    </w:p>
    <w:p w14:paraId="1E7E9928" w14:textId="08CCD6D7"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podaje dokładną lokalizację w internecie informacji wyborczych, o których mowa w ust. 1 lit. a) lub b), oraz, w razie potrzeby, wszelkie dodatkowe dane umożliwiające identyfikację tych informacji;</w:t>
      </w:r>
    </w:p>
    <w:p w14:paraId="79C664C0" w14:textId="0D7B9CA9"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zawiera oświadczenie zalecane przez Komisję w odniesieniu do internetowych informacji wyborczych, o których mowa w punkcie 1) lit. a) lub b);</w:t>
      </w:r>
    </w:p>
    <w:p w14:paraId="4B14160E" w14:textId="4B5F171C"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lastRenderedPageBreak/>
        <w:t xml:space="preserve">informuje odbiorcę, że musi on spowodować umieszczenie oświadczenia, o którym mowa w lit. c), w miejscu w internecie, o którym mowa w lit. b); </w:t>
      </w:r>
    </w:p>
    <w:p w14:paraId="4E5A75CF" w14:textId="65B8226F"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informuje odbiorcę o prawie do odwołania się od zawiadomienia na mocy art. 15 w ciągu pięciu dni.</w:t>
      </w:r>
    </w:p>
    <w:p w14:paraId="59DB2C0F" w14:textId="7BB0AAC5" w:rsidR="003C524C" w:rsidRPr="00835148" w:rsidRDefault="003C524C" w:rsidP="00AE1118">
      <w:pPr>
        <w:pStyle w:val="ListParagraph"/>
        <w:numPr>
          <w:ilvl w:val="0"/>
          <w:numId w:val="117"/>
        </w:numPr>
        <w:spacing w:before="240" w:after="240"/>
        <w:ind w:left="1418" w:hanging="698"/>
        <w:contextualSpacing w:val="0"/>
        <w:jc w:val="both"/>
        <w:rPr>
          <w:rFonts w:ascii="Times New Roman" w:hAnsi="Times New Roman" w:cs="Times New Roman"/>
          <w:szCs w:val="24"/>
        </w:rPr>
      </w:pPr>
      <w:r>
        <w:rPr>
          <w:rFonts w:ascii="Times New Roman" w:hAnsi="Times New Roman"/>
        </w:rPr>
        <w:t>W oświadczeniu, o którym mowa w ust. 3 lit. c), należy wyraźnie stwierdzić:</w:t>
      </w:r>
    </w:p>
    <w:p w14:paraId="4836112B" w14:textId="597AC26A" w:rsidR="003C524C" w:rsidRPr="00835148" w:rsidRDefault="003C524C" w:rsidP="00AE1118">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że jest to zalecone oświadczenie, którego publikacja jest wymagana na podstawie zawiadomienia korygującego wydanego przez Komisję, na mocy którego Komisja zażądała na podstawie niniejszego art. skorygowania pewnych treści widocznych w danej lokalizacji w internecie;</w:t>
      </w:r>
    </w:p>
    <w:p w14:paraId="03ECFEBA" w14:textId="69B47C90" w:rsidR="00663193" w:rsidRPr="00835148" w:rsidRDefault="003C524C" w:rsidP="002905E3">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że działania te zostały podjęte, ponieważ treści zamieszczone w lokalizacji w internecie stanowiły dezinformację lub błędną informację;</w:t>
      </w:r>
    </w:p>
    <w:p w14:paraId="124FDDEB" w14:textId="56748CF7" w:rsidR="006214E5" w:rsidRPr="00835148" w:rsidRDefault="006A5228" w:rsidP="006214E5">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krótki opis powodów, dla których Komisja uznała, że we wszystkich okolicznościach wystawienie zawiadomienia korygującego było właściwe; oraz</w:t>
      </w:r>
    </w:p>
    <w:p w14:paraId="0C396209" w14:textId="53760861" w:rsidR="006214E5" w:rsidRPr="00835148" w:rsidRDefault="006214E5" w:rsidP="00AE1118">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że każda osoba fizyczna lub prawna, której bezpośrednio dotyczy zawiadomienie, może w ciągu pięciu dni odwołać się od niego zgodnie z postanowieniami artykułu 15.</w:t>
      </w:r>
    </w:p>
    <w:p w14:paraId="55939BB4" w14:textId="4770047C" w:rsidR="003C524C" w:rsidRPr="00835148" w:rsidRDefault="006214E5" w:rsidP="00AE1118">
      <w:pPr>
        <w:pStyle w:val="ListParagraph"/>
        <w:numPr>
          <w:ilvl w:val="0"/>
          <w:numId w:val="117"/>
        </w:numPr>
        <w:spacing w:before="240" w:after="240"/>
        <w:ind w:left="1418" w:hanging="698"/>
        <w:contextualSpacing w:val="0"/>
        <w:jc w:val="both"/>
        <w:rPr>
          <w:rFonts w:ascii="Times New Roman" w:hAnsi="Times New Roman" w:cs="Times New Roman"/>
          <w:szCs w:val="24"/>
        </w:rPr>
      </w:pPr>
      <w:r>
        <w:rPr>
          <w:rFonts w:ascii="Times New Roman" w:hAnsi="Times New Roman"/>
        </w:rPr>
        <w:t>Oświadczenie, o którym mowa w ust. 3 lit. c), może również zawierać dowolne lub wszystkie z poniższych elementów:</w:t>
      </w:r>
    </w:p>
    <w:p w14:paraId="1AC93916" w14:textId="2F68EEA7" w:rsidR="003C524C" w:rsidRPr="00835148" w:rsidRDefault="006214E5" w:rsidP="00F6269D">
      <w:pPr>
        <w:pStyle w:val="ListParagraph"/>
        <w:numPr>
          <w:ilvl w:val="0"/>
          <w:numId w:val="100"/>
        </w:numPr>
        <w:spacing w:before="120" w:after="240"/>
        <w:ind w:left="2268" w:hanging="567"/>
        <w:contextualSpacing w:val="0"/>
        <w:jc w:val="both"/>
        <w:rPr>
          <w:rFonts w:ascii="Times New Roman" w:hAnsi="Times New Roman" w:cs="Times New Roman"/>
          <w:szCs w:val="24"/>
        </w:rPr>
      </w:pPr>
      <w:r>
        <w:rPr>
          <w:rFonts w:ascii="Times New Roman" w:hAnsi="Times New Roman"/>
        </w:rPr>
        <w:t>oświadczenie określające, pod jakimi względami treść była fałszywa lub wprowadzająca w błąd;</w:t>
      </w:r>
    </w:p>
    <w:p w14:paraId="349FBBA9" w14:textId="030B0E12" w:rsidR="003C524C" w:rsidRPr="00835148" w:rsidRDefault="003C524C" w:rsidP="00F6269D">
      <w:pPr>
        <w:pStyle w:val="ListParagraph"/>
        <w:numPr>
          <w:ilvl w:val="0"/>
          <w:numId w:val="100"/>
        </w:numPr>
        <w:spacing w:before="120" w:after="240"/>
        <w:ind w:left="2268" w:hanging="567"/>
        <w:contextualSpacing w:val="0"/>
        <w:jc w:val="both"/>
        <w:rPr>
          <w:rFonts w:ascii="Times New Roman" w:hAnsi="Times New Roman" w:cs="Times New Roman"/>
          <w:szCs w:val="24"/>
        </w:rPr>
      </w:pPr>
      <w:r>
        <w:rPr>
          <w:rFonts w:ascii="Times New Roman" w:hAnsi="Times New Roman"/>
        </w:rPr>
        <w:t>prawidłowe przedstawienie informacji; oraz</w:t>
      </w:r>
    </w:p>
    <w:p w14:paraId="6EEF24D9" w14:textId="5050D1EC" w:rsidR="003C524C" w:rsidRPr="00835148" w:rsidRDefault="003C524C" w:rsidP="00F6269D">
      <w:pPr>
        <w:pStyle w:val="ListParagraph"/>
        <w:numPr>
          <w:ilvl w:val="0"/>
          <w:numId w:val="100"/>
        </w:numPr>
        <w:spacing w:before="120" w:after="240"/>
        <w:ind w:left="2268" w:hanging="567"/>
        <w:contextualSpacing w:val="0"/>
        <w:jc w:val="both"/>
        <w:rPr>
          <w:rFonts w:ascii="Times New Roman" w:hAnsi="Times New Roman" w:cs="Times New Roman"/>
          <w:szCs w:val="24"/>
        </w:rPr>
      </w:pPr>
      <w:r>
        <w:rPr>
          <w:rFonts w:ascii="Times New Roman" w:hAnsi="Times New Roman"/>
        </w:rPr>
        <w:t xml:space="preserve">wszelkie dalsze informacje lub oświadczenia, jakie Komisja uzna za stosowne, biorąc pod uwagę wszystkie okoliczności. </w:t>
      </w:r>
    </w:p>
    <w:p w14:paraId="67658C98" w14:textId="74DD1000" w:rsidR="003C524C" w:rsidRPr="00835148" w:rsidRDefault="003C524C" w:rsidP="00F6269D">
      <w:pPr>
        <w:pStyle w:val="Heading2"/>
        <w:spacing w:before="480" w:after="240"/>
      </w:pPr>
      <w:bookmarkStart w:id="440" w:name="_Toc106188839"/>
      <w:r>
        <w:t>Artykuł 10(iii): Uprawnienia do wydawania nakazów oznaczania</w:t>
      </w:r>
      <w:bookmarkEnd w:id="440"/>
    </w:p>
    <w:p w14:paraId="340F1A7B" w14:textId="77777777" w:rsidR="00961267" w:rsidRPr="00835148" w:rsidRDefault="00961267" w:rsidP="00F6269D">
      <w:pPr>
        <w:spacing w:after="240"/>
        <w:ind w:left="720"/>
        <w:jc w:val="both"/>
        <w:rPr>
          <w:rFonts w:ascii="Times New Roman" w:hAnsi="Times New Roman" w:cs="Times New Roman"/>
          <w:i/>
          <w:iCs/>
          <w:szCs w:val="24"/>
        </w:rPr>
      </w:pPr>
      <w:r>
        <w:rPr>
          <w:rFonts w:ascii="Times New Roman" w:hAnsi="Times New Roman"/>
          <w:i/>
        </w:rPr>
        <w:t>Niniejszy artykuł stanowi, że:</w:t>
      </w:r>
    </w:p>
    <w:p w14:paraId="620CE5C6" w14:textId="77777777" w:rsidR="003D5CE3" w:rsidRPr="00835148" w:rsidRDefault="003D5CE3"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Jeżeli –</w:t>
      </w:r>
    </w:p>
    <w:p w14:paraId="23D7BFD6" w14:textId="2EB823C9" w:rsidR="003D5CE3" w:rsidRPr="00835148" w:rsidRDefault="003D5CE3" w:rsidP="00F6269D">
      <w:pPr>
        <w:pStyle w:val="ListParagraph"/>
        <w:numPr>
          <w:ilvl w:val="0"/>
          <w:numId w:val="116"/>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w okresie kampanii wyborczej, Komisja uzyska przekonanie na podstawie dostępnych informacji, uzyskanych w wyniku </w:t>
      </w:r>
      <w:r>
        <w:rPr>
          <w:rFonts w:ascii="Times New Roman" w:hAnsi="Times New Roman"/>
        </w:rPr>
        <w:lastRenderedPageBreak/>
        <w:t>monitorowania internetowych informacji wyborczych lub dostarczonych przez dowolną inną osobę lub w inny sposób, że wszelkie internetowe informacje wyborcze stanowią dezinformację; lub</w:t>
      </w:r>
    </w:p>
    <w:p w14:paraId="26E74597" w14:textId="1CADB9B4" w:rsidR="003D5CE3" w:rsidRPr="00835148" w:rsidRDefault="003D5CE3" w:rsidP="00F6269D">
      <w:pPr>
        <w:pStyle w:val="ListParagraph"/>
        <w:numPr>
          <w:ilvl w:val="0"/>
          <w:numId w:val="116"/>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w dowolnym momencie Komisja uzyska przekonanie na podstawie dostępnych informacji, uzyskanych w wyniku monitorowania internetowych informacji wyborczych lub dostarczonych przez dowolną inną osobę lub w inny sposób, że wszelkie internetowe informacje wprowadzające w błąd; </w:t>
      </w:r>
    </w:p>
    <w:p w14:paraId="5FA68FF6" w14:textId="3AEBC45F" w:rsidR="003C524C" w:rsidRPr="00835148" w:rsidRDefault="00663193" w:rsidP="00F6269D">
      <w:pPr>
        <w:spacing w:before="240" w:after="240"/>
        <w:ind w:left="1440"/>
        <w:jc w:val="both"/>
        <w:rPr>
          <w:rFonts w:ascii="Times New Roman" w:hAnsi="Times New Roman" w:cs="Times New Roman"/>
        </w:rPr>
      </w:pPr>
      <w:r>
        <w:rPr>
          <w:rFonts w:ascii="Times New Roman" w:hAnsi="Times New Roman"/>
        </w:rPr>
        <w:t xml:space="preserve">i Komisja uzyska przekonanie, że wydanie takiego nakazu jest właściwe ze względu na wszystkie okoliczności, może ona, w oczekiwaniu na dalsze dochodzenie Komisji, wydać nakaz oznaczania wymagający od platformy internetowej zamieszczenia informacji, że przedmiotowe treści są obecnie badane przez Komisję na mocy niniejszej Części w celu ustalenia, czy stanowią one dezinformację lub informacje wprowadzające w błąd. </w:t>
      </w:r>
    </w:p>
    <w:p w14:paraId="1F38D737" w14:textId="59BD6A39" w:rsidR="000020EA" w:rsidRPr="00835148" w:rsidRDefault="00811FC2" w:rsidP="004A5780">
      <w:pPr>
        <w:pStyle w:val="ListParagraph"/>
        <w:numPr>
          <w:ilvl w:val="0"/>
          <w:numId w:val="115"/>
        </w:numPr>
        <w:spacing w:before="240" w:after="240"/>
        <w:ind w:left="1418" w:hanging="709"/>
        <w:contextualSpacing w:val="0"/>
        <w:jc w:val="both"/>
        <w:rPr>
          <w:rFonts w:ascii="Times New Roman" w:hAnsi="Times New Roman" w:cs="Times New Roman"/>
          <w:szCs w:val="24"/>
        </w:rPr>
      </w:pPr>
      <w:r>
        <w:rPr>
          <w:rFonts w:ascii="Times New Roman" w:hAnsi="Times New Roman"/>
        </w:rPr>
        <w:t>Zarządzenie wydane na podstawie niniejszego art.</w:t>
      </w:r>
    </w:p>
    <w:p w14:paraId="62A5184B" w14:textId="15F9EC40" w:rsidR="000020EA" w:rsidRPr="00835148" w:rsidRDefault="006A5228"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zawiera uzasadnienie opinii Komisji, że warunki określone w punkcie 1) zostały spełnione;</w:t>
      </w:r>
    </w:p>
    <w:p w14:paraId="72A1E1BD" w14:textId="08089244"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podaje dokładną lokalizację w internecie informacji wyborczych, o których mowa w ust. 1 lit. a) lub b), oraz, w razie potrzeby, wszelkie dodatkowe dane umożliwiające identyfikację tych informacji;</w:t>
      </w:r>
    </w:p>
    <w:p w14:paraId="475E1076" w14:textId="2FE91FD4"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zawiera oświadczenie zalecane przez Komisję w odniesieniu do internetowych informacji wyborczych, o których mowa w punkcie 1) lit. a) lub b);</w:t>
      </w:r>
    </w:p>
    <w:p w14:paraId="7EAA61FE" w14:textId="5CDD52E3"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informuje odbiorcę, że musi on spowodować umieszczenie oświadczenia, o którym mowa w lit. c), w miejscu w internecie, o którym mowa w lit. b); </w:t>
      </w:r>
    </w:p>
    <w:p w14:paraId="7EE7D73A" w14:textId="19028A40"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informuje odbiorcę o prawie do odwołania się od nakazu na mocy art. 15 w ciągu pięciu dni.</w:t>
      </w:r>
    </w:p>
    <w:p w14:paraId="13EDA903" w14:textId="0FC8C532" w:rsidR="003C524C" w:rsidRPr="00835148" w:rsidRDefault="00130605"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 xml:space="preserve">W oświadczeniu, o którym mowa w ust. 3 lit. c), należy wyraźnie wskazać: </w:t>
      </w:r>
    </w:p>
    <w:p w14:paraId="1F7986FF" w14:textId="6369E3AA" w:rsidR="003C524C" w:rsidRPr="00835148" w:rsidRDefault="002B2FEC" w:rsidP="00F6269D">
      <w:pPr>
        <w:pStyle w:val="ListParagraph"/>
        <w:numPr>
          <w:ilvl w:val="0"/>
          <w:numId w:val="23"/>
        </w:numPr>
        <w:spacing w:before="240" w:after="240"/>
        <w:ind w:left="2268" w:hanging="567"/>
        <w:contextualSpacing w:val="0"/>
        <w:jc w:val="both"/>
        <w:rPr>
          <w:rFonts w:ascii="Times New Roman" w:hAnsi="Times New Roman" w:cs="Times New Roman"/>
          <w:szCs w:val="24"/>
        </w:rPr>
      </w:pPr>
      <w:r>
        <w:rPr>
          <w:rFonts w:ascii="Times New Roman" w:hAnsi="Times New Roman"/>
        </w:rPr>
        <w:t>że jest to oświadczenie, którego publikacja jest wymagana zgodnie z nakazem oznaczania wydanym przez Komisję na podstawie niniejszego art., jeżeli jest zdania, że dane oświadczenie może zawierać dezinformację lub informacje wprowadzające w błąd;</w:t>
      </w:r>
    </w:p>
    <w:p w14:paraId="143CB33D" w14:textId="6E832DB8" w:rsidR="003C524C" w:rsidRPr="00835148" w:rsidRDefault="00E7532E" w:rsidP="00F6269D">
      <w:pPr>
        <w:pStyle w:val="ListParagraph"/>
        <w:widowControl w:val="0"/>
        <w:numPr>
          <w:ilvl w:val="0"/>
          <w:numId w:val="2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że wydanie nakazu nie jest równoznaczne z ustaleniem, że dana treść </w:t>
      </w:r>
      <w:r>
        <w:rPr>
          <w:rFonts w:ascii="Times New Roman" w:hAnsi="Times New Roman"/>
        </w:rPr>
        <w:lastRenderedPageBreak/>
        <w:t xml:space="preserve">jest dezinformacją lub informacją wprowadzającą w błąd; </w:t>
      </w:r>
    </w:p>
    <w:p w14:paraId="77B4F363" w14:textId="397DD318" w:rsidR="003C524C" w:rsidRPr="00835148" w:rsidRDefault="006A5228" w:rsidP="00F6269D">
      <w:pPr>
        <w:pStyle w:val="ListParagraph"/>
        <w:widowControl w:val="0"/>
        <w:numPr>
          <w:ilvl w:val="0"/>
          <w:numId w:val="2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krótki opis powodów, dla których Komisja uznała, że wymagania określone w punkcie 1 zostały spełnione;</w:t>
      </w:r>
    </w:p>
    <w:p w14:paraId="15C3CD3E" w14:textId="46A35B9A" w:rsidR="00944A4A" w:rsidRPr="00835148" w:rsidRDefault="002B2FEC" w:rsidP="00F6269D">
      <w:pPr>
        <w:pStyle w:val="ListParagraph"/>
        <w:widowControl w:val="0"/>
        <w:numPr>
          <w:ilvl w:val="0"/>
          <w:numId w:val="2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że decyzja o tym, czy dana treść jest dezinformacją lub wprowadzeniem w błąd zostanie podjęta w oczekiwaniu na dalsze dochodzenie; oraz</w:t>
      </w:r>
    </w:p>
    <w:p w14:paraId="73EA2110" w14:textId="32C400DD" w:rsidR="003C524C" w:rsidRPr="00835148" w:rsidRDefault="003C524C" w:rsidP="00AE1118">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 że każda osoba fizyczna lub prawna, której bezpośrednio dotyczy zarządzenie, może w ciągu pięciu dni odwołać się od niego na mocy art. 15.</w:t>
      </w:r>
    </w:p>
    <w:p w14:paraId="780345A4" w14:textId="03FDF213" w:rsidR="003C524C" w:rsidRPr="00835148" w:rsidRDefault="003C524C"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Nakaz może również zawierać wszelkie dalsze informacje lub oświadczenia, jakie Komisja uzna za stosowne, uwzględniając wszystkie okoliczności.</w:t>
      </w:r>
    </w:p>
    <w:p w14:paraId="58DDECE0" w14:textId="403C6F2F" w:rsidR="00D43F9C" w:rsidRPr="00835148" w:rsidRDefault="00D43F9C"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Komisja dokonuje ustalenia, o którym mowa w ustępie (3) lit. (d) w jak najkrótszym terminie, a następnie</w:t>
      </w:r>
    </w:p>
    <w:p w14:paraId="6D3868C5" w14:textId="6199F4BD" w:rsidR="00D43F9C" w:rsidRPr="00835148" w:rsidRDefault="00D43F9C" w:rsidP="00AE1118">
      <w:pPr>
        <w:pStyle w:val="ListParagraph"/>
        <w:numPr>
          <w:ilvl w:val="1"/>
          <w:numId w:val="120"/>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wydaje polecenie osobie, do której skierowany był nakaz oznakowania, informujące tę osobę, że nakaz oznakowania został cofnięty; lub </w:t>
      </w:r>
    </w:p>
    <w:p w14:paraId="32E95EBB" w14:textId="31513141" w:rsidR="00D43F9C" w:rsidRPr="00835148" w:rsidRDefault="00D43F9C" w:rsidP="00AE1118">
      <w:pPr>
        <w:pStyle w:val="ListParagraph"/>
        <w:numPr>
          <w:ilvl w:val="1"/>
          <w:numId w:val="120"/>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może wykonywać inne uprawnienia, które uzna za konieczne. </w:t>
      </w:r>
    </w:p>
    <w:p w14:paraId="794ADC0D" w14:textId="69824553" w:rsidR="00D43F9C" w:rsidRPr="00835148" w:rsidRDefault="00D43F9C" w:rsidP="00AE1118">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 xml:space="preserve">W przypadku wydania przez Komisję polecenia, o którym mowa w ust. 6 lit. a), nakazane oświadczenie, o którym mowa w ust. 3, zostanie usunięte. </w:t>
      </w:r>
    </w:p>
    <w:p w14:paraId="309394E6" w14:textId="6B40018E" w:rsidR="003C524C" w:rsidRPr="00835148" w:rsidRDefault="003C524C" w:rsidP="00F6269D">
      <w:pPr>
        <w:pStyle w:val="Heading2"/>
        <w:spacing w:before="480" w:after="240"/>
      </w:pPr>
      <w:bookmarkStart w:id="441" w:name="_Toc106188840"/>
      <w:r>
        <w:t>Artykuł 10(iv): Uprawnienia do wydawania nakazu zablokowania dostępu</w:t>
      </w:r>
      <w:bookmarkEnd w:id="441"/>
    </w:p>
    <w:p w14:paraId="30351F73" w14:textId="77777777" w:rsidR="00961267" w:rsidRPr="00835148" w:rsidRDefault="00961267" w:rsidP="00F6269D">
      <w:pPr>
        <w:spacing w:after="240"/>
        <w:ind w:left="720"/>
        <w:jc w:val="both"/>
        <w:rPr>
          <w:rFonts w:ascii="Times New Roman" w:hAnsi="Times New Roman" w:cs="Times New Roman"/>
          <w:i/>
          <w:iCs/>
          <w:szCs w:val="24"/>
        </w:rPr>
      </w:pPr>
      <w:r>
        <w:rPr>
          <w:rFonts w:ascii="Times New Roman" w:hAnsi="Times New Roman"/>
          <w:i/>
        </w:rPr>
        <w:t>Niniejszy artykuł stanowi, że:</w:t>
      </w:r>
    </w:p>
    <w:p w14:paraId="590074A8" w14:textId="77777777" w:rsidR="00FF0A78" w:rsidRPr="00835148" w:rsidRDefault="003C524C" w:rsidP="009A3E29">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t>W przypadku gdy:</w:t>
      </w:r>
    </w:p>
    <w:p w14:paraId="62C14251" w14:textId="4665BD14" w:rsidR="000C2806" w:rsidRPr="00835148" w:rsidRDefault="003C524C" w:rsidP="00F6269D">
      <w:pPr>
        <w:pStyle w:val="ListParagraph"/>
        <w:numPr>
          <w:ilvl w:val="0"/>
          <w:numId w:val="70"/>
        </w:numPr>
        <w:spacing w:before="240" w:after="240"/>
        <w:ind w:left="2268" w:hanging="567"/>
        <w:contextualSpacing w:val="0"/>
        <w:jc w:val="both"/>
        <w:rPr>
          <w:rFonts w:ascii="Times New Roman" w:hAnsi="Times New Roman" w:cs="Times New Roman"/>
          <w:szCs w:val="24"/>
        </w:rPr>
      </w:pPr>
      <w:r>
        <w:rPr>
          <w:rFonts w:ascii="Times New Roman" w:hAnsi="Times New Roman"/>
        </w:rPr>
        <w:t>w okresie kampanii wyborczej, na podstawie dostępnych informacji, uzyskanych w wyniku monitorowania informacji wyborczych w internecie lub dostarczonych przez dowolną inną osobę lub w inny sposób, w odniesieniu do wcześniej zidentyfikowanej lokalizacji w internecie, Komisja uzyska przekonanie, że wszelki informacje wyborcze w internecie stanowią dezinformację, lub</w:t>
      </w:r>
    </w:p>
    <w:p w14:paraId="2547AD08" w14:textId="7862B69D" w:rsidR="000C2806" w:rsidRPr="00835148" w:rsidRDefault="000C2806" w:rsidP="009A3E29">
      <w:pPr>
        <w:pStyle w:val="ListParagraph"/>
        <w:numPr>
          <w:ilvl w:val="0"/>
          <w:numId w:val="70"/>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w dowolnym momencie, w okresie wyborczym [lub w okresie kampanii wyborczej] lub w innym momencie, Komisja uzyska przekonanie, na podstawie dostępnych informacji, uzyskanych w wyniku monitorowania informacji wyborczych w internecie lub dostarczonych przez dowolną inną osobę lub w inny sposób, w </w:t>
      </w:r>
      <w:r>
        <w:rPr>
          <w:rFonts w:ascii="Times New Roman" w:hAnsi="Times New Roman"/>
        </w:rPr>
        <w:lastRenderedPageBreak/>
        <w:t>odniesieniu do wcześniej zidentyfikowanej lokalizacji w internecie, że wszelkie internetowe informacje o procesie wyborczym stanowią informacje wprowadzające w błąd,</w:t>
      </w:r>
    </w:p>
    <w:p w14:paraId="0153C4F6" w14:textId="34A2F661" w:rsidR="003C524C" w:rsidRPr="00835148" w:rsidRDefault="000C2806" w:rsidP="00F6269D">
      <w:pPr>
        <w:spacing w:before="240" w:after="240"/>
        <w:ind w:left="1440"/>
        <w:jc w:val="both"/>
        <w:rPr>
          <w:rFonts w:ascii="Times New Roman" w:hAnsi="Times New Roman" w:cs="Times New Roman"/>
          <w:szCs w:val="24"/>
        </w:rPr>
      </w:pPr>
      <w:r>
        <w:rPr>
          <w:rFonts w:ascii="Times New Roman" w:hAnsi="Times New Roman"/>
        </w:rPr>
        <w:t>i Komisja uzyska przekonanie, że wydanie takiego nakazu jest niezbędne dla ochrony uczciwości lub integralności wyborów lub referendum, może ona wydać nakaz zablokowania dostępu, wymagający od każdego operatora lub hosta platformy internetowej podjęcia uzasadnionych kroków w celu uniemożliwienia użytkownikom końcowym dostępu do lokalizacji w internecie.</w:t>
      </w:r>
    </w:p>
    <w:p w14:paraId="05B7B26A" w14:textId="44D4A7D7" w:rsidR="003C524C" w:rsidRPr="00835148" w:rsidRDefault="003C524C" w:rsidP="009A3E29">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t>„Wcześniej zidentyfikowana lokalizacja internetowa” dla celów niniejszego art. to lokalizacja internetowa, w której dwie lub więcej wcześniejszych różnych treści dostępnych w internecie było przedmiotem zawiadomień na mocy niniejszego art. w tym samym okresie wyborczym, który to okres wyborczy jest taki sam jak okres wyborczy, w odniesieniu do którego proponuje się wydanie nakazu zablokowania dostępu.</w:t>
      </w:r>
    </w:p>
    <w:p w14:paraId="16E58BA8" w14:textId="0449D5CA" w:rsidR="006467B8" w:rsidRPr="00835148" w:rsidRDefault="006467B8" w:rsidP="00AE1118">
      <w:pPr>
        <w:pStyle w:val="ListParagraph"/>
        <w:numPr>
          <w:ilvl w:val="0"/>
          <w:numId w:val="37"/>
        </w:numPr>
        <w:spacing w:before="240" w:after="240"/>
        <w:ind w:left="1418" w:hanging="709"/>
        <w:contextualSpacing w:val="0"/>
        <w:jc w:val="both"/>
        <w:rPr>
          <w:rFonts w:ascii="Times New Roman" w:hAnsi="Times New Roman" w:cs="Times New Roman"/>
          <w:szCs w:val="24"/>
        </w:rPr>
      </w:pPr>
      <w:r>
        <w:rPr>
          <w:rFonts w:ascii="Times New Roman" w:hAnsi="Times New Roman"/>
        </w:rPr>
        <w:t>Zarządzenie wydane na podstawie niniejszego art.</w:t>
      </w:r>
    </w:p>
    <w:p w14:paraId="7F2B7023" w14:textId="68650A8C" w:rsidR="006467B8" w:rsidRPr="00835148" w:rsidRDefault="006A522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zawiera uzasadnienie opinii Komisji, że warunki określone w punkcie 1) zostały spełnione;</w:t>
      </w:r>
    </w:p>
    <w:p w14:paraId="4079F330" w14:textId="7EE3AF7E"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podać dokładną, wcześniej zidentyfikowaną lokalizację internetowych informacji wyborczych, o których mowa w ust. 1 lit. a) lub b);</w:t>
      </w:r>
    </w:p>
    <w:p w14:paraId="217357AC" w14:textId="07529187"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zawiera oświadczenie zalecane przez Komisję w odniesieniu do wcześniej zidentyfikowanej lokalizacji w internecie;</w:t>
      </w:r>
    </w:p>
    <w:p w14:paraId="60F73627" w14:textId="2B783FDC"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poinformowanie odbiorcy, że musi on spowodować umieszczenie oświadczenia, o którym mowa w lit. c), we wcześniej wskazanej lokalizacji w internecie, o którym mowa w lit. b); </w:t>
      </w:r>
    </w:p>
    <w:p w14:paraId="06E559C0" w14:textId="77777777"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informuje odbiorcę o prawie do odwołania się od nakazu na mocy art. 15 w ciągu pięciu dni.</w:t>
      </w:r>
    </w:p>
    <w:p w14:paraId="734443F4" w14:textId="38F6647F" w:rsidR="003C524C" w:rsidRPr="00835148" w:rsidRDefault="00097B82" w:rsidP="00AE1118">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W oświadczeniu, o którym mowa w ust. 3 lit. c), należy wyraźnie wskazać: </w:t>
      </w:r>
    </w:p>
    <w:p w14:paraId="1CEFDCDD" w14:textId="27A4CEA9" w:rsidR="003C524C" w:rsidRPr="00835148" w:rsidRDefault="000C2806" w:rsidP="00F6269D">
      <w:pPr>
        <w:pStyle w:val="ListParagraph"/>
        <w:widowControl w:val="0"/>
        <w:numPr>
          <w:ilvl w:val="1"/>
          <w:numId w:val="1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że nakaz zablokowania dostępu został wydany zgodnie z niniejszym artykułem;</w:t>
      </w:r>
    </w:p>
    <w:p w14:paraId="24BD4A3F" w14:textId="05A59468" w:rsidR="000C2806" w:rsidRPr="00835148" w:rsidRDefault="006A5228" w:rsidP="00F6269D">
      <w:pPr>
        <w:pStyle w:val="ListParagraph"/>
        <w:widowControl w:val="0"/>
        <w:numPr>
          <w:ilvl w:val="1"/>
          <w:numId w:val="1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krótki opis powodów, dla których Komisja wydała postanowienie; oraz </w:t>
      </w:r>
    </w:p>
    <w:p w14:paraId="7193586D" w14:textId="3C3AFB46" w:rsidR="004530EF" w:rsidRPr="00835148" w:rsidRDefault="000C2806" w:rsidP="00F6269D">
      <w:pPr>
        <w:pStyle w:val="ListParagraph"/>
        <w:widowControl w:val="0"/>
        <w:numPr>
          <w:ilvl w:val="1"/>
          <w:numId w:val="1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wszelkie dalsze informacje, które mogą być zalecane przez wytyczne lub uznane przez Komisję za niezbędne lub właściwe we wszystkich okolicznościach.</w:t>
      </w:r>
    </w:p>
    <w:p w14:paraId="5CE40083" w14:textId="3DC68DB0" w:rsidR="006B183B" w:rsidRPr="00835148" w:rsidRDefault="006B183B" w:rsidP="00AE1118">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lastRenderedPageBreak/>
        <w:t>Nakaz może również zawierać wszelkie dalsze informacje lub oświadczenia, jakie Komisja uzna za stosowne, uwzględniając wszystkie okoliczności.</w:t>
      </w:r>
    </w:p>
    <w:p w14:paraId="10614316" w14:textId="276DB608" w:rsidR="003C524C" w:rsidRPr="00835148" w:rsidRDefault="003C524C" w:rsidP="00F6269D">
      <w:pPr>
        <w:pStyle w:val="Heading2"/>
        <w:spacing w:before="480" w:after="240"/>
        <w:jc w:val="both"/>
      </w:pPr>
      <w:bookmarkStart w:id="442" w:name="_Toc106188841"/>
      <w:r>
        <w:t>Artykuł 10(v): Uprawnienia do regulowania zachowań manipulacyjnych lub nieautentycznych, w tym nieujawnionej działalności botów</w:t>
      </w:r>
      <w:bookmarkEnd w:id="442"/>
    </w:p>
    <w:p w14:paraId="7E575A49" w14:textId="77777777" w:rsidR="003C524C" w:rsidRPr="00835148" w:rsidRDefault="003C524C" w:rsidP="00F6269D">
      <w:pPr>
        <w:shd w:val="clear" w:color="auto" w:fill="FFFFFF"/>
        <w:spacing w:after="240"/>
        <w:ind w:left="720"/>
        <w:jc w:val="both"/>
        <w:rPr>
          <w:rFonts w:ascii="Times New Roman" w:eastAsia="Times New Roman" w:hAnsi="Times New Roman" w:cs="Times New Roman"/>
          <w:szCs w:val="24"/>
        </w:rPr>
      </w:pPr>
      <w:r>
        <w:rPr>
          <w:rFonts w:ascii="Times New Roman" w:hAnsi="Times New Roman"/>
          <w:i/>
          <w:bdr w:val="none" w:sz="0" w:space="0" w:color="auto" w:frame="1"/>
        </w:rPr>
        <w:t>Niniejszy artykuł stanowi, że: </w:t>
      </w:r>
    </w:p>
    <w:p w14:paraId="3ED03645" w14:textId="63A126AC" w:rsidR="0054222A" w:rsidRDefault="003C524C" w:rsidP="009A3E29">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t>W przypadku, gdy w okresie kampanii wyborczej Komisja uzyska przekonanie, że</w:t>
      </w:r>
    </w:p>
    <w:p w14:paraId="05AE388B" w14:textId="7C90F935" w:rsidR="0054222A" w:rsidRDefault="003C524C" w:rsidP="0054222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t>ma miejsce lub miała miejsce aktywność bota, która stanowi manipulacyjne lub nieautentyczne zachowanie lub użycie nieujawnionego bota wbrew postanowieniom art. 24, oraz</w:t>
      </w:r>
    </w:p>
    <w:p w14:paraId="46032534" w14:textId="2F30FB7A" w:rsidR="00E54139" w:rsidRDefault="00E54139" w:rsidP="0054222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t>wydanie zawiadomienia na mocy niniejszego punktu jest niezbędne dla ochrony uczciwości lub rzetelności wyborów lub referendum,</w:t>
      </w:r>
    </w:p>
    <w:p w14:paraId="782FA4AB" w14:textId="36ED2BDF" w:rsidR="003C524C" w:rsidRPr="00097869" w:rsidRDefault="00E573A7" w:rsidP="00350080">
      <w:pPr>
        <w:spacing w:before="240" w:after="240"/>
        <w:ind w:left="1418"/>
        <w:jc w:val="both"/>
        <w:rPr>
          <w:rFonts w:ascii="Times New Roman" w:hAnsi="Times New Roman" w:cs="Times New Roman"/>
          <w:szCs w:val="24"/>
        </w:rPr>
      </w:pPr>
      <w:r>
        <w:rPr>
          <w:rFonts w:ascii="Times New Roman" w:hAnsi="Times New Roman"/>
        </w:rPr>
        <w:t>Komisja może wydać zawiadomienie zobowiązujące operatora lub hosta platformy internetowej do opublikowania oświadczenia informującego wszystkich użytkowników końcowych, których to dotyczy, o manipulacyjnym lub nieautentycznym zachowaniu lub użyciu nieujawnionego bota, które jest sprzeczne z postanowieniami art. 24;</w:t>
      </w:r>
    </w:p>
    <w:p w14:paraId="19A832FF" w14:textId="70E529D0" w:rsidR="0082567D" w:rsidRPr="00835148" w:rsidRDefault="0082567D" w:rsidP="009A3E29">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oświadczenie, którego publikacja jest wymagana na mocy podart. 1, powinno zawierać wyraźne stwierdzenie, że </w:t>
      </w:r>
    </w:p>
    <w:p w14:paraId="64B9292A" w14:textId="0B40F8D5" w:rsidR="0082567D" w:rsidRPr="00835148" w:rsidRDefault="0082567D"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bdr w:val="none" w:sz="0" w:space="0" w:color="auto" w:frame="1"/>
        </w:rPr>
        <w:t xml:space="preserve">Komisja na mocy tego  art.wydała zawiadomienie określające działalność botów, </w:t>
      </w:r>
      <w:r>
        <w:rPr>
          <w:rFonts w:ascii="Times New Roman" w:hAnsi="Times New Roman"/>
        </w:rPr>
        <w:t>która stanowi manipulację lub nieautentyczne zachowanie</w:t>
      </w:r>
      <w:r>
        <w:rPr>
          <w:rFonts w:ascii="Times New Roman" w:hAnsi="Times New Roman"/>
          <w:bdr w:val="none" w:sz="0" w:space="0" w:color="auto" w:frame="1"/>
        </w:rPr>
        <w:t>;</w:t>
      </w:r>
    </w:p>
    <w:p w14:paraId="2E6D29DE" w14:textId="3444D4C6" w:rsidR="0082567D" w:rsidRPr="00835148" w:rsidRDefault="0082567D"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bdr w:val="none" w:sz="0" w:space="0" w:color="auto" w:frame="1"/>
        </w:rPr>
        <w:t>działania te zostały podjęte, ponieważ działalność bota zagrażała uczciwości lub rzetelności zbliżających się wyborów lub referendum;</w:t>
      </w:r>
    </w:p>
    <w:p w14:paraId="58CF0964" w14:textId="5696B7E7" w:rsidR="0082567D" w:rsidRPr="00835148" w:rsidRDefault="006A5228"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rPr>
        <w:t xml:space="preserve">uzasadnienie </w:t>
      </w:r>
      <w:r>
        <w:rPr>
          <w:rFonts w:ascii="Times New Roman" w:hAnsi="Times New Roman"/>
          <w:bdr w:val="none" w:sz="0" w:space="0" w:color="auto" w:frame="1"/>
        </w:rPr>
        <w:t xml:space="preserve"> opinii Komisji, że we wszystkich okolicznościach należy wymagać oznakowania danej czynności</w:t>
      </w:r>
      <w:r>
        <w:rPr>
          <w:rFonts w:ascii="Times New Roman" w:hAnsi="Times New Roman"/>
        </w:rPr>
        <w:t>;</w:t>
      </w:r>
      <w:r>
        <w:rPr>
          <w:rFonts w:ascii="Times New Roman" w:hAnsi="Times New Roman"/>
          <w:bdr w:val="none" w:sz="0" w:space="0" w:color="auto" w:frame="1"/>
        </w:rPr>
        <w:t xml:space="preserve"> oraz</w:t>
      </w:r>
    </w:p>
    <w:p w14:paraId="5FB2D273" w14:textId="2D63E9ED" w:rsidR="00CB3032" w:rsidRPr="00835148" w:rsidRDefault="00CB3032"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rPr>
        <w:t>że każda osoba fizyczna lub prawna, której bezpośrednio dotyczy zawiadomienie, może w ciągu pięciu dni odwołać się od niego zgodnie z postanowieniami artykułu 15.</w:t>
      </w:r>
    </w:p>
    <w:p w14:paraId="2DDE423A" w14:textId="77777777" w:rsidR="005E136A" w:rsidRDefault="003C524C" w:rsidP="005E136A">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t>W przypadku, gdy w okresie wyborów Komisja uzyska przekonanie, że</w:t>
      </w:r>
    </w:p>
    <w:p w14:paraId="6577E340" w14:textId="7A7CE14A" w:rsidR="005E136A" w:rsidRDefault="005E136A" w:rsidP="005E136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t>doszło do manipulacyjnego lub nieautentycznego zachowania (w tym gdy takie zachowanie wiąże się z wykorzystaniem botów), oraz</w:t>
      </w:r>
    </w:p>
    <w:p w14:paraId="12730342" w14:textId="04F95985" w:rsidR="005E136A" w:rsidRDefault="003C524C" w:rsidP="005E136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lastRenderedPageBreak/>
        <w:t xml:space="preserve">wydanie zawiadomienia na mocy niniejszego punktu jest niezbędne dla ochrony uczciwości lub rzetelności wyborów lub referendum, </w:t>
      </w:r>
    </w:p>
    <w:p w14:paraId="56CD2197" w14:textId="425E4875" w:rsidR="003C524C" w:rsidRPr="00097869" w:rsidRDefault="005E136A" w:rsidP="00097869">
      <w:pPr>
        <w:spacing w:before="240" w:after="240"/>
        <w:ind w:left="1418"/>
        <w:jc w:val="both"/>
        <w:rPr>
          <w:rFonts w:ascii="Times New Roman" w:hAnsi="Times New Roman" w:cs="Times New Roman"/>
          <w:szCs w:val="24"/>
        </w:rPr>
      </w:pPr>
      <w:r>
        <w:rPr>
          <w:rFonts w:ascii="Times New Roman" w:hAnsi="Times New Roman"/>
        </w:rPr>
        <w:t>Komisja może wydać zawiadomienie zobowiązujące każdego operatora lub hosta platformy internetowej do podjęcia uzasadnionych kroków w celu usunięcia takiego zachowania lub zapobieżenia mu.</w:t>
      </w:r>
    </w:p>
    <w:p w14:paraId="2C7CE5DE" w14:textId="6379130B" w:rsidR="0082567D" w:rsidRPr="00835148" w:rsidRDefault="0082567D" w:rsidP="009A3E29">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t>Zawiadomienie na mocy podart. 3 musi wyraźnie stwierdzać, że</w:t>
      </w:r>
    </w:p>
    <w:p w14:paraId="4E8B3E8E" w14:textId="575865BD" w:rsidR="0082567D" w:rsidRPr="00835148" w:rsidRDefault="0082567D"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bdr w:val="none" w:sz="0" w:space="0" w:color="auto" w:frame="1"/>
        </w:rPr>
        <w:t xml:space="preserve">Komisja, zgodnie z postanowieniami niniejszego art., wydała zawiadomienie nakazujące zaprzestanie danego zachowania, ponieważ zostało ono uznane za </w:t>
      </w:r>
      <w:r>
        <w:rPr>
          <w:rFonts w:ascii="Times New Roman" w:hAnsi="Times New Roman"/>
        </w:rPr>
        <w:t>zachowanie manipulacyjne lub nieautentyczne</w:t>
      </w:r>
      <w:r>
        <w:rPr>
          <w:rFonts w:ascii="Times New Roman" w:hAnsi="Times New Roman"/>
          <w:bdr w:val="none" w:sz="0" w:space="0" w:color="auto" w:frame="1"/>
        </w:rPr>
        <w:t>;</w:t>
      </w:r>
    </w:p>
    <w:p w14:paraId="46C4F88D" w14:textId="6CEBF01F" w:rsidR="0082567D" w:rsidRPr="00835148" w:rsidRDefault="0082567D"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bdr w:val="none" w:sz="0" w:space="0" w:color="auto" w:frame="1"/>
        </w:rPr>
        <w:t>Komisja podjęła takie działanie, ponieważ zidentyfikowana działalność zagrażała uczciwości lub rzetelności zbliżających się wyborów lub referendum; oraz</w:t>
      </w:r>
    </w:p>
    <w:p w14:paraId="34065D32" w14:textId="4858C061" w:rsidR="00C556FC" w:rsidRPr="00835148" w:rsidRDefault="006A5228"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rPr>
        <w:t xml:space="preserve">uzasadnienie </w:t>
      </w:r>
      <w:r>
        <w:rPr>
          <w:rFonts w:ascii="Times New Roman" w:hAnsi="Times New Roman"/>
          <w:bdr w:val="none" w:sz="0" w:space="0" w:color="auto" w:frame="1"/>
        </w:rPr>
        <w:t>opinii Komisji, że należy zażądać usunięcia informacji</w:t>
      </w:r>
      <w:r>
        <w:rPr>
          <w:rFonts w:ascii="Times New Roman" w:hAnsi="Times New Roman"/>
        </w:rPr>
        <w:t>;</w:t>
      </w:r>
      <w:r>
        <w:rPr>
          <w:rFonts w:ascii="Times New Roman" w:hAnsi="Times New Roman"/>
          <w:bdr w:val="none" w:sz="0" w:space="0" w:color="auto" w:frame="1"/>
        </w:rPr>
        <w:t xml:space="preserve"> oraz</w:t>
      </w:r>
    </w:p>
    <w:p w14:paraId="3A8A15A3" w14:textId="73321C48" w:rsidR="0082567D" w:rsidRPr="00835148" w:rsidRDefault="00C556FC"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rPr>
        <w:t>że każda osoba fizyczna lub prawna, której bezpośrednio dotyczy zawiadomienie, może w ciągu pięciu dni odwołać się od niego zgodnie z postanowieniami artykułu 15</w:t>
      </w:r>
      <w:r>
        <w:rPr>
          <w:rFonts w:ascii="Times New Roman" w:hAnsi="Times New Roman"/>
          <w:bdr w:val="none" w:sz="0" w:space="0" w:color="auto" w:frame="1"/>
        </w:rPr>
        <w:t>.</w:t>
      </w:r>
    </w:p>
    <w:p w14:paraId="36B3C2F7" w14:textId="5ED4DA1F" w:rsidR="00570841" w:rsidRDefault="00570841" w:rsidP="00883C74">
      <w:pPr>
        <w:pStyle w:val="Heading1"/>
      </w:pPr>
      <w:bookmarkStart w:id="443" w:name="_Toc99549912"/>
      <w:bookmarkStart w:id="444" w:name="_Toc99550661"/>
      <w:bookmarkStart w:id="445" w:name="_Toc97143784"/>
      <w:bookmarkStart w:id="446" w:name="_Toc106188842"/>
      <w:bookmarkEnd w:id="443"/>
      <w:bookmarkEnd w:id="444"/>
      <w:bookmarkEnd w:id="445"/>
      <w:r>
        <w:t>[Artykuł 11 usunięto]</w:t>
      </w:r>
      <w:bookmarkEnd w:id="446"/>
    </w:p>
    <w:p w14:paraId="18188DF2" w14:textId="449D75DA" w:rsidR="00351F7D" w:rsidRPr="00835148" w:rsidRDefault="00351F7D" w:rsidP="00883C74">
      <w:pPr>
        <w:pStyle w:val="Heading1"/>
      </w:pPr>
      <w:bookmarkStart w:id="447" w:name="_Toc106188843"/>
      <w:r>
        <w:t>Artykuł 12: Wniosek do sądu o wydanie nakazu zastosowania się do ogłoszenia lub nakazu</w:t>
      </w:r>
      <w:bookmarkEnd w:id="447"/>
    </w:p>
    <w:p w14:paraId="010A2A2D" w14:textId="77777777" w:rsidR="00351F7D" w:rsidRPr="00835148" w:rsidRDefault="00351F7D" w:rsidP="00F6269D">
      <w:pPr>
        <w:ind w:left="720"/>
        <w:jc w:val="both"/>
        <w:rPr>
          <w:rFonts w:ascii="Times New Roman" w:hAnsi="Times New Roman" w:cs="Times New Roman"/>
          <w:i/>
          <w:iCs/>
          <w:szCs w:val="24"/>
        </w:rPr>
      </w:pPr>
      <w:r>
        <w:rPr>
          <w:rFonts w:ascii="Times New Roman" w:hAnsi="Times New Roman"/>
          <w:i/>
        </w:rPr>
        <w:t>Niniejszy artykuł stanowi, że:</w:t>
      </w:r>
    </w:p>
    <w:p w14:paraId="7E00A8BB" w14:textId="57D24FA0" w:rsidR="00351F7D" w:rsidRPr="00835148" w:rsidRDefault="00351F7D" w:rsidP="009A3E29">
      <w:pPr>
        <w:pStyle w:val="PlainText"/>
        <w:numPr>
          <w:ilvl w:val="1"/>
          <w:numId w:val="25"/>
        </w:numPr>
        <w:spacing w:after="240" w:line="276" w:lineRule="auto"/>
        <w:ind w:left="1560" w:hanging="426"/>
        <w:jc w:val="both"/>
        <w:rPr>
          <w:rFonts w:ascii="Times New Roman" w:hAnsi="Times New Roman" w:cs="Times New Roman"/>
          <w:sz w:val="24"/>
          <w:szCs w:val="24"/>
        </w:rPr>
      </w:pPr>
      <w:r>
        <w:rPr>
          <w:rFonts w:ascii="Times New Roman" w:hAnsi="Times New Roman"/>
          <w:sz w:val="24"/>
        </w:rPr>
        <w:t>Komisja może wystąpić do Wysokiego Trybunału o wydanie nakazu wykonania zawiadomienia lub nakazu wydanego na mocy art. 10.</w:t>
      </w:r>
    </w:p>
    <w:p w14:paraId="7A560A76" w14:textId="04CC530B" w:rsidR="00351F7D" w:rsidRDefault="00351F7D" w:rsidP="009A3E29">
      <w:pPr>
        <w:pStyle w:val="PlainText"/>
        <w:numPr>
          <w:ilvl w:val="1"/>
          <w:numId w:val="25"/>
        </w:numPr>
        <w:spacing w:after="240" w:line="276" w:lineRule="auto"/>
        <w:ind w:left="1560" w:hanging="426"/>
        <w:jc w:val="both"/>
        <w:rPr>
          <w:rFonts w:ascii="Times New Roman" w:hAnsi="Times New Roman" w:cs="Times New Roman"/>
          <w:sz w:val="24"/>
          <w:szCs w:val="24"/>
        </w:rPr>
      </w:pPr>
      <w:r>
        <w:rPr>
          <w:rFonts w:ascii="Times New Roman" w:hAnsi="Times New Roman"/>
          <w:sz w:val="24"/>
        </w:rPr>
        <w:t xml:space="preserve">Wniosek taki składa się po uprzednim zawiadomieniu osoby, której Komisja doręczyła zawiadomienie lub zarządzenie. </w:t>
      </w:r>
    </w:p>
    <w:p w14:paraId="5E0785DB" w14:textId="67DB838A" w:rsidR="00351F7D" w:rsidRPr="00835148" w:rsidRDefault="00351F7D" w:rsidP="00883C74">
      <w:pPr>
        <w:pStyle w:val="Heading1"/>
      </w:pPr>
      <w:bookmarkStart w:id="448" w:name="_Toc106188844"/>
      <w:r>
        <w:t>Artykuł 13: Uprawnienie do wydawania ostrzeżeń dla społeczeństwa o działaniach, które mogą zakłócić uczciwość lub rzetelność wyborów lub referendum</w:t>
      </w:r>
      <w:bookmarkEnd w:id="448"/>
    </w:p>
    <w:p w14:paraId="61A6FCD8" w14:textId="77777777" w:rsidR="00351F7D" w:rsidRPr="00835148" w:rsidRDefault="00351F7D"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Niniejszy artykuł stanowi, że:</w:t>
      </w:r>
    </w:p>
    <w:p w14:paraId="5E3EE5F3" w14:textId="440B579C" w:rsidR="00351F7D" w:rsidRPr="00835148" w:rsidRDefault="00351F7D" w:rsidP="009A3E29">
      <w:pPr>
        <w:pStyle w:val="ListParagraph"/>
        <w:numPr>
          <w:ilvl w:val="0"/>
          <w:numId w:val="31"/>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Komisja może wystosowywać komunikaty do odbiorców lub jakiejkolwiek ich części w związku z fałszywymi [lub wprowadzającymi w błąd] internetowymi informacjami wyborczymi, fałszywymi [lub wprowadzającymi w błąd] informacjami o procesie wyborczym lub stosowaniem manipulacji lub </w:t>
      </w:r>
      <w:r>
        <w:rPr>
          <w:rFonts w:ascii="Times New Roman" w:hAnsi="Times New Roman"/>
        </w:rPr>
        <w:lastRenderedPageBreak/>
        <w:t>nieautentycznych zachowań, ilekroć uzna taką komunikację za stosowną w ramach realizacji swoich funkcji edukacyjnych lub innych.</w:t>
      </w:r>
    </w:p>
    <w:p w14:paraId="2E08824E" w14:textId="6E76CF30" w:rsidR="00351F7D" w:rsidRPr="00835148" w:rsidRDefault="00351F7D" w:rsidP="009A3E29">
      <w:pPr>
        <w:pStyle w:val="ListParagraph"/>
        <w:numPr>
          <w:ilvl w:val="0"/>
          <w:numId w:val="31"/>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Komisja może również wydawać ostrzeżenia dla społeczeństwa, ilekroć uzna, że istnieje zagrożenie dla uczciwości lub rzetelności wyborów lub referendum, tak że w interesie publicznym leży zwrócenie uwagi na takie dostrzeżone zagrożenie. Każde ostrzeżenie może, między innymi, określać charakter, źródło i dotkliwość postrzeganego zagrożenia oraz wszelkie działania, które Komisja proponuje podjąć lub rozważyć w związku z nim, a także wszelkie zalecenia dotyczące działań społeczeństwa lub innych osób w związku z nim. </w:t>
      </w:r>
    </w:p>
    <w:p w14:paraId="01439B97" w14:textId="1CBD8DEF" w:rsidR="00351F7D" w:rsidRPr="00835148" w:rsidRDefault="00351F7D" w:rsidP="00883C74">
      <w:pPr>
        <w:pStyle w:val="Heading1"/>
      </w:pPr>
      <w:bookmarkStart w:id="449" w:name="_Toc106188845"/>
      <w:r>
        <w:t>Artykuł 14: Mechanizm zgłaszania przez obywateli przypadków dezinformacji, informacji wprowadzających w błąd oraz zachowań manipulacyjnych lub nieautentycznych</w:t>
      </w:r>
      <w:bookmarkEnd w:id="449"/>
    </w:p>
    <w:p w14:paraId="19B4A3C9" w14:textId="77777777" w:rsidR="00351F7D" w:rsidRPr="00835148" w:rsidRDefault="00351F7D"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Niniejszy artykuł stanowi, że:</w:t>
      </w:r>
    </w:p>
    <w:p w14:paraId="617362B5" w14:textId="77777777" w:rsidR="000C2806" w:rsidRPr="00835148" w:rsidRDefault="00351F7D" w:rsidP="009A3E29">
      <w:pPr>
        <w:spacing w:before="240" w:after="240"/>
        <w:ind w:left="720"/>
        <w:jc w:val="both"/>
        <w:rPr>
          <w:rFonts w:ascii="Times New Roman" w:hAnsi="Times New Roman" w:cs="Times New Roman"/>
          <w:szCs w:val="24"/>
        </w:rPr>
      </w:pPr>
      <w:r>
        <w:rPr>
          <w:rFonts w:ascii="Times New Roman" w:hAnsi="Times New Roman"/>
        </w:rPr>
        <w:t>Komisja może udostępnić na swojej stronie internetowej funkcję bezpośredniego zgłaszania, dzięki której obywatele mogą zgłaszać</w:t>
      </w:r>
    </w:p>
    <w:p w14:paraId="287F4203" w14:textId="1A99BEC2" w:rsidR="000C2806" w:rsidRPr="00835148" w:rsidRDefault="00351F7D" w:rsidP="00F6269D">
      <w:pPr>
        <w:pStyle w:val="ListParagraph"/>
        <w:numPr>
          <w:ilvl w:val="0"/>
          <w:numId w:val="105"/>
        </w:numPr>
        <w:spacing w:before="240" w:after="240"/>
        <w:ind w:left="1701" w:hanging="621"/>
        <w:contextualSpacing w:val="0"/>
        <w:jc w:val="both"/>
        <w:rPr>
          <w:rFonts w:ascii="Times New Roman" w:hAnsi="Times New Roman" w:cs="Times New Roman"/>
          <w:szCs w:val="24"/>
        </w:rPr>
      </w:pPr>
      <w:r>
        <w:rPr>
          <w:rFonts w:ascii="Times New Roman" w:hAnsi="Times New Roman"/>
        </w:rPr>
        <w:t>podejrzenie wystąpienia przypadków dezinformacji w okresie wyborczym [lub w okresie kampanii wyborczej];</w:t>
      </w:r>
    </w:p>
    <w:p w14:paraId="13BF49D1" w14:textId="55865F8F" w:rsidR="000C2806" w:rsidRPr="00835148" w:rsidRDefault="000C2806" w:rsidP="00F6269D">
      <w:pPr>
        <w:pStyle w:val="ListParagraph"/>
        <w:numPr>
          <w:ilvl w:val="0"/>
          <w:numId w:val="105"/>
        </w:numPr>
        <w:spacing w:before="240" w:after="240"/>
        <w:ind w:left="1701" w:hanging="621"/>
        <w:contextualSpacing w:val="0"/>
        <w:jc w:val="both"/>
        <w:rPr>
          <w:rFonts w:ascii="Times New Roman" w:hAnsi="Times New Roman" w:cs="Times New Roman"/>
          <w:szCs w:val="24"/>
        </w:rPr>
      </w:pPr>
      <w:r>
        <w:rPr>
          <w:rFonts w:ascii="Times New Roman" w:hAnsi="Times New Roman"/>
        </w:rPr>
        <w:t xml:space="preserve">przypadki informacji wprowadzających w błąd w każdym czasie lub </w:t>
      </w:r>
    </w:p>
    <w:p w14:paraId="5135EF3C" w14:textId="427FE931" w:rsidR="00351F7D" w:rsidRPr="00835148" w:rsidRDefault="00351F7D" w:rsidP="00F6269D">
      <w:pPr>
        <w:pStyle w:val="ListParagraph"/>
        <w:numPr>
          <w:ilvl w:val="0"/>
          <w:numId w:val="105"/>
        </w:numPr>
        <w:spacing w:before="240" w:after="240"/>
        <w:ind w:left="1701" w:hanging="621"/>
        <w:contextualSpacing w:val="0"/>
        <w:jc w:val="both"/>
        <w:rPr>
          <w:rFonts w:ascii="Times New Roman" w:hAnsi="Times New Roman" w:cs="Times New Roman"/>
          <w:szCs w:val="24"/>
        </w:rPr>
      </w:pPr>
      <w:r>
        <w:rPr>
          <w:rFonts w:ascii="Times New Roman" w:hAnsi="Times New Roman"/>
        </w:rPr>
        <w:t>podejrzenie zachowań manipulacyjnych lub nieautentycznych, w tym nieujawnionego użycia botów, w okresie wyborczym [lub w okresie kampanii wyborczej].</w:t>
      </w:r>
    </w:p>
    <w:p w14:paraId="11CA4728" w14:textId="1F80FCE0" w:rsidR="00351F7D" w:rsidRPr="008273CD" w:rsidRDefault="00351F7D" w:rsidP="008273CD">
      <w:pPr>
        <w:pStyle w:val="Heading1"/>
        <w:jc w:val="center"/>
        <w:rPr>
          <w:sz w:val="28"/>
          <w:szCs w:val="28"/>
        </w:rPr>
      </w:pPr>
      <w:bookmarkStart w:id="450" w:name="_Toc106188846"/>
      <w:r>
        <w:rPr>
          <w:sz w:val="28"/>
        </w:rPr>
        <w:t>Rozdział 4: Prawa proceduralne</w:t>
      </w:r>
      <w:bookmarkEnd w:id="450"/>
    </w:p>
    <w:p w14:paraId="27E6F90E" w14:textId="54105180" w:rsidR="003C524C" w:rsidRPr="00835148" w:rsidRDefault="003C524C" w:rsidP="00883C74">
      <w:pPr>
        <w:pStyle w:val="Heading1"/>
      </w:pPr>
      <w:bookmarkStart w:id="451" w:name="_Toc106188847"/>
      <w:r>
        <w:t>Artykuł 15: Prawo do odwołania się od zawiadomienia lub nakazu</w:t>
      </w:r>
      <w:bookmarkEnd w:id="451"/>
    </w:p>
    <w:p w14:paraId="51898644" w14:textId="77777777" w:rsidR="008803E5" w:rsidRPr="00835148" w:rsidRDefault="008803E5"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Niniejszy artykuł stanowi, że</w:t>
      </w:r>
      <w:r>
        <w:rPr>
          <w:rFonts w:ascii="Times New Roman" w:hAnsi="Times New Roman"/>
          <w:i/>
        </w:rPr>
        <w:t>:</w:t>
      </w:r>
    </w:p>
    <w:p w14:paraId="04D10425" w14:textId="456AD3E3" w:rsidR="004D74F5" w:rsidRPr="008273CD" w:rsidRDefault="004D74F5" w:rsidP="008273CD">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(a) W odniesieniu do każdego zawiadomienia lub nakazu doręczonego zgodnie z postanowieniami art. 10 można wnieść odwołanie do zespołu odwoławczego Komisji, nie później niż w ciągu 3 dni od daty doręczenia zawiadomienia lub nakazu, przy czym wniesienie odwołania nie ma wpływu na skutek zawiadomienia lub nakazu do czasu jego rozpatrzenia, chyba że zespół odwoławczy, uwzględniając istnienie wyjątkowych okoliczności, postanowi inaczej.</w:t>
      </w:r>
    </w:p>
    <w:p w14:paraId="01BD0325" w14:textId="08C4A515" w:rsidR="00C963E4" w:rsidRPr="0054587C" w:rsidRDefault="00C963E4" w:rsidP="00C963E4">
      <w:pPr>
        <w:spacing w:before="240" w:after="240"/>
        <w:ind w:left="1440"/>
        <w:jc w:val="both"/>
        <w:rPr>
          <w:rFonts w:ascii="Times New Roman" w:hAnsi="Times New Roman" w:cs="Times New Roman"/>
          <w:szCs w:val="24"/>
        </w:rPr>
      </w:pPr>
      <w:r>
        <w:rPr>
          <w:rFonts w:ascii="Times New Roman" w:hAnsi="Times New Roman"/>
        </w:rPr>
        <w:lastRenderedPageBreak/>
        <w:t>(b) Odwołanie na podstawie lit. a) może złożyć każda osoba fizyczna lub prawna, której bezpośrednio dotyczy ogłoszenie lub zarządzenie, w tym platforma internetowa.</w:t>
      </w:r>
    </w:p>
    <w:p w14:paraId="6BA95C15" w14:textId="3A728664" w:rsidR="00C963E4" w:rsidRPr="0054587C" w:rsidRDefault="00C963E4" w:rsidP="0054587C">
      <w:pPr>
        <w:spacing w:before="240" w:after="240"/>
        <w:ind w:left="1440"/>
        <w:jc w:val="both"/>
        <w:rPr>
          <w:rFonts w:ascii="Times New Roman" w:hAnsi="Times New Roman" w:cs="Times New Roman"/>
          <w:szCs w:val="24"/>
        </w:rPr>
      </w:pPr>
      <w:r>
        <w:rPr>
          <w:rFonts w:ascii="Times New Roman" w:hAnsi="Times New Roman"/>
        </w:rPr>
        <w:t>(c) Nie przyjmuje się odwołania, jeżeli nie zostało ono złożone przez osobę fizyczną (w jej własnym imieniu lub w imieniu wskazanej osoby prawnej), która to osoba fizyczna musi podać swój numer PPS, numer telefonu kontaktowego oraz spełnić inne wymagania, które mogą zostać określone przez Komisję w celu zapewnienia uczciwości osoby składającej odwołanie.</w:t>
      </w:r>
    </w:p>
    <w:p w14:paraId="54F72CAE" w14:textId="38B995C1" w:rsidR="004D74F5" w:rsidRDefault="004D74F5" w:rsidP="0054587C">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Odwołanie na mocy ustępu (1) – </w:t>
      </w:r>
    </w:p>
    <w:p w14:paraId="73D60D71" w14:textId="55031BAB" w:rsidR="004D74F5" w:rsidRDefault="004D74F5" w:rsidP="004D74F5">
      <w:pPr>
        <w:spacing w:before="240" w:after="240"/>
        <w:ind w:left="1440"/>
        <w:jc w:val="both"/>
        <w:rPr>
          <w:rFonts w:ascii="Times New Roman" w:hAnsi="Times New Roman" w:cs="Times New Roman"/>
          <w:szCs w:val="24"/>
        </w:rPr>
      </w:pPr>
      <w:r>
        <w:rPr>
          <w:rFonts w:ascii="Times New Roman" w:hAnsi="Times New Roman"/>
        </w:rPr>
        <w:t>(a) ma formę pisemną i jest dokonywane za pośrednictwem portalu udostępnionego w tym celu na stronie internetowej Komisji,</w:t>
      </w:r>
    </w:p>
    <w:p w14:paraId="18581404" w14:textId="2003B035" w:rsidR="004D74F5" w:rsidRDefault="004D74F5" w:rsidP="003A319A">
      <w:pPr>
        <w:spacing w:before="240" w:after="240"/>
        <w:ind w:left="1440"/>
        <w:jc w:val="both"/>
        <w:rPr>
          <w:rFonts w:ascii="Times New Roman" w:hAnsi="Times New Roman" w:cs="Times New Roman"/>
          <w:szCs w:val="24"/>
        </w:rPr>
      </w:pPr>
      <w:r>
        <w:rPr>
          <w:rFonts w:ascii="Times New Roman" w:hAnsi="Times New Roman"/>
        </w:rPr>
        <w:t xml:space="preserve">(b) wskazuje wszystkie podstawy odwołania i przedstawia komisji odwoławczej wszystkie dokumenty i dowody, które mają stanowić podstawę do powołania się na te podstawy, oraz </w:t>
      </w:r>
    </w:p>
    <w:p w14:paraId="0DEB6A4E" w14:textId="327C0A1F" w:rsidR="007A3BB8" w:rsidRPr="003A319A" w:rsidRDefault="004D74F5" w:rsidP="008273CD">
      <w:pPr>
        <w:spacing w:before="240" w:after="240"/>
        <w:ind w:left="1440"/>
        <w:jc w:val="both"/>
      </w:pPr>
      <w:r>
        <w:rPr>
          <w:rFonts w:ascii="Times New Roman" w:hAnsi="Times New Roman"/>
        </w:rPr>
        <w:t xml:space="preserve">(c) jest adresowane do przewodniczącego komisji odwoławczej i doręczane lub wysyłane w taki sposób, aby dotarło do przewodniczącego w terminie określonym w ustępie 1. </w:t>
      </w:r>
    </w:p>
    <w:p w14:paraId="6FD810A5" w14:textId="4B4C54CB" w:rsidR="007A3BB8" w:rsidRPr="008273CD" w:rsidRDefault="007A3BB8" w:rsidP="008273CD">
      <w:pPr>
        <w:pStyle w:val="ListParagraph"/>
        <w:numPr>
          <w:ilvl w:val="0"/>
          <w:numId w:val="72"/>
        </w:numPr>
        <w:spacing w:before="240" w:after="240"/>
        <w:ind w:left="1440" w:hanging="720"/>
        <w:contextualSpacing w:val="0"/>
        <w:jc w:val="both"/>
        <w:rPr>
          <w:rFonts w:ascii="Times New Roman" w:hAnsi="Times New Roman" w:cs="Times New Roman"/>
          <w:szCs w:val="24"/>
        </w:rPr>
      </w:pPr>
      <w:r>
        <w:rPr>
          <w:rFonts w:ascii="Times New Roman" w:hAnsi="Times New Roman"/>
        </w:rPr>
        <w:t>Komisja odwoławcza składa się z jednego lub więcej członków Komisji i jest niezależna od osoby podejmującej pierwotną decyzję.</w:t>
      </w:r>
    </w:p>
    <w:p w14:paraId="6E65E8BA" w14:textId="445BC72E" w:rsidR="007A3BB8" w:rsidRPr="008273CD" w:rsidRDefault="004D74F5" w:rsidP="008273CD">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Komisja odwoławcza rozstrzyga odwołanie bez rozprawy, chyba że, uwzględniając szczególne okoliczności odwołania, uzna, że przeprowadzenie rozprawy jest niezbędne do prawidłowego i sprawiedliwego rozstrzygnięcia odwołania. </w:t>
      </w:r>
    </w:p>
    <w:p w14:paraId="014018F0" w14:textId="2C9383C1" w:rsidR="007A3BB8" w:rsidRDefault="004D74F5" w:rsidP="004D74F5">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Komisja może przyjąć takie zasady i ustanowić takie procedury w odniesieniu do prowadzenia odwołań i przesłuchań ustnych, jakie uzna za stosowne, oraz publikuje te zasady i procedury na stronie internetowej prowadzonej przez Komisję lub w jej imieniu. </w:t>
      </w:r>
    </w:p>
    <w:p w14:paraId="13095EC5" w14:textId="77777777" w:rsidR="007A3BB8" w:rsidRPr="00E4201E" w:rsidRDefault="007A3BB8" w:rsidP="0054587C">
      <w:pPr>
        <w:pStyle w:val="ListParagraph"/>
        <w:rPr>
          <w:rFonts w:ascii="Times New Roman" w:hAnsi="Times New Roman" w:cs="Times New Roman"/>
          <w:szCs w:val="24"/>
        </w:rPr>
      </w:pPr>
    </w:p>
    <w:p w14:paraId="48544A9E" w14:textId="77777777" w:rsidR="007A3BB8" w:rsidRDefault="004D74F5" w:rsidP="004D74F5">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Przewodniczący komisji odwoławczej ma swobodę w prowadzeniu przesłuchania ustnego na mocy niniejszego ustępu i prowadzi je lub zapewnia jego sprawny przebieg bez zbędnych formalności. (</w:t>
      </w:r>
    </w:p>
    <w:p w14:paraId="64BF5D3F" w14:textId="77777777" w:rsidR="007A3BB8" w:rsidRPr="0054587C" w:rsidRDefault="007A3BB8" w:rsidP="0054587C">
      <w:pPr>
        <w:pStyle w:val="ListParagraph"/>
        <w:rPr>
          <w:rFonts w:ascii="Times New Roman" w:hAnsi="Times New Roman" w:cs="Times New Roman"/>
          <w:szCs w:val="24"/>
          <w:lang w:val="en-IE"/>
        </w:rPr>
      </w:pPr>
    </w:p>
    <w:p w14:paraId="50DA68FA" w14:textId="77777777" w:rsidR="007A3BB8" w:rsidRDefault="004D74F5" w:rsidP="004D74F5">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Zespół odwoławczy, rozpatrując odwołanie na podstawie niniejszego ustępu </w:t>
      </w:r>
    </w:p>
    <w:p w14:paraId="65FA28D8" w14:textId="77777777" w:rsidR="007A3BB8" w:rsidRPr="0054587C" w:rsidRDefault="007A3BB8" w:rsidP="0054587C">
      <w:pPr>
        <w:pStyle w:val="ListParagraph"/>
        <w:rPr>
          <w:rFonts w:ascii="Times New Roman" w:hAnsi="Times New Roman" w:cs="Times New Roman"/>
          <w:szCs w:val="24"/>
          <w:lang w:val="en-IE"/>
        </w:rPr>
      </w:pPr>
    </w:p>
    <w:p w14:paraId="1978BC2F" w14:textId="77777777"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(a) rozpatruje podstawy odwołania podane zgodnie z punktem 2 lit. b),</w:t>
      </w:r>
    </w:p>
    <w:p w14:paraId="0E5514C8"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18A5DFD3" w14:textId="66EE3729"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lastRenderedPageBreak/>
        <w:t xml:space="preserve">(b) rozpatruje ogłoszenie lub postanowienie oraz wszelkie inne informacje związane z ogłoszeniem lub postanowieniem, które zdaniem zespołu odwoławczego mogą mieć znaczenie dla rozstrzygnięcia, oraz </w:t>
      </w:r>
    </w:p>
    <w:p w14:paraId="0E97B0E3"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4A65FBBC" w14:textId="4FB8A58C"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(c) może, jeżeli uzna to za konieczne lub celowe dla sprawiedliwego i prawidłowego rozpatrzenia odwołania, uwzględnić takie oświadczenia, dokumenty lub dowody, które nie zostały zawarte w zawiadomieniu lub postanowieniu, a które zespół odwoławczy uzna za stosowne. </w:t>
      </w:r>
    </w:p>
    <w:p w14:paraId="7DDC91AD"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5BBE4970" w14:textId="77777777"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Rozpatrując odwołanie na podstawie niniejszego ustępu, komisja odwoławcza może, jeżeli uzna to za uzasadnione, podjąć następujące kroki </w:t>
      </w:r>
    </w:p>
    <w:p w14:paraId="06B3C8EE"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63A86DFB" w14:textId="2D0FE11E"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(a) potwierdzić ogłoszenie lub postanowienie, </w:t>
      </w:r>
    </w:p>
    <w:p w14:paraId="26F1DF07"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7B5C1BB7" w14:textId="3AB6E884"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(b) zmienić zawiadomienie lub nakaz na warunkach, jakie uzna za stosowne, lub </w:t>
      </w:r>
    </w:p>
    <w:p w14:paraId="58FF3D7B"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2973109C" w14:textId="289CE801" w:rsidR="007A3BB8" w:rsidRDefault="003A319A"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(c) anulować ogłoszenie lub zamówienie. </w:t>
      </w:r>
    </w:p>
    <w:p w14:paraId="3513828B"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5AAE9655" w14:textId="587D77C3"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Jeżeli w odwołaniu komisja odwoławcza zmieni ogłoszenie lub postanowienie, zmienione w ten sposób ogłoszenie lub postanowienie staje się skuteczne natychmiast po rozstrzygnięciu odwołania. </w:t>
      </w:r>
    </w:p>
    <w:p w14:paraId="4168F76F" w14:textId="77777777" w:rsidR="007A3BB8" w:rsidRDefault="007A3BB8" w:rsidP="0054587C">
      <w:pPr>
        <w:pStyle w:val="ListParagraph"/>
        <w:spacing w:before="240" w:after="240"/>
        <w:ind w:left="1440"/>
        <w:jc w:val="both"/>
        <w:rPr>
          <w:rFonts w:ascii="Times New Roman" w:hAnsi="Times New Roman" w:cs="Times New Roman"/>
          <w:szCs w:val="24"/>
          <w:lang w:val="en-IE"/>
        </w:rPr>
      </w:pPr>
    </w:p>
    <w:p w14:paraId="26491444" w14:textId="77777777"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Aby zapewnić skuteczne, sprawiedliwe i terminowe rozpatrywanie odwołania, komisja odwoławcza może określić procedury dotyczące przebiegu odwołania.</w:t>
      </w:r>
    </w:p>
    <w:p w14:paraId="5C9B470C" w14:textId="77777777" w:rsidR="007A3BB8" w:rsidRPr="0054587C" w:rsidRDefault="007A3BB8" w:rsidP="0054587C">
      <w:pPr>
        <w:pStyle w:val="ListParagraph"/>
        <w:rPr>
          <w:rFonts w:ascii="Times New Roman" w:hAnsi="Times New Roman" w:cs="Times New Roman"/>
          <w:szCs w:val="24"/>
          <w:lang w:val="en-IE"/>
        </w:rPr>
      </w:pPr>
    </w:p>
    <w:p w14:paraId="5ADFF343" w14:textId="77777777"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Komisja odwoławcza może w terminie określonym we wniosku zwrócić się na piśmie do dowolnej osoby o udzielenie informacji, których w uzasadniony sposób może ona potrzebować do celów wykonywania swoich funkcji na mocy niniejszego ustępu.</w:t>
      </w:r>
    </w:p>
    <w:p w14:paraId="5C843B96" w14:textId="77777777" w:rsidR="007A3BB8" w:rsidRPr="0054587C" w:rsidRDefault="007A3BB8" w:rsidP="0054587C">
      <w:pPr>
        <w:pStyle w:val="ListParagraph"/>
        <w:rPr>
          <w:rFonts w:ascii="Times New Roman" w:hAnsi="Times New Roman" w:cs="Times New Roman"/>
          <w:szCs w:val="24"/>
          <w:lang w:val="en-IE"/>
        </w:rPr>
      </w:pPr>
    </w:p>
    <w:p w14:paraId="06E1F871" w14:textId="77777777" w:rsidR="00C963E4" w:rsidRPr="0054587C" w:rsidRDefault="00C963E4" w:rsidP="0054587C">
      <w:pPr>
        <w:pStyle w:val="ListParagraph"/>
        <w:spacing w:before="240" w:after="240"/>
        <w:ind w:left="1440"/>
        <w:jc w:val="both"/>
        <w:rPr>
          <w:rFonts w:ascii="Times New Roman" w:hAnsi="Times New Roman" w:cs="Times New Roman"/>
          <w:szCs w:val="24"/>
          <w:lang w:val="en-IE"/>
        </w:rPr>
      </w:pPr>
    </w:p>
    <w:p w14:paraId="08FCA2BE" w14:textId="29456C59" w:rsidR="003C524C" w:rsidRPr="00835148" w:rsidRDefault="003C524C" w:rsidP="009A3E29">
      <w:pPr>
        <w:pStyle w:val="ListParagraph"/>
        <w:numPr>
          <w:ilvl w:val="0"/>
          <w:numId w:val="72"/>
        </w:numPr>
        <w:spacing w:before="240" w:after="240"/>
        <w:ind w:left="1440" w:hanging="720"/>
        <w:contextualSpacing w:val="0"/>
        <w:jc w:val="both"/>
        <w:rPr>
          <w:rFonts w:ascii="Times New Roman" w:hAnsi="Times New Roman" w:cs="Times New Roman"/>
          <w:szCs w:val="24"/>
        </w:rPr>
      </w:pPr>
      <w:r>
        <w:rPr>
          <w:rFonts w:ascii="Times New Roman" w:hAnsi="Times New Roman"/>
        </w:rPr>
        <w:t>Złożenie odwołania w imieniu innej osoby lub w fałszywym imieniu, lub w imieniu spółki bez zgody dyrektorów tej spółki (lub zgodnie z postanowieniami statutu spółki) jest przestępstwem.</w:t>
      </w:r>
    </w:p>
    <w:p w14:paraId="04A958A7" w14:textId="250E3BF4" w:rsidR="003C524C" w:rsidRDefault="003C524C" w:rsidP="009A3E29">
      <w:pPr>
        <w:pStyle w:val="ListParagraph"/>
        <w:numPr>
          <w:ilvl w:val="0"/>
          <w:numId w:val="72"/>
        </w:numPr>
        <w:spacing w:before="240" w:after="240"/>
        <w:ind w:left="1440" w:hanging="720"/>
        <w:contextualSpacing w:val="0"/>
        <w:jc w:val="both"/>
        <w:rPr>
          <w:rFonts w:ascii="Times New Roman" w:hAnsi="Times New Roman" w:cs="Times New Roman"/>
          <w:szCs w:val="24"/>
        </w:rPr>
      </w:pPr>
      <w:r>
        <w:rPr>
          <w:rFonts w:ascii="Times New Roman" w:hAnsi="Times New Roman"/>
        </w:rPr>
        <w:t>Odwołanie jest rozpatrywane i rozstrzygane w najkrótszym możliwym terminie.</w:t>
      </w:r>
    </w:p>
    <w:p w14:paraId="2E1EC866" w14:textId="77777777" w:rsidR="003A319A" w:rsidRPr="0054587C" w:rsidRDefault="003A319A" w:rsidP="0054587C">
      <w:pPr>
        <w:spacing w:before="240" w:after="240"/>
        <w:ind w:left="720"/>
        <w:jc w:val="both"/>
        <w:rPr>
          <w:rFonts w:ascii="Times New Roman" w:hAnsi="Times New Roman" w:cs="Times New Roman"/>
          <w:szCs w:val="24"/>
          <w:lang w:val="en-IE"/>
        </w:rPr>
      </w:pPr>
    </w:p>
    <w:p w14:paraId="27844604" w14:textId="4027FC42" w:rsidR="00876C43" w:rsidRDefault="00876C43" w:rsidP="00883C74">
      <w:pPr>
        <w:pStyle w:val="Heading1"/>
      </w:pPr>
      <w:bookmarkStart w:id="452" w:name="_Toc106188848"/>
      <w:r>
        <w:t>Artykuł 15A: Kontrola sądowa</w:t>
      </w:r>
      <w:bookmarkEnd w:id="452"/>
      <w:r>
        <w:t xml:space="preserve"> </w:t>
      </w:r>
    </w:p>
    <w:p w14:paraId="33356B84" w14:textId="774E8BCB" w:rsidR="00DA7999" w:rsidRPr="008A1159" w:rsidRDefault="00DA7999" w:rsidP="00DA7999">
      <w:pPr>
        <w:rPr>
          <w:rFonts w:ascii="Times New Roman" w:hAnsi="Times New Roman" w:cs="Times New Roman"/>
        </w:rPr>
      </w:pPr>
      <w:r>
        <w:rPr>
          <w:rFonts w:ascii="Times New Roman" w:hAnsi="Times New Roman"/>
        </w:rPr>
        <w:tab/>
      </w:r>
      <w:r>
        <w:rPr>
          <w:rFonts w:ascii="Times New Roman" w:hAnsi="Times New Roman"/>
          <w:i/>
        </w:rPr>
        <w:t>Niniejszy artykuł stanowi, że</w:t>
      </w:r>
      <w:r>
        <w:rPr>
          <w:rFonts w:ascii="Times New Roman" w:hAnsi="Times New Roman"/>
        </w:rPr>
        <w:t>:</w:t>
      </w:r>
    </w:p>
    <w:p w14:paraId="1B55CF9A" w14:textId="491C5B74" w:rsidR="00DA7999" w:rsidRPr="008A1159" w:rsidRDefault="00DA7999" w:rsidP="008A1159">
      <w:pPr>
        <w:ind w:left="1418" w:hanging="720"/>
        <w:jc w:val="both"/>
        <w:rPr>
          <w:rFonts w:ascii="Times New Roman" w:hAnsi="Times New Roman" w:cs="Times New Roman"/>
        </w:rPr>
      </w:pPr>
      <w:r>
        <w:rPr>
          <w:rFonts w:ascii="Times New Roman" w:hAnsi="Times New Roman"/>
        </w:rPr>
        <w:lastRenderedPageBreak/>
        <w:t>(1)</w:t>
      </w:r>
      <w:r>
        <w:rPr>
          <w:rFonts w:ascii="Times New Roman" w:hAnsi="Times New Roman"/>
        </w:rPr>
        <w:tab/>
        <w:t>Żaden z przepisów niniejszej Części nie może być interpretowany jako ograniczający prawo osoby, której dotyczy decyzja Komisji, do wystąpienia do Wysokiego Trybunału w celu uzyskania zadośćuczynienia w drodze wniosku o kontrolę sądową.</w:t>
      </w:r>
    </w:p>
    <w:p w14:paraId="1E952317" w14:textId="581D568D" w:rsidR="00351F7D" w:rsidRPr="008273CD" w:rsidRDefault="00351F7D" w:rsidP="008273CD">
      <w:pPr>
        <w:pStyle w:val="Heading1"/>
        <w:spacing w:before="480"/>
        <w:jc w:val="center"/>
        <w:rPr>
          <w:sz w:val="28"/>
          <w:szCs w:val="28"/>
        </w:rPr>
      </w:pPr>
      <w:bookmarkStart w:id="453" w:name="_Toc106188849"/>
      <w:r>
        <w:rPr>
          <w:sz w:val="28"/>
        </w:rPr>
        <w:t>Rozdział 5: Kodeksy postępowania</w:t>
      </w:r>
      <w:bookmarkEnd w:id="453"/>
    </w:p>
    <w:p w14:paraId="1582C091" w14:textId="1816809C" w:rsidR="00351F7D" w:rsidRPr="00835148" w:rsidRDefault="00351F7D" w:rsidP="00883C74">
      <w:pPr>
        <w:pStyle w:val="Heading1"/>
      </w:pPr>
      <w:bookmarkStart w:id="454" w:name="_Toc106188850"/>
      <w:r>
        <w:t>Artykuł 16: Ogłoszenie kodeksów postępowania</w:t>
      </w:r>
      <w:bookmarkEnd w:id="454"/>
    </w:p>
    <w:p w14:paraId="542227DB" w14:textId="77777777" w:rsidR="00351F7D" w:rsidRPr="00835148" w:rsidRDefault="00351F7D"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Niniejszy artykuł stanowi, że:</w:t>
      </w:r>
    </w:p>
    <w:p w14:paraId="3D5FEAB4" w14:textId="68CC46AB" w:rsidR="00351F7D" w:rsidRPr="00835148" w:rsidRDefault="00351F7D" w:rsidP="009A3E29">
      <w:pPr>
        <w:pStyle w:val="ListParagraph"/>
        <w:numPr>
          <w:ilvl w:val="0"/>
          <w:numId w:val="27"/>
        </w:numPr>
        <w:tabs>
          <w:tab w:val="left" w:pos="142"/>
        </w:tabs>
        <w:spacing w:before="240" w:after="240"/>
        <w:ind w:left="1440" w:hanging="720"/>
        <w:contextualSpacing w:val="0"/>
        <w:jc w:val="both"/>
        <w:rPr>
          <w:rFonts w:ascii="Times New Roman" w:hAnsi="Times New Roman" w:cs="Times New Roman"/>
          <w:szCs w:val="24"/>
        </w:rPr>
      </w:pPr>
      <w:r>
        <w:rPr>
          <w:rFonts w:ascii="Times New Roman" w:hAnsi="Times New Roman"/>
        </w:rPr>
        <w:t>Komisja może opublikować jeden lub więcej kodeksów postępowania dotyczących internetowych informacji wyborczych lub internetowych informacji o procesie wyborczym.</w:t>
      </w:r>
    </w:p>
    <w:p w14:paraId="23BBD5AE" w14:textId="226C9036"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Kodeks, o którym mowa w ustępie 1), może być skierowany do niektórych lub wszystkich: platform internetowych, kandydatów, partii lub osób trzecich.</w:t>
      </w:r>
      <w:r>
        <w:rPr>
          <w:rFonts w:ascii="Times New Roman" w:hAnsi="Times New Roman"/>
          <w:b/>
        </w:rPr>
        <w:t xml:space="preserve"> </w:t>
      </w:r>
    </w:p>
    <w:p w14:paraId="78014954" w14:textId="77777777"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Przed opublikowaniem kodeksu postępowania, o którym mowa w ust. 1, Komisja może przeprowadzić konsultacje z Komitetem Doradczym, Radą Interesariuszy lub inną grupą powołaną w tym celu przez Komisję.</w:t>
      </w:r>
    </w:p>
    <w:p w14:paraId="6467028A" w14:textId="06BCF415" w:rsidR="00351F7D" w:rsidRPr="00835148" w:rsidRDefault="001039E3"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Kodeks postępowania opublikowany zgodnie z punktem (1), dotyczący internetowych informacji wyborczych innych niż informacje o internetowym procesie wyborczym, obowiązuje wyłącznie w okresie wyborów.</w:t>
      </w:r>
    </w:p>
    <w:p w14:paraId="5ED95F0B" w14:textId="77777777"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Komisja może określić, czy dany kodeks postępowania jest kodeksem nieobowiązkowym czy obowiązkowym.</w:t>
      </w:r>
    </w:p>
    <w:p w14:paraId="54200CF3" w14:textId="77777777"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Publikując kodeks postępowania zgodnie z punktem 1, Komisja uwzględnia następujące zasady i strategie:</w:t>
      </w:r>
    </w:p>
    <w:p w14:paraId="6C9DABF4" w14:textId="3D0A906A"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konieczność ochrony wartości demokratycznych w społeczeństwie;</w:t>
      </w:r>
    </w:p>
    <w:p w14:paraId="77DA9C22" w14:textId="357945A2"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interes publiczny, jakim jest posiadanie dobrze poinformowanego elektoratu;</w:t>
      </w:r>
    </w:p>
    <w:p w14:paraId="18A4C528" w14:textId="2A7E61CC"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zagrożenie, jakie dla wartości demokratycznych stanowi dezinformacja i dezinformacja;</w:t>
      </w:r>
    </w:p>
    <w:p w14:paraId="042C4C4D" w14:textId="74273085"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prawo do wolności słowa;</w:t>
      </w:r>
    </w:p>
    <w:p w14:paraId="71787E1D" w14:textId="77777777" w:rsidR="000C2806" w:rsidRPr="00835148" w:rsidRDefault="000C2806" w:rsidP="009A3E29">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prawo do wolności zgromadzeń;</w:t>
      </w:r>
    </w:p>
    <w:p w14:paraId="3CA6EDE3" w14:textId="6488DC4E" w:rsidR="00351F7D" w:rsidRPr="00835148" w:rsidRDefault="00351F7D"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b/>
        </w:rPr>
        <w:t>[wstawić inne zasady i strategie, stosownie do potrzeb]</w:t>
      </w:r>
    </w:p>
    <w:p w14:paraId="1A292176" w14:textId="01C4BC6F" w:rsidR="00673C0B" w:rsidRPr="008273CD" w:rsidRDefault="00673C0B" w:rsidP="008273CD">
      <w:pPr>
        <w:pStyle w:val="Heading1"/>
        <w:jc w:val="center"/>
        <w:rPr>
          <w:sz w:val="28"/>
          <w:szCs w:val="28"/>
        </w:rPr>
      </w:pPr>
      <w:bookmarkStart w:id="455" w:name="_Toc106188851"/>
      <w:r>
        <w:rPr>
          <w:sz w:val="28"/>
        </w:rPr>
        <w:lastRenderedPageBreak/>
        <w:t>Rozdział 6: Współpraca z innymi organami publicznymi</w:t>
      </w:r>
      <w:bookmarkEnd w:id="455"/>
    </w:p>
    <w:p w14:paraId="36F56B55" w14:textId="1305A307" w:rsidR="00673C0B" w:rsidRPr="00835148" w:rsidRDefault="00673C0B" w:rsidP="00883C74">
      <w:pPr>
        <w:pStyle w:val="Heading1"/>
      </w:pPr>
      <w:bookmarkStart w:id="456" w:name="_Toc106188852"/>
      <w:r>
        <w:t>Artykuł 17: Komisja prowadzi konsultacje z innymi właściwymi organami</w:t>
      </w:r>
      <w:bookmarkEnd w:id="456"/>
    </w:p>
    <w:p w14:paraId="00236FF4" w14:textId="77777777" w:rsidR="00673C0B" w:rsidRPr="00835148" w:rsidRDefault="00673C0B" w:rsidP="00F6269D">
      <w:pPr>
        <w:ind w:firstLine="720"/>
        <w:jc w:val="both"/>
        <w:rPr>
          <w:rFonts w:ascii="Times New Roman" w:hAnsi="Times New Roman" w:cs="Times New Roman"/>
          <w:szCs w:val="24"/>
        </w:rPr>
      </w:pPr>
      <w:r>
        <w:rPr>
          <w:rFonts w:ascii="Times New Roman" w:hAnsi="Times New Roman"/>
          <w:i/>
        </w:rPr>
        <w:t>Niniejszy artykuł stanowi, że:</w:t>
      </w:r>
    </w:p>
    <w:p w14:paraId="6A8A8F79" w14:textId="77777777" w:rsidR="00673C0B" w:rsidRPr="00835148" w:rsidRDefault="00673C0B" w:rsidP="009A3E29">
      <w:pPr>
        <w:pStyle w:val="ListParagraph"/>
        <w:widowControl w:val="0"/>
        <w:numPr>
          <w:ilvl w:val="0"/>
          <w:numId w:val="43"/>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W czasie trwania okresu wyborczego Komisja, w razie potrzeby, zasięga opinii i bierze pod uwagę informacje otrzymane od organów takich jak:</w:t>
      </w:r>
    </w:p>
    <w:p w14:paraId="60AEF8C3" w14:textId="77777777"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Komisja Ochrony Danych Osobowych,</w:t>
      </w:r>
    </w:p>
    <w:p w14:paraId="338A36F8" w14:textId="77777777"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 xml:space="preserve">An Garda Síochána, </w:t>
      </w:r>
    </w:p>
    <w:p w14:paraId="586B91AC" w14:textId="77777777"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 xml:space="preserve">Komisja Bezpieczeństwa Internetowego, oraz </w:t>
      </w:r>
    </w:p>
    <w:p w14:paraId="31C05B90" w14:textId="5A4BFA9D"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Minister Łączności, działający jako organ właściwy na mocy unijnych postanowień w sprawie środków na rzecz wysokiego wspólnego poziomu bezpieczeństwa systemów sieciowych i informacyjnych z 2018 r. (SI 360/2018).</w:t>
      </w:r>
    </w:p>
    <w:p w14:paraId="3B856241" w14:textId="2453D6F8" w:rsidR="00673C0B" w:rsidRPr="00835148" w:rsidRDefault="00673C0B" w:rsidP="009A3E29">
      <w:pPr>
        <w:pStyle w:val="ListParagraph"/>
        <w:widowControl w:val="0"/>
        <w:numPr>
          <w:ilvl w:val="0"/>
          <w:numId w:val="43"/>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Jeżeli w okresie wyborczym [lub w okresie kampanii wyborczej] lub w ciągu sześciu miesięcy przed przewidywanym okresem wyborczym –</w:t>
      </w:r>
    </w:p>
    <w:p w14:paraId="07172146"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t>Komisja Ochrony Danych Osobowych;</w:t>
      </w:r>
    </w:p>
    <w:p w14:paraId="1D641CC0"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t xml:space="preserve">An Garda Síochána, </w:t>
      </w:r>
    </w:p>
    <w:p w14:paraId="24AFAC92"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t>Komisja Bezpieczeństwa Internetowego, oraz</w:t>
      </w:r>
    </w:p>
    <w:p w14:paraId="027C2713"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t>Minister Łączności, działający jako organ właściwy na mocy unijnych postanowień w sprawie środków na rzecz wysokiego wspólnego poziomu bezpieczeństwa systemów sieciowych i informacyjnych z 2018 r. (SI 360/2018),</w:t>
      </w:r>
    </w:p>
    <w:p w14:paraId="6FF3A2B2" w14:textId="1576EA2A" w:rsidR="00673C0B" w:rsidRPr="00835148" w:rsidRDefault="00673C0B" w:rsidP="00F6269D">
      <w:pPr>
        <w:ind w:left="1440"/>
        <w:jc w:val="both"/>
        <w:rPr>
          <w:rFonts w:ascii="Times New Roman" w:hAnsi="Times New Roman" w:cs="Times New Roman"/>
          <w:szCs w:val="24"/>
        </w:rPr>
      </w:pPr>
      <w:r>
        <w:rPr>
          <w:rFonts w:ascii="Times New Roman" w:hAnsi="Times New Roman"/>
        </w:rPr>
        <w:t xml:space="preserve">otrzyma lub uzyska wiedzą na temat informacji dotyczących działań lub tendencji wchodzących w zakres ich kompetencji ustawowych, które mogą mieć wpływ na wybory, organ ten niezwłocznie powiadamia Komisję o takich informacjach, działaniach lub tendencjach. </w:t>
      </w:r>
    </w:p>
    <w:p w14:paraId="70B5799B" w14:textId="77777777" w:rsidR="00673C0B" w:rsidRPr="00835148" w:rsidRDefault="00673C0B" w:rsidP="00F6269D">
      <w:pPr>
        <w:pStyle w:val="ListParagraph"/>
        <w:widowControl w:val="0"/>
        <w:numPr>
          <w:ilvl w:val="0"/>
          <w:numId w:val="43"/>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 xml:space="preserve">Komisja zawiera umowy o udostępnianiu danych z organami określonymi w art. 22 ust. 1 lit. a)-d) w rozumieniu </w:t>
      </w:r>
      <w:r>
        <w:rPr>
          <w:rFonts w:ascii="Times New Roman" w:hAnsi="Times New Roman"/>
          <w:u w:val="single"/>
        </w:rPr>
        <w:t>ustawy o udostępnianiu danych i zarządzaniu nimi z 2019 r.</w:t>
      </w:r>
    </w:p>
    <w:p w14:paraId="6DF4CF56" w14:textId="66481358" w:rsidR="003C524C" w:rsidRPr="008273CD" w:rsidRDefault="00351F7D" w:rsidP="008273CD">
      <w:pPr>
        <w:pStyle w:val="Heading1"/>
        <w:spacing w:before="480"/>
        <w:jc w:val="center"/>
        <w:rPr>
          <w:sz w:val="28"/>
          <w:szCs w:val="28"/>
        </w:rPr>
      </w:pPr>
      <w:bookmarkStart w:id="457" w:name="_Toc106188853"/>
      <w:r>
        <w:rPr>
          <w:sz w:val="28"/>
        </w:rPr>
        <w:t xml:space="preserve">Rozdział 7: </w:t>
      </w:r>
      <w:bookmarkStart w:id="458" w:name="_Toc99116983"/>
      <w:bookmarkStart w:id="459" w:name="_Toc99122364"/>
      <w:bookmarkEnd w:id="458"/>
      <w:bookmarkEnd w:id="459"/>
      <w:r>
        <w:rPr>
          <w:sz w:val="28"/>
        </w:rPr>
        <w:t>[USUNIĘTO]</w:t>
      </w:r>
      <w:bookmarkEnd w:id="457"/>
    </w:p>
    <w:p w14:paraId="5555D5B7" w14:textId="40896DFF" w:rsidR="00DC775D" w:rsidRPr="00DC775D" w:rsidRDefault="00DC775D" w:rsidP="00883C74">
      <w:pPr>
        <w:pStyle w:val="Heading1"/>
      </w:pPr>
      <w:bookmarkStart w:id="460" w:name="_Toc106188854"/>
      <w:r>
        <w:t>[Skreślono artykuły 18-20]</w:t>
      </w:r>
      <w:bookmarkEnd w:id="460"/>
    </w:p>
    <w:p w14:paraId="630C691C" w14:textId="1F063181" w:rsidR="003C524C" w:rsidRPr="008273CD" w:rsidRDefault="00351F7D" w:rsidP="008273CD">
      <w:pPr>
        <w:pStyle w:val="Heading1"/>
        <w:spacing w:before="480"/>
        <w:jc w:val="center"/>
        <w:rPr>
          <w:sz w:val="28"/>
          <w:szCs w:val="28"/>
        </w:rPr>
      </w:pPr>
      <w:bookmarkStart w:id="461" w:name="_Toc106188855"/>
      <w:r>
        <w:rPr>
          <w:sz w:val="28"/>
        </w:rPr>
        <w:lastRenderedPageBreak/>
        <w:t>Rozdział 8: Przestępstwa i kary</w:t>
      </w:r>
      <w:bookmarkEnd w:id="461"/>
    </w:p>
    <w:p w14:paraId="6E2943F7" w14:textId="3308F153" w:rsidR="003C524C" w:rsidRPr="00835148" w:rsidRDefault="003C524C" w:rsidP="00883C74">
      <w:pPr>
        <w:pStyle w:val="Heading1"/>
      </w:pPr>
      <w:bookmarkStart w:id="462" w:name="_Toc106188856"/>
      <w:r>
        <w:t>Artykuł 21: Przestępstwo polegające na niezastosowaniu się do zawiadomienia lub nakazu wydanego na mocy art. 10</w:t>
      </w:r>
      <w:bookmarkEnd w:id="462"/>
    </w:p>
    <w:p w14:paraId="511D302C" w14:textId="62E3F039" w:rsidR="00FE1C8B" w:rsidRPr="00835148" w:rsidRDefault="00FE1C8B" w:rsidP="00F6269D">
      <w:pPr>
        <w:pStyle w:val="PlainText"/>
        <w:spacing w:before="240" w:after="240" w:line="276" w:lineRule="auto"/>
        <w:ind w:left="539"/>
        <w:jc w:val="both"/>
        <w:rPr>
          <w:rFonts w:ascii="Times New Roman" w:hAnsi="Times New Roman" w:cs="Times New Roman"/>
          <w:i/>
          <w:iCs/>
          <w:sz w:val="24"/>
          <w:szCs w:val="24"/>
        </w:rPr>
      </w:pPr>
      <w:r>
        <w:rPr>
          <w:rFonts w:ascii="Times New Roman" w:hAnsi="Times New Roman"/>
          <w:i/>
          <w:sz w:val="24"/>
        </w:rPr>
        <w:t>Niniejszy artykuł stanowi, że:</w:t>
      </w:r>
    </w:p>
    <w:p w14:paraId="4021510B" w14:textId="2DD48F56" w:rsidR="003C524C" w:rsidRPr="00835148" w:rsidRDefault="003C524C" w:rsidP="00F6269D">
      <w:pPr>
        <w:pStyle w:val="PlainText"/>
        <w:numPr>
          <w:ilvl w:val="1"/>
          <w:numId w:val="42"/>
        </w:numPr>
        <w:spacing w:after="240" w:line="276" w:lineRule="auto"/>
        <w:ind w:left="1560"/>
        <w:jc w:val="both"/>
        <w:rPr>
          <w:rFonts w:ascii="Times New Roman" w:hAnsi="Times New Roman" w:cs="Times New Roman"/>
          <w:sz w:val="24"/>
          <w:szCs w:val="24"/>
        </w:rPr>
      </w:pPr>
      <w:r>
        <w:rPr>
          <w:rFonts w:ascii="Times New Roman" w:hAnsi="Times New Roman"/>
          <w:sz w:val="24"/>
        </w:rPr>
        <w:t>Niezastosowanie się do dowolnego zawiadomienia lub nakazu wydanego zgodnie z postanowieniami art. 10 stanowi przestępstwo.</w:t>
      </w:r>
    </w:p>
    <w:p w14:paraId="592EE5A4" w14:textId="5EA1764D" w:rsidR="003C524C" w:rsidRPr="00835148" w:rsidRDefault="003C524C" w:rsidP="00F6269D">
      <w:pPr>
        <w:pStyle w:val="PlainText"/>
        <w:numPr>
          <w:ilvl w:val="1"/>
          <w:numId w:val="42"/>
        </w:numPr>
        <w:spacing w:after="240" w:line="276" w:lineRule="auto"/>
        <w:ind w:left="1560"/>
        <w:jc w:val="both"/>
        <w:rPr>
          <w:rFonts w:ascii="Times New Roman" w:hAnsi="Times New Roman" w:cs="Times New Roman"/>
          <w:sz w:val="24"/>
          <w:szCs w:val="24"/>
        </w:rPr>
      </w:pPr>
      <w:r>
        <w:rPr>
          <w:rFonts w:ascii="Times New Roman" w:hAnsi="Times New Roman"/>
          <w:sz w:val="24"/>
        </w:rPr>
        <w:t>Osoba uznana za winną popełnienia przestępstwa na mocy tego art. podlega odpowiedzialności karnej</w:t>
      </w:r>
    </w:p>
    <w:p w14:paraId="772CABD4" w14:textId="5AEB44CC" w:rsidR="003C524C" w:rsidRPr="00835148" w:rsidRDefault="00CA2822" w:rsidP="00F6269D">
      <w:pPr>
        <w:pStyle w:val="ListParagraph"/>
        <w:widowControl w:val="0"/>
        <w:numPr>
          <w:ilvl w:val="1"/>
          <w:numId w:val="26"/>
        </w:numPr>
        <w:autoSpaceDE w:val="0"/>
        <w:autoSpaceDN w:val="0"/>
        <w:spacing w:before="120" w:after="120"/>
        <w:ind w:left="2268" w:hanging="567"/>
        <w:contextualSpacing w:val="0"/>
        <w:jc w:val="both"/>
        <w:rPr>
          <w:rFonts w:ascii="Times New Roman" w:hAnsi="Times New Roman" w:cs="Times New Roman"/>
          <w:szCs w:val="24"/>
        </w:rPr>
      </w:pPr>
      <w:r>
        <w:rPr>
          <w:rFonts w:ascii="Times New Roman" w:hAnsi="Times New Roman"/>
        </w:rPr>
        <w:t xml:space="preserve">w przypadku skazania w trybie przyspieszonym, na grzywnę klasy A lub karę pozbawienia wolności na okres nieprzekraczający 12 miesięcy lub obie te kary, lub </w:t>
      </w:r>
    </w:p>
    <w:p w14:paraId="3C4BF47E" w14:textId="4025DBD0" w:rsidR="003C524C" w:rsidRPr="00835148" w:rsidRDefault="003C524C" w:rsidP="00F6269D">
      <w:pPr>
        <w:pStyle w:val="ListParagraph"/>
        <w:widowControl w:val="0"/>
        <w:numPr>
          <w:ilvl w:val="1"/>
          <w:numId w:val="26"/>
        </w:numPr>
        <w:autoSpaceDE w:val="0"/>
        <w:autoSpaceDN w:val="0"/>
        <w:spacing w:before="120" w:after="240"/>
        <w:ind w:left="2268" w:hanging="567"/>
        <w:contextualSpacing w:val="0"/>
        <w:jc w:val="both"/>
      </w:pPr>
      <w:r>
        <w:rPr>
          <w:rFonts w:ascii="Times New Roman" w:hAnsi="Times New Roman"/>
        </w:rPr>
        <w:t>w przypadku skazania na podstawie aktu oskarżenia, na karę grzywny lub karę pozbawienia wolności na okres nieprzekraczający 5 lat lub obie te kary.</w:t>
      </w:r>
    </w:p>
    <w:p w14:paraId="67364354" w14:textId="5B33A074" w:rsidR="003C524C" w:rsidRPr="00835148" w:rsidRDefault="003C524C" w:rsidP="00883C74">
      <w:pPr>
        <w:pStyle w:val="Heading1"/>
      </w:pPr>
      <w:bookmarkStart w:id="463" w:name="_Toc99549929"/>
      <w:bookmarkStart w:id="464" w:name="_Toc99550678"/>
      <w:bookmarkStart w:id="465" w:name="_Toc99549930"/>
      <w:bookmarkStart w:id="466" w:name="_Toc99550679"/>
      <w:bookmarkStart w:id="467" w:name="_Toc99549931"/>
      <w:bookmarkStart w:id="468" w:name="_Toc99550680"/>
      <w:bookmarkStart w:id="469" w:name="_Toc99549932"/>
      <w:bookmarkStart w:id="470" w:name="_Toc99550681"/>
      <w:bookmarkStart w:id="471" w:name="_Toc106188857"/>
      <w:bookmarkEnd w:id="463"/>
      <w:bookmarkEnd w:id="464"/>
      <w:bookmarkEnd w:id="465"/>
      <w:bookmarkEnd w:id="466"/>
      <w:bookmarkEnd w:id="467"/>
      <w:bookmarkEnd w:id="468"/>
      <w:bookmarkEnd w:id="469"/>
      <w:bookmarkEnd w:id="470"/>
      <w:r>
        <w:t>Artykuł 22: Przestępstwo polegające na naruszeniu obowiązkowego kodeksu postępowania</w:t>
      </w:r>
      <w:bookmarkEnd w:id="471"/>
    </w:p>
    <w:p w14:paraId="27C1EE78" w14:textId="52128DAF" w:rsidR="003C524C" w:rsidRPr="00835148" w:rsidRDefault="003C524C"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 xml:space="preserve">Niniejszy artykuł stanowi, że: </w:t>
      </w:r>
    </w:p>
    <w:p w14:paraId="02C60E9F" w14:textId="36ECD45A" w:rsidR="00CA2822" w:rsidRPr="00835148" w:rsidRDefault="003C524C" w:rsidP="009A3E29">
      <w:pPr>
        <w:pStyle w:val="ListParagraph"/>
        <w:numPr>
          <w:ilvl w:val="0"/>
          <w:numId w:val="75"/>
        </w:numPr>
        <w:spacing w:before="240" w:after="240"/>
        <w:ind w:left="1440" w:hanging="720"/>
        <w:contextualSpacing w:val="0"/>
        <w:jc w:val="both"/>
        <w:rPr>
          <w:rFonts w:ascii="Times New Roman" w:hAnsi="Times New Roman" w:cs="Times New Roman"/>
          <w:szCs w:val="24"/>
        </w:rPr>
      </w:pPr>
      <w:r>
        <w:rPr>
          <w:rFonts w:ascii="Times New Roman" w:hAnsi="Times New Roman"/>
        </w:rPr>
        <w:t>Przestępstwem jest nieprzestrzeganie kodeksu postępowania przez osobę, do której ma zastosowanie obowiązkowy kodeks postępowania, w odpowiednim okresie obowiązywania kodeksu postępowania.</w:t>
      </w:r>
    </w:p>
    <w:p w14:paraId="17A335EA" w14:textId="42B05BFF" w:rsidR="00CA2822" w:rsidRPr="00835148" w:rsidRDefault="00CA2822" w:rsidP="00F6269D">
      <w:pPr>
        <w:pStyle w:val="ListParagraph"/>
        <w:numPr>
          <w:ilvl w:val="0"/>
          <w:numId w:val="75"/>
        </w:numPr>
        <w:spacing w:before="240" w:after="240"/>
        <w:ind w:left="1440" w:hanging="720"/>
        <w:contextualSpacing w:val="0"/>
        <w:jc w:val="both"/>
        <w:rPr>
          <w:rFonts w:ascii="Times New Roman" w:hAnsi="Times New Roman" w:cs="Times New Roman"/>
          <w:szCs w:val="24"/>
        </w:rPr>
      </w:pPr>
      <w:r>
        <w:rPr>
          <w:rFonts w:ascii="Times New Roman" w:hAnsi="Times New Roman"/>
        </w:rPr>
        <w:t>Osoba uznana za winną popełnienia przestępstwa na mocy tego art. podlega odpowiedzialności karnej</w:t>
      </w:r>
    </w:p>
    <w:p w14:paraId="2C19F994" w14:textId="098DA240" w:rsidR="00CA2822" w:rsidRPr="00835148" w:rsidRDefault="00CA2822" w:rsidP="00F6269D">
      <w:pPr>
        <w:pStyle w:val="ListParagraph"/>
        <w:widowControl w:val="0"/>
        <w:numPr>
          <w:ilvl w:val="0"/>
          <w:numId w:val="107"/>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w przypadku skazania w trybie przyspieszonym, na grzywnę klasy A lub karę pozbawienia wolności na okres nieprzekraczający 12 miesięcy lub obie te kary, lub </w:t>
      </w:r>
    </w:p>
    <w:p w14:paraId="26EF400E" w14:textId="1D5AD7D2" w:rsidR="00CA2822" w:rsidRPr="00835148" w:rsidRDefault="00CA2822" w:rsidP="009A3E29">
      <w:pPr>
        <w:pStyle w:val="ListParagraph"/>
        <w:widowControl w:val="0"/>
        <w:numPr>
          <w:ilvl w:val="0"/>
          <w:numId w:val="107"/>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w przypadku skazania na podstawie aktu oskarżenia, na karę grzywny lub karę pozbawienia wolności na okres nieprzekraczający 5 lat lub obie te kary.</w:t>
      </w:r>
    </w:p>
    <w:p w14:paraId="316B003E" w14:textId="0274888B" w:rsidR="00CA2822" w:rsidRPr="00835148" w:rsidRDefault="00CA2822" w:rsidP="00883C74">
      <w:pPr>
        <w:pStyle w:val="Heading1"/>
      </w:pPr>
      <w:bookmarkStart w:id="472" w:name="_Toc106188858"/>
      <w:r>
        <w:t>Artykuł 23: Przestępstwa związane z dezinformacją i informacjami wprowadzającymi w błąd</w:t>
      </w:r>
      <w:bookmarkEnd w:id="472"/>
      <w:r>
        <w:t xml:space="preserve"> </w:t>
      </w:r>
    </w:p>
    <w:p w14:paraId="4B0B6ED5" w14:textId="77777777" w:rsidR="00CA2822" w:rsidRPr="00835148" w:rsidRDefault="00CA2822"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 xml:space="preserve">Niniejszy artykuł stanowi, że: </w:t>
      </w:r>
    </w:p>
    <w:p w14:paraId="035C252F" w14:textId="15695D3B" w:rsidR="00CA2822" w:rsidRPr="00835148" w:rsidRDefault="00CA2822" w:rsidP="009A3E29">
      <w:pPr>
        <w:pStyle w:val="ListParagraph"/>
        <w:widowControl w:val="0"/>
        <w:numPr>
          <w:ilvl w:val="0"/>
          <w:numId w:val="18"/>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lastRenderedPageBreak/>
        <w:t xml:space="preserve">Osoba, która lub jakikolwiek dyrektor organu lub stowarzyszenia, które w okresie wyborczym [lub w okresie kampanii wyborczej] z zamiarem wpłynięcia na wyniki wyborów lub referendum, lub zaatakowania uczciwości lub rzetelności tych wyborów lub referendum, czyni lub publikuje: </w:t>
      </w:r>
    </w:p>
    <w:p w14:paraId="010B2151" w14:textId="63B5E8FF" w:rsidR="00CA2822" w:rsidRPr="00835148" w:rsidRDefault="00B76CA3" w:rsidP="00F6269D">
      <w:pPr>
        <w:pStyle w:val="ListParagraph"/>
        <w:widowControl w:val="0"/>
        <w:numPr>
          <w:ilvl w:val="1"/>
          <w:numId w:val="15"/>
        </w:numPr>
        <w:shd w:val="clear" w:color="auto" w:fill="FFFFFF"/>
        <w:autoSpaceDE w:val="0"/>
        <w:autoSpaceDN w:val="0"/>
        <w:spacing w:before="141" w:after="240"/>
        <w:ind w:left="2268" w:hanging="567"/>
        <w:contextualSpacing w:val="0"/>
        <w:jc w:val="both"/>
        <w:rPr>
          <w:rFonts w:ascii="Times New Roman" w:hAnsi="Times New Roman" w:cs="Times New Roman"/>
          <w:szCs w:val="24"/>
          <w:bdr w:val="none" w:sz="0" w:space="0" w:color="auto" w:frame="1"/>
        </w:rPr>
      </w:pPr>
      <w:r>
        <w:rPr>
          <w:rFonts w:ascii="Times New Roman" w:hAnsi="Times New Roman"/>
          <w:bdr w:val="none" w:sz="0" w:space="0" w:color="auto" w:frame="1"/>
        </w:rPr>
        <w:t>fałszywe oświadczenie o wycofaniu się kandydata z wyborów; lub</w:t>
      </w:r>
    </w:p>
    <w:p w14:paraId="2309DE78" w14:textId="27E81B64" w:rsidR="00CA2822" w:rsidRPr="00835148" w:rsidRDefault="00B76CA3" w:rsidP="00F6269D">
      <w:pPr>
        <w:pStyle w:val="ListParagraph"/>
        <w:widowControl w:val="0"/>
        <w:numPr>
          <w:ilvl w:val="1"/>
          <w:numId w:val="15"/>
        </w:numPr>
        <w:shd w:val="clear" w:color="auto" w:fill="FFFFFF"/>
        <w:autoSpaceDE w:val="0"/>
        <w:autoSpaceDN w:val="0"/>
        <w:spacing w:before="141" w:after="240"/>
        <w:ind w:left="2268" w:hanging="567"/>
        <w:contextualSpacing w:val="0"/>
        <w:jc w:val="both"/>
        <w:rPr>
          <w:rFonts w:ascii="Times New Roman" w:hAnsi="Times New Roman" w:cs="Times New Roman"/>
          <w:szCs w:val="24"/>
          <w:bdr w:val="none" w:sz="0" w:space="0" w:color="auto" w:frame="1"/>
        </w:rPr>
      </w:pPr>
      <w:r>
        <w:rPr>
          <w:rFonts w:ascii="Times New Roman" w:hAnsi="Times New Roman"/>
          <w:bdr w:val="none" w:sz="0" w:space="0" w:color="auto" w:frame="1"/>
        </w:rPr>
        <w:t>fałszywe stwierdzenie faktu z zamiarem spowodowania, że jeden lub więcej wyborców wstrzyma się od głosu, w tym między innymi stwierdzenie będące błędną informacją w rozumieniu art. 1; lub</w:t>
      </w:r>
    </w:p>
    <w:p w14:paraId="4CA8645B" w14:textId="6E5B7E3F" w:rsidR="00CA2822" w:rsidRPr="00835148" w:rsidRDefault="00B76CA3" w:rsidP="00F6269D">
      <w:pPr>
        <w:pStyle w:val="ListParagraph"/>
        <w:widowControl w:val="0"/>
        <w:numPr>
          <w:ilvl w:val="1"/>
          <w:numId w:val="15"/>
        </w:numPr>
        <w:shd w:val="clear" w:color="auto" w:fill="FFFFFF"/>
        <w:autoSpaceDE w:val="0"/>
        <w:autoSpaceDN w:val="0"/>
        <w:spacing w:before="141" w:after="240"/>
        <w:ind w:left="2268" w:hanging="567"/>
        <w:contextualSpacing w:val="0"/>
        <w:jc w:val="both"/>
        <w:rPr>
          <w:rFonts w:ascii="Times New Roman" w:hAnsi="Times New Roman" w:cs="Times New Roman"/>
          <w:szCs w:val="24"/>
          <w:bdr w:val="none" w:sz="0" w:space="0" w:color="auto" w:frame="1"/>
        </w:rPr>
      </w:pPr>
      <w:r>
        <w:rPr>
          <w:rFonts w:ascii="Times New Roman" w:hAnsi="Times New Roman"/>
          <w:bdr w:val="none" w:sz="0" w:space="0" w:color="auto" w:frame="1"/>
        </w:rPr>
        <w:t>wypowiedź w internecie, stwarzającą pozory, że jest wypowiedzią innej osoby;</w:t>
      </w:r>
    </w:p>
    <w:p w14:paraId="13C71494" w14:textId="41E6603A" w:rsidR="00CA2822" w:rsidRPr="00835148" w:rsidRDefault="00B76CA3" w:rsidP="009A3E29">
      <w:pPr>
        <w:spacing w:after="240"/>
        <w:ind w:left="1440"/>
        <w:jc w:val="both"/>
        <w:rPr>
          <w:rFonts w:ascii="Times New Roman" w:hAnsi="Times New Roman" w:cs="Times New Roman"/>
          <w:szCs w:val="24"/>
          <w:bdr w:val="none" w:sz="0" w:space="0" w:color="auto" w:frame="1"/>
        </w:rPr>
      </w:pPr>
      <w:r>
        <w:rPr>
          <w:rFonts w:ascii="Times New Roman" w:hAnsi="Times New Roman"/>
          <w:bdr w:val="none" w:sz="0" w:space="0" w:color="auto" w:frame="1"/>
        </w:rPr>
        <w:t xml:space="preserve">jest winna popełnienia przestępstwa, chyba że osoba ta wykaże, że miała uzasadnione podstawy przekonania i była przekonana, że oświadczenie jest prawdziwe </w:t>
      </w:r>
    </w:p>
    <w:p w14:paraId="1B62AA84" w14:textId="77777777" w:rsidR="00B76CA3" w:rsidRPr="00835148" w:rsidRDefault="00B76CA3" w:rsidP="00F6269D">
      <w:pPr>
        <w:pStyle w:val="ListParagraph"/>
        <w:widowControl w:val="0"/>
        <w:numPr>
          <w:ilvl w:val="0"/>
          <w:numId w:val="18"/>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Osoba uznana za winną popełnienia przestępstwa na mocy tego art. podlega odpowiedzialności karnej</w:t>
      </w:r>
    </w:p>
    <w:p w14:paraId="19C3B5F4" w14:textId="2C866330" w:rsidR="009A3E29" w:rsidRPr="00835148" w:rsidRDefault="00B76CA3" w:rsidP="00F6269D">
      <w:pPr>
        <w:pStyle w:val="ListParagraph"/>
        <w:widowControl w:val="0"/>
        <w:numPr>
          <w:ilvl w:val="0"/>
          <w:numId w:val="113"/>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w przypadku skazania w trybie przyspieszonym, na grzywnę klasy A lub karę pozbawienia wolności na okres nieprzekraczający 12 miesięcy lub obie te kary, lub </w:t>
      </w:r>
    </w:p>
    <w:p w14:paraId="5882F9C4" w14:textId="73E157DE" w:rsidR="00B76CA3" w:rsidRPr="00835148" w:rsidRDefault="00B76CA3" w:rsidP="00F6269D">
      <w:pPr>
        <w:pStyle w:val="ListParagraph"/>
        <w:widowControl w:val="0"/>
        <w:numPr>
          <w:ilvl w:val="0"/>
          <w:numId w:val="113"/>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w przypadku skazania na podstawie aktu oskarżenia, na karę grzywny lub karę pozbawienia wolności na okres nieprzekraczający 5 lat lub obie te kary.</w:t>
      </w:r>
    </w:p>
    <w:p w14:paraId="0DD378A1" w14:textId="5BE0B54F" w:rsidR="00CA2822" w:rsidRPr="00835148" w:rsidRDefault="00CA2822" w:rsidP="00883C74">
      <w:pPr>
        <w:pStyle w:val="Heading1"/>
      </w:pPr>
      <w:bookmarkStart w:id="473" w:name="_Toc106188859"/>
      <w:r>
        <w:t>Artykuł 24: Przestępstwo wykorzystania nieujawnionego bota do wprowadzania w błąd osób w celu wywarcia wpływu na wybory</w:t>
      </w:r>
      <w:bookmarkEnd w:id="473"/>
      <w:r>
        <w:t xml:space="preserve"> </w:t>
      </w:r>
    </w:p>
    <w:p w14:paraId="04C76646" w14:textId="77777777" w:rsidR="00CA2822" w:rsidRPr="00835148" w:rsidRDefault="00CA2822"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Niniejszy artykuł stanowi, że:</w:t>
      </w:r>
    </w:p>
    <w:p w14:paraId="7FEFF3DE" w14:textId="7FF7C93F" w:rsidR="00210751" w:rsidRDefault="00CA2822" w:rsidP="009A3E29">
      <w:pPr>
        <w:pStyle w:val="ListParagraph"/>
        <w:widowControl w:val="0"/>
        <w:numPr>
          <w:ilvl w:val="0"/>
          <w:numId w:val="16"/>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Każda osoba, która świadomie używa bota lub powoduje jego użycie, w taki sposób, aby wygenerować wiele obecności w sieci, które:</w:t>
      </w:r>
    </w:p>
    <w:p w14:paraId="5C9E5820" w14:textId="0DCE99FE" w:rsidR="00210751" w:rsidRDefault="00CA2822" w:rsidP="00210751">
      <w:pPr>
        <w:pStyle w:val="ListParagraph"/>
        <w:widowControl w:val="0"/>
        <w:numPr>
          <w:ilvl w:val="1"/>
          <w:numId w:val="16"/>
        </w:numPr>
        <w:autoSpaceDE w:val="0"/>
        <w:autoSpaceDN w:val="0"/>
        <w:spacing w:before="240" w:after="240"/>
        <w:ind w:left="2127" w:hanging="709"/>
        <w:contextualSpacing w:val="0"/>
        <w:jc w:val="both"/>
        <w:rPr>
          <w:rFonts w:ascii="Times New Roman" w:hAnsi="Times New Roman" w:cs="Times New Roman"/>
          <w:szCs w:val="24"/>
        </w:rPr>
      </w:pPr>
      <w:r>
        <w:rPr>
          <w:rFonts w:ascii="Times New Roman" w:hAnsi="Times New Roman"/>
        </w:rPr>
        <w:t xml:space="preserve">są ukierunkowane na wpływanie na wynik wyborów lub referendum, </w:t>
      </w:r>
    </w:p>
    <w:p w14:paraId="5A1F240F" w14:textId="2BBF3728" w:rsidR="00210751" w:rsidRDefault="00CA2822" w:rsidP="00210751">
      <w:pPr>
        <w:pStyle w:val="ListParagraph"/>
        <w:widowControl w:val="0"/>
        <w:numPr>
          <w:ilvl w:val="1"/>
          <w:numId w:val="16"/>
        </w:numPr>
        <w:autoSpaceDE w:val="0"/>
        <w:autoSpaceDN w:val="0"/>
        <w:spacing w:before="240" w:after="240"/>
        <w:ind w:left="2127" w:hanging="709"/>
        <w:contextualSpacing w:val="0"/>
        <w:jc w:val="both"/>
        <w:rPr>
          <w:rFonts w:ascii="Times New Roman" w:hAnsi="Times New Roman" w:cs="Times New Roman"/>
          <w:szCs w:val="24"/>
        </w:rPr>
      </w:pPr>
      <w:r>
        <w:rPr>
          <w:rFonts w:ascii="Times New Roman" w:hAnsi="Times New Roman"/>
        </w:rPr>
        <w:t>są zaprojektowane lub przeznaczone do wprowadzania osób w błąd co do sztucznej tożsamości botów, oraz</w:t>
      </w:r>
    </w:p>
    <w:p w14:paraId="258E8EDC" w14:textId="3445BA84" w:rsidR="006242A9" w:rsidRDefault="006242A9" w:rsidP="00210751">
      <w:pPr>
        <w:pStyle w:val="ListParagraph"/>
        <w:widowControl w:val="0"/>
        <w:numPr>
          <w:ilvl w:val="1"/>
          <w:numId w:val="16"/>
        </w:numPr>
        <w:autoSpaceDE w:val="0"/>
        <w:autoSpaceDN w:val="0"/>
        <w:spacing w:before="240" w:after="240"/>
        <w:ind w:left="2127" w:hanging="709"/>
        <w:contextualSpacing w:val="0"/>
        <w:jc w:val="both"/>
        <w:rPr>
          <w:rFonts w:ascii="Times New Roman" w:hAnsi="Times New Roman" w:cs="Times New Roman"/>
          <w:szCs w:val="24"/>
        </w:rPr>
      </w:pPr>
      <w:r>
        <w:rPr>
          <w:rFonts w:ascii="Times New Roman" w:hAnsi="Times New Roman"/>
        </w:rPr>
        <w:t>mogą wyrządzać szkody publiczne</w:t>
      </w:r>
    </w:p>
    <w:p w14:paraId="70AB3E3A" w14:textId="41A7B6DD" w:rsidR="00CA2822" w:rsidRPr="004A5780" w:rsidRDefault="00CA2822" w:rsidP="004A5780">
      <w:pPr>
        <w:widowControl w:val="0"/>
        <w:autoSpaceDE w:val="0"/>
        <w:autoSpaceDN w:val="0"/>
        <w:spacing w:before="240" w:after="240"/>
        <w:ind w:left="1418"/>
        <w:jc w:val="both"/>
        <w:rPr>
          <w:rFonts w:ascii="Times New Roman" w:hAnsi="Times New Roman" w:cs="Times New Roman"/>
          <w:szCs w:val="24"/>
        </w:rPr>
      </w:pPr>
      <w:r>
        <w:rPr>
          <w:rFonts w:ascii="Times New Roman" w:hAnsi="Times New Roman"/>
        </w:rPr>
        <w:t>będzie winna popełnienia przestępstwa.</w:t>
      </w:r>
    </w:p>
    <w:p w14:paraId="68B910DC" w14:textId="77777777" w:rsidR="00B76CA3" w:rsidRPr="00835148" w:rsidRDefault="00CA2822" w:rsidP="009A3E29">
      <w:pPr>
        <w:pStyle w:val="ListParagraph"/>
        <w:widowControl w:val="0"/>
        <w:numPr>
          <w:ilvl w:val="0"/>
          <w:numId w:val="16"/>
        </w:numPr>
        <w:autoSpaceDE w:val="0"/>
        <w:autoSpaceDN w:val="0"/>
        <w:spacing w:before="240" w:after="240"/>
        <w:ind w:left="1440" w:hanging="720"/>
        <w:contextualSpacing w:val="0"/>
        <w:jc w:val="both"/>
        <w:rPr>
          <w:rFonts w:ascii="Times New Roman" w:eastAsia="Times New Roman" w:hAnsi="Times New Roman" w:cs="Times New Roman"/>
          <w:szCs w:val="24"/>
        </w:rPr>
      </w:pPr>
      <w:r>
        <w:rPr>
          <w:rFonts w:ascii="Times New Roman" w:hAnsi="Times New Roman"/>
        </w:rPr>
        <w:t xml:space="preserve">Obrona polega na wykazaniu, że użycie bota zostało ujawnione w sposób jasny, </w:t>
      </w:r>
      <w:r>
        <w:rPr>
          <w:rFonts w:ascii="Times New Roman" w:hAnsi="Times New Roman"/>
        </w:rPr>
        <w:lastRenderedPageBreak/>
        <w:t>rzucający się w oczy i racjonalnie zaprojektowany w celu poinformowania osób, z którymi bot wchodził w interakcje lub komunikował się lub miał wchodzić w interakcje lub komunikować się, że jest to bot.</w:t>
      </w:r>
    </w:p>
    <w:p w14:paraId="4CCA02BE" w14:textId="6D54C93D" w:rsidR="00B76CA3" w:rsidRPr="00835148" w:rsidRDefault="00B76CA3" w:rsidP="00F6269D">
      <w:pPr>
        <w:pStyle w:val="ListParagraph"/>
        <w:widowControl w:val="0"/>
        <w:numPr>
          <w:ilvl w:val="0"/>
          <w:numId w:val="16"/>
        </w:numPr>
        <w:autoSpaceDE w:val="0"/>
        <w:autoSpaceDN w:val="0"/>
        <w:spacing w:before="240" w:after="240"/>
        <w:ind w:left="1440" w:hanging="720"/>
        <w:contextualSpacing w:val="0"/>
        <w:jc w:val="both"/>
        <w:rPr>
          <w:rFonts w:ascii="Times New Roman" w:eastAsia="Times New Roman" w:hAnsi="Times New Roman" w:cs="Times New Roman"/>
          <w:szCs w:val="24"/>
        </w:rPr>
      </w:pPr>
      <w:r>
        <w:rPr>
          <w:rFonts w:ascii="Times New Roman" w:hAnsi="Times New Roman"/>
        </w:rPr>
        <w:t>Osoba uznana za winną popełnienia przestępstwa na mocy tego art. podlega odpowiedzialności karnej</w:t>
      </w:r>
    </w:p>
    <w:p w14:paraId="7CD81DDE" w14:textId="04E20CAF" w:rsidR="00B76CA3" w:rsidRPr="00835148" w:rsidRDefault="00B76CA3" w:rsidP="00F6269D">
      <w:pPr>
        <w:pStyle w:val="ListParagraph"/>
        <w:widowControl w:val="0"/>
        <w:numPr>
          <w:ilvl w:val="0"/>
          <w:numId w:val="108"/>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w przypadku skazania w trybie przyspieszonym, na grzywnę klasy A lub karę pozbawienia wolności na okres nieprzekraczający 12 miesięcy lub obie te kary, lub </w:t>
      </w:r>
    </w:p>
    <w:p w14:paraId="7A189722" w14:textId="04A15E3B" w:rsidR="00B76CA3" w:rsidRPr="00835148" w:rsidRDefault="00B76CA3" w:rsidP="00F6269D">
      <w:pPr>
        <w:pStyle w:val="ListParagraph"/>
        <w:widowControl w:val="0"/>
        <w:numPr>
          <w:ilvl w:val="0"/>
          <w:numId w:val="108"/>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w przypadku skazania na podstawie aktu oskarżenia, na karę grzywny lub karę pozbawienia wolności na okres nieprzekraczający 5 lat lub obie te kary.</w:t>
      </w:r>
    </w:p>
    <w:p w14:paraId="06DE4E50" w14:textId="40C556CE" w:rsidR="00DC775D" w:rsidRDefault="00DC775D" w:rsidP="003354AE">
      <w:pPr>
        <w:pStyle w:val="Heading1"/>
      </w:pPr>
      <w:bookmarkStart w:id="474" w:name="_Toc106188860"/>
      <w:r>
        <w:t>[Artykuł 25 usunięto]</w:t>
      </w:r>
      <w:bookmarkEnd w:id="474"/>
    </w:p>
    <w:p w14:paraId="36798607" w14:textId="734DB324" w:rsidR="00CA2822" w:rsidRPr="00835148" w:rsidRDefault="00CA2822" w:rsidP="00883C74">
      <w:pPr>
        <w:pStyle w:val="Heading1"/>
      </w:pPr>
      <w:bookmarkStart w:id="475" w:name="_Toc106188861"/>
      <w:r>
        <w:t>Artykuł 26: Przestępstwo polegające na nieprzestrzeganiu obowiązków nałożonych na platformy internetowe</w:t>
      </w:r>
      <w:bookmarkEnd w:id="475"/>
    </w:p>
    <w:p w14:paraId="6F178266" w14:textId="77777777" w:rsidR="00CA2822" w:rsidRPr="00835148" w:rsidRDefault="00CA2822" w:rsidP="00F6269D">
      <w:pPr>
        <w:ind w:firstLine="709"/>
        <w:jc w:val="both"/>
        <w:rPr>
          <w:rFonts w:ascii="Times New Roman" w:hAnsi="Times New Roman" w:cs="Times New Roman"/>
          <w:i/>
          <w:iCs/>
          <w:szCs w:val="24"/>
        </w:rPr>
      </w:pPr>
      <w:r>
        <w:rPr>
          <w:rFonts w:ascii="Times New Roman" w:hAnsi="Times New Roman"/>
          <w:i/>
        </w:rPr>
        <w:t>Niniejszy artykuł stanowi, że:</w:t>
      </w:r>
    </w:p>
    <w:p w14:paraId="7D5DCEB4" w14:textId="0F7306FB" w:rsidR="00B76CA3" w:rsidRPr="00835148" w:rsidRDefault="00CA2822" w:rsidP="009A3E29">
      <w:pPr>
        <w:pStyle w:val="ListParagraph"/>
        <w:widowControl w:val="0"/>
        <w:numPr>
          <w:ilvl w:val="0"/>
          <w:numId w:val="109"/>
        </w:numPr>
        <w:autoSpaceDE w:val="0"/>
        <w:autoSpaceDN w:val="0"/>
        <w:spacing w:before="240" w:after="240"/>
        <w:ind w:left="1276" w:hanging="567"/>
        <w:contextualSpacing w:val="0"/>
        <w:jc w:val="both"/>
        <w:rPr>
          <w:rFonts w:ascii="Times New Roman" w:hAnsi="Times New Roman" w:cs="Times New Roman"/>
          <w:szCs w:val="24"/>
        </w:rPr>
      </w:pPr>
      <w:r>
        <w:rPr>
          <w:rFonts w:ascii="Times New Roman" w:hAnsi="Times New Roman"/>
        </w:rPr>
        <w:t>Niedopełnienie przez platformę internetową obowiązków wynikających z art. 6 i 7 stanowi przestępstwo.</w:t>
      </w:r>
    </w:p>
    <w:p w14:paraId="32DFB70C" w14:textId="0E841D1E" w:rsidR="00B76CA3" w:rsidRPr="00835148" w:rsidRDefault="00B76CA3" w:rsidP="00F6269D">
      <w:pPr>
        <w:pStyle w:val="ListParagraph"/>
        <w:widowControl w:val="0"/>
        <w:numPr>
          <w:ilvl w:val="0"/>
          <w:numId w:val="109"/>
        </w:numPr>
        <w:autoSpaceDE w:val="0"/>
        <w:autoSpaceDN w:val="0"/>
        <w:spacing w:before="240" w:after="240"/>
        <w:ind w:left="1276" w:hanging="567"/>
        <w:contextualSpacing w:val="0"/>
        <w:jc w:val="both"/>
        <w:rPr>
          <w:rFonts w:ascii="Times New Roman" w:hAnsi="Times New Roman" w:cs="Times New Roman"/>
          <w:szCs w:val="24"/>
        </w:rPr>
      </w:pPr>
      <w:r>
        <w:rPr>
          <w:rFonts w:ascii="Times New Roman" w:hAnsi="Times New Roman"/>
        </w:rPr>
        <w:t>Osoba uznana za winną popełnienia przestępstwa na mocy tego art. podlega odpowiedzialności karnej</w:t>
      </w:r>
    </w:p>
    <w:p w14:paraId="4B7E051A" w14:textId="0E2FAE72" w:rsidR="00B76CA3" w:rsidRPr="00835148" w:rsidRDefault="00B76CA3" w:rsidP="00F6269D">
      <w:pPr>
        <w:pStyle w:val="ListParagraph"/>
        <w:widowControl w:val="0"/>
        <w:numPr>
          <w:ilvl w:val="0"/>
          <w:numId w:val="110"/>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w przypadku skazania w trybie przyspieszonym, na grzywnę klasy A lub karę pozbawienia wolności na okres nieprzekraczający 12 miesięcy lub obie te kary, lub </w:t>
      </w:r>
    </w:p>
    <w:p w14:paraId="4795B1AD" w14:textId="0A9616FE" w:rsidR="00B76CA3" w:rsidRPr="00835148" w:rsidRDefault="00B76CA3" w:rsidP="00F6269D">
      <w:pPr>
        <w:pStyle w:val="ListParagraph"/>
        <w:widowControl w:val="0"/>
        <w:numPr>
          <w:ilvl w:val="0"/>
          <w:numId w:val="110"/>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w przypadku skazania na podstawie aktu oskarżenia, na karę grzywny lub karę pozbawienia wolności na okres nieprzekraczający 5 lat lub obie te kary.</w:t>
      </w:r>
    </w:p>
    <w:p w14:paraId="53A21A58" w14:textId="0FC48AF9" w:rsidR="00010433" w:rsidRDefault="00EE2578" w:rsidP="008273CD">
      <w:pPr>
        <w:pStyle w:val="Heading1"/>
        <w:rPr>
          <w:rFonts w:eastAsiaTheme="majorEastAsia"/>
        </w:rPr>
      </w:pPr>
      <w:bookmarkStart w:id="476" w:name="_Toc106188862"/>
      <w:r>
        <w:t>[Artykuł 27 usunięto]</w:t>
      </w:r>
      <w:bookmarkStart w:id="477" w:name="_Toc97143801"/>
      <w:bookmarkStart w:id="478" w:name="_Toc97143804"/>
      <w:bookmarkEnd w:id="477"/>
      <w:bookmarkEnd w:id="478"/>
      <w:bookmarkEnd w:id="476"/>
    </w:p>
    <w:p w14:paraId="0F2F9D55" w14:textId="4A0C4439" w:rsidR="00C21EA1" w:rsidRPr="008273CD" w:rsidRDefault="00673C0B" w:rsidP="008273CD">
      <w:pPr>
        <w:pStyle w:val="Heading1"/>
        <w:spacing w:before="480"/>
        <w:jc w:val="center"/>
        <w:rPr>
          <w:sz w:val="28"/>
          <w:szCs w:val="28"/>
        </w:rPr>
      </w:pPr>
      <w:bookmarkStart w:id="479" w:name="_Toc106188863"/>
      <w:r>
        <w:rPr>
          <w:sz w:val="28"/>
        </w:rPr>
        <w:t>Rozdział 9: Postanowienia różne</w:t>
      </w:r>
      <w:bookmarkEnd w:id="479"/>
    </w:p>
    <w:p w14:paraId="67BDB5CB" w14:textId="77AE4C8E" w:rsidR="00C21EA1" w:rsidRPr="00835148" w:rsidRDefault="001E6A2D" w:rsidP="00883C74">
      <w:pPr>
        <w:pStyle w:val="Heading1"/>
      </w:pPr>
      <w:bookmarkStart w:id="480" w:name="_Toc106188864"/>
      <w:r>
        <w:t>Artykuł 28: Zabezpieczenie przed pozwem</w:t>
      </w:r>
      <w:bookmarkEnd w:id="480"/>
      <w:r>
        <w:t xml:space="preserve"> </w:t>
      </w:r>
    </w:p>
    <w:p w14:paraId="7E1CAEDD" w14:textId="77777777" w:rsidR="008E71CA" w:rsidRPr="00835148" w:rsidRDefault="008E71CA" w:rsidP="00F6269D">
      <w:pPr>
        <w:ind w:left="720"/>
        <w:jc w:val="both"/>
        <w:rPr>
          <w:rFonts w:ascii="Times New Roman" w:hAnsi="Times New Roman" w:cs="Times New Roman"/>
          <w:i/>
          <w:iCs/>
          <w:szCs w:val="24"/>
        </w:rPr>
      </w:pPr>
      <w:r>
        <w:rPr>
          <w:rFonts w:ascii="Times New Roman" w:hAnsi="Times New Roman"/>
          <w:i/>
        </w:rPr>
        <w:t>Niniejszy artykuł stanowi, że:</w:t>
      </w:r>
    </w:p>
    <w:p w14:paraId="47DD982D" w14:textId="761A80CD" w:rsidR="008E71CA" w:rsidRPr="00835148" w:rsidRDefault="008E71CA" w:rsidP="00F6269D">
      <w:pPr>
        <w:pStyle w:val="ListParagraph"/>
        <w:numPr>
          <w:ilvl w:val="0"/>
          <w:numId w:val="57"/>
        </w:numPr>
        <w:spacing w:before="240" w:after="240"/>
        <w:ind w:left="1560" w:hanging="851"/>
        <w:contextualSpacing w:val="0"/>
        <w:jc w:val="both"/>
        <w:rPr>
          <w:rFonts w:ascii="Times New Roman" w:hAnsi="Times New Roman" w:cs="Times New Roman"/>
          <w:szCs w:val="24"/>
        </w:rPr>
      </w:pPr>
      <w:r>
        <w:rPr>
          <w:rFonts w:ascii="Times New Roman" w:hAnsi="Times New Roman"/>
        </w:rPr>
        <w:lastRenderedPageBreak/>
        <w:t>Komisja wykonuje swoje obowiązki w dobrej wierze oraz w ogólnym interesie społeczeństwa i wyborców, z uwzględnieniem dostępnych środków.  Przeciwko Komisji nie można wytoczyć powództwa jedynie z powodu rzekomego niewypełnienia jej celów.</w:t>
      </w:r>
    </w:p>
    <w:p w14:paraId="5F525E80" w14:textId="4B6D7B44" w:rsidR="000A617C" w:rsidRPr="00835148" w:rsidRDefault="00C72229" w:rsidP="00F6269D">
      <w:pPr>
        <w:pStyle w:val="ListParagraph"/>
        <w:numPr>
          <w:ilvl w:val="0"/>
          <w:numId w:val="57"/>
        </w:numPr>
        <w:spacing w:before="240" w:after="240"/>
        <w:ind w:left="1560" w:hanging="851"/>
        <w:contextualSpacing w:val="0"/>
        <w:jc w:val="both"/>
        <w:rPr>
          <w:rFonts w:ascii="Times New Roman" w:hAnsi="Times New Roman" w:cs="Times New Roman"/>
          <w:szCs w:val="24"/>
        </w:rPr>
      </w:pPr>
      <w:r>
        <w:rPr>
          <w:rFonts w:ascii="Times New Roman" w:hAnsi="Times New Roman"/>
        </w:rPr>
        <w:t>Żaden z członków Komisji nie może być pociągnięty do odpowiedzialności osobiście z powodu działania lub zaniechania, którego dopuścił się, wykonując swoje obowiązki na podstawie niniejszej Części.</w:t>
      </w:r>
    </w:p>
    <w:p w14:paraId="4F37C77D" w14:textId="3D3028BF" w:rsidR="00C8031E" w:rsidRPr="005647BF" w:rsidRDefault="007A44B6" w:rsidP="00883C74">
      <w:pPr>
        <w:pStyle w:val="Heading1"/>
      </w:pPr>
      <w:bookmarkStart w:id="481" w:name="_Toc99549951"/>
      <w:bookmarkStart w:id="482" w:name="_Toc99550700"/>
      <w:bookmarkStart w:id="483" w:name="_Toc106188865"/>
      <w:bookmarkEnd w:id="481"/>
      <w:bookmarkEnd w:id="482"/>
      <w:r>
        <w:t>Artykuł 29: Doręczanie obwieszczeń lub nakazów wydanych na mocy art. 10</w:t>
      </w:r>
      <w:bookmarkEnd w:id="483"/>
    </w:p>
    <w:p w14:paraId="782F86A8" w14:textId="77777777" w:rsidR="00694F92" w:rsidRPr="00835148" w:rsidRDefault="00694F92"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Niniejszy artykuł stanowi, że:</w:t>
      </w:r>
    </w:p>
    <w:p w14:paraId="7FAE6536" w14:textId="0CD94900" w:rsidR="00E323DB" w:rsidRPr="00835148" w:rsidRDefault="00694F92" w:rsidP="00F6269D">
      <w:pPr>
        <w:widowControl w:val="0"/>
        <w:autoSpaceDE w:val="0"/>
        <w:autoSpaceDN w:val="0"/>
        <w:spacing w:before="240" w:after="240"/>
        <w:ind w:left="720"/>
        <w:jc w:val="both"/>
        <w:rPr>
          <w:rFonts w:ascii="Times New Roman" w:hAnsi="Times New Roman" w:cs="Times New Roman"/>
          <w:szCs w:val="24"/>
        </w:rPr>
      </w:pPr>
      <w:r>
        <w:rPr>
          <w:rFonts w:ascii="Times New Roman" w:hAnsi="Times New Roman"/>
        </w:rPr>
        <w:t>Doręczanie zawiadomień lub nakazów wydanych na mocy art. 10 odbywa się zgodnie z postanowieniami art. 128C.</w:t>
      </w:r>
    </w:p>
    <w:sectPr w:rsidR="00E323DB" w:rsidRPr="00835148" w:rsidSect="00E323DB">
      <w:footerReference w:type="defaul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425AB" w14:textId="77777777" w:rsidR="00992C59" w:rsidRDefault="00992C59" w:rsidP="003C524C">
      <w:pPr>
        <w:spacing w:after="0" w:line="240" w:lineRule="auto"/>
      </w:pPr>
      <w:r>
        <w:separator/>
      </w:r>
    </w:p>
  </w:endnote>
  <w:endnote w:type="continuationSeparator" w:id="0">
    <w:p w14:paraId="33D7F765" w14:textId="77777777" w:rsidR="00992C59" w:rsidRDefault="00992C59" w:rsidP="003C5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w:altName w:val="Calibri"/>
    <w:charset w:val="00"/>
    <w:family w:val="auto"/>
    <w:pitch w:val="variable"/>
    <w:sig w:usb0="8000006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325706380"/>
      <w:docPartObj>
        <w:docPartGallery w:val="Page Numbers (Bottom of Page)"/>
        <w:docPartUnique/>
      </w:docPartObj>
    </w:sdtPr>
    <w:sdtEndPr>
      <w:rPr>
        <w:noProof/>
      </w:rPr>
    </w:sdtEndPr>
    <w:sdtContent>
      <w:p w14:paraId="30561D3C" w14:textId="0AFB7B82" w:rsidR="004411C6" w:rsidRPr="00F6269D" w:rsidRDefault="004411C6" w:rsidP="00F6269D">
        <w:pPr>
          <w:pStyle w:val="Footer"/>
          <w:jc w:val="center"/>
          <w:rPr>
            <w:rFonts w:ascii="Times New Roman" w:hAnsi="Times New Roman" w:cs="Times New Roman"/>
          </w:rPr>
        </w:pPr>
        <w:r w:rsidRPr="00F6269D">
          <w:rPr>
            <w:rFonts w:ascii="Times New Roman" w:hAnsi="Times New Roman" w:cs="Times New Roman"/>
          </w:rPr>
          <w:fldChar w:fldCharType="begin"/>
        </w:r>
        <w:r w:rsidRPr="00F6269D">
          <w:rPr>
            <w:rFonts w:ascii="Times New Roman" w:hAnsi="Times New Roman" w:cs="Times New Roman"/>
          </w:rPr>
          <w:instrText xml:space="preserve"> PAGE   \* MERGEFORMAT </w:instrText>
        </w:r>
        <w:r w:rsidRPr="00F6269D">
          <w:rPr>
            <w:rFonts w:ascii="Times New Roman" w:hAnsi="Times New Roman" w:cs="Times New Roman"/>
          </w:rPr>
          <w:fldChar w:fldCharType="separate"/>
        </w:r>
        <w:r w:rsidR="00000B58">
          <w:rPr>
            <w:rFonts w:ascii="Times New Roman" w:hAnsi="Times New Roman" w:cs="Times New Roman"/>
          </w:rPr>
          <w:t>1</w:t>
        </w:r>
        <w:r w:rsidRPr="00F6269D">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51CED" w14:textId="77777777" w:rsidR="00992C59" w:rsidRDefault="00992C59" w:rsidP="003C524C">
      <w:pPr>
        <w:spacing w:after="0" w:line="240" w:lineRule="auto"/>
      </w:pPr>
      <w:r>
        <w:separator/>
      </w:r>
    </w:p>
  </w:footnote>
  <w:footnote w:type="continuationSeparator" w:id="0">
    <w:p w14:paraId="4DB69920" w14:textId="77777777" w:rsidR="00992C59" w:rsidRDefault="00992C59" w:rsidP="003C524C">
      <w:pPr>
        <w:spacing w:after="0" w:line="240" w:lineRule="auto"/>
      </w:pPr>
      <w:r>
        <w:continuationSeparator/>
      </w:r>
    </w:p>
  </w:footnote>
  <w:footnote w:id="1">
    <w:p w14:paraId="76350F52" w14:textId="47C44C60" w:rsidR="00850779" w:rsidRPr="002905E3" w:rsidRDefault="0085077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Uwaga: postanowienia niniejszego art. zostały zaadaptowane z art. 154 ustawy o samorządzie lokalnym z 2001 roku (z późniejszymi zmianami).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1465"/>
    <w:multiLevelType w:val="hybridMultilevel"/>
    <w:tmpl w:val="6412A51E"/>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B12B4D"/>
    <w:multiLevelType w:val="hybridMultilevel"/>
    <w:tmpl w:val="CD720244"/>
    <w:lvl w:ilvl="0" w:tplc="337812E8">
      <w:start w:val="1"/>
      <w:numFmt w:val="lowerLetter"/>
      <w:lvlText w:val="(%1)"/>
      <w:lvlJc w:val="left"/>
      <w:pPr>
        <w:ind w:left="2563" w:hanging="360"/>
      </w:pPr>
      <w:rPr>
        <w:rFonts w:ascii="Times New Roman" w:hAnsi="Times New Roman" w:cs="Times New Roman"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2" w15:restartNumberingAfterBreak="0">
    <w:nsid w:val="00DB1288"/>
    <w:multiLevelType w:val="hybridMultilevel"/>
    <w:tmpl w:val="1F50A510"/>
    <w:lvl w:ilvl="0" w:tplc="940AE43A">
      <w:start w:val="1"/>
      <w:numFmt w:val="lowerLetter"/>
      <w:lvlText w:val="(%1)"/>
      <w:lvlJc w:val="left"/>
      <w:pPr>
        <w:ind w:left="2221" w:hanging="360"/>
      </w:pPr>
      <w:rPr>
        <w:rFonts w:ascii="Times New Roman" w:eastAsia="Times New Roman" w:hAnsi="Times New Roman" w:cs="Times New Roman" w:hint="default"/>
        <w:spacing w:val="-26"/>
        <w:w w:val="100"/>
        <w:sz w:val="22"/>
        <w:szCs w:val="22"/>
      </w:rPr>
    </w:lvl>
    <w:lvl w:ilvl="1" w:tplc="08090019" w:tentative="1">
      <w:start w:val="1"/>
      <w:numFmt w:val="lowerLetter"/>
      <w:lvlText w:val="%2."/>
      <w:lvlJc w:val="left"/>
      <w:pPr>
        <w:ind w:left="2941" w:hanging="360"/>
      </w:pPr>
    </w:lvl>
    <w:lvl w:ilvl="2" w:tplc="0809001B" w:tentative="1">
      <w:start w:val="1"/>
      <w:numFmt w:val="lowerRoman"/>
      <w:lvlText w:val="%3."/>
      <w:lvlJc w:val="right"/>
      <w:pPr>
        <w:ind w:left="3661" w:hanging="180"/>
      </w:pPr>
    </w:lvl>
    <w:lvl w:ilvl="3" w:tplc="0809000F" w:tentative="1">
      <w:start w:val="1"/>
      <w:numFmt w:val="decimal"/>
      <w:lvlText w:val="%4."/>
      <w:lvlJc w:val="left"/>
      <w:pPr>
        <w:ind w:left="4381" w:hanging="360"/>
      </w:pPr>
    </w:lvl>
    <w:lvl w:ilvl="4" w:tplc="08090019" w:tentative="1">
      <w:start w:val="1"/>
      <w:numFmt w:val="lowerLetter"/>
      <w:lvlText w:val="%5."/>
      <w:lvlJc w:val="left"/>
      <w:pPr>
        <w:ind w:left="5101" w:hanging="360"/>
      </w:pPr>
    </w:lvl>
    <w:lvl w:ilvl="5" w:tplc="0809001B" w:tentative="1">
      <w:start w:val="1"/>
      <w:numFmt w:val="lowerRoman"/>
      <w:lvlText w:val="%6."/>
      <w:lvlJc w:val="right"/>
      <w:pPr>
        <w:ind w:left="5821" w:hanging="180"/>
      </w:pPr>
    </w:lvl>
    <w:lvl w:ilvl="6" w:tplc="0809000F" w:tentative="1">
      <w:start w:val="1"/>
      <w:numFmt w:val="decimal"/>
      <w:lvlText w:val="%7."/>
      <w:lvlJc w:val="left"/>
      <w:pPr>
        <w:ind w:left="6541" w:hanging="360"/>
      </w:pPr>
    </w:lvl>
    <w:lvl w:ilvl="7" w:tplc="08090019" w:tentative="1">
      <w:start w:val="1"/>
      <w:numFmt w:val="lowerLetter"/>
      <w:lvlText w:val="%8."/>
      <w:lvlJc w:val="left"/>
      <w:pPr>
        <w:ind w:left="7261" w:hanging="360"/>
      </w:pPr>
    </w:lvl>
    <w:lvl w:ilvl="8" w:tplc="0809001B" w:tentative="1">
      <w:start w:val="1"/>
      <w:numFmt w:val="lowerRoman"/>
      <w:lvlText w:val="%9."/>
      <w:lvlJc w:val="right"/>
      <w:pPr>
        <w:ind w:left="7981" w:hanging="180"/>
      </w:pPr>
    </w:lvl>
  </w:abstractNum>
  <w:abstractNum w:abstractNumId="3" w15:restartNumberingAfterBreak="0">
    <w:nsid w:val="02145B8F"/>
    <w:multiLevelType w:val="hybridMultilevel"/>
    <w:tmpl w:val="697ACF7E"/>
    <w:lvl w:ilvl="0" w:tplc="A030FCAC">
      <w:start w:val="1"/>
      <w:numFmt w:val="decimal"/>
      <w:lvlText w:val="(%1)"/>
      <w:lvlJc w:val="left"/>
      <w:pPr>
        <w:ind w:left="720" w:hanging="360"/>
      </w:pPr>
      <w:rPr>
        <w:rFonts w:hint="default"/>
      </w:rPr>
    </w:lvl>
    <w:lvl w:ilvl="1" w:tplc="600ACFD6">
      <w:start w:val="1"/>
      <w:numFmt w:val="lowerLetter"/>
      <w:lvlText w:val="(%2)"/>
      <w:lvlJc w:val="left"/>
      <w:pPr>
        <w:ind w:left="1778"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40E4E4E"/>
    <w:multiLevelType w:val="hybridMultilevel"/>
    <w:tmpl w:val="8C08B932"/>
    <w:lvl w:ilvl="0" w:tplc="13F0374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5DE4883"/>
    <w:multiLevelType w:val="hybridMultilevel"/>
    <w:tmpl w:val="BC0C9AFA"/>
    <w:lvl w:ilvl="0" w:tplc="D1B6D3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464FF8"/>
    <w:multiLevelType w:val="multilevel"/>
    <w:tmpl w:val="376A48F0"/>
    <w:lvl w:ilvl="0">
      <w:start w:val="1"/>
      <w:numFmt w:val="lowerLetter"/>
      <w:lvlText w:val="(%1)"/>
      <w:lvlJc w:val="left"/>
      <w:pPr>
        <w:ind w:left="2203" w:hanging="360"/>
      </w:pPr>
      <w:rPr>
        <w:rFonts w:hint="default"/>
      </w:rPr>
    </w:lvl>
    <w:lvl w:ilvl="1">
      <w:start w:val="1"/>
      <w:numFmt w:val="bullet"/>
      <w:lvlText w:val="o"/>
      <w:lvlJc w:val="left"/>
      <w:pPr>
        <w:tabs>
          <w:tab w:val="num" w:pos="2563"/>
        </w:tabs>
        <w:ind w:left="2563" w:hanging="360"/>
      </w:pPr>
      <w:rPr>
        <w:rFonts w:ascii="Courier New" w:hAnsi="Courier New" w:hint="default"/>
        <w:sz w:val="20"/>
      </w:rPr>
    </w:lvl>
    <w:lvl w:ilvl="2">
      <w:start w:val="1"/>
      <w:numFmt w:val="bullet"/>
      <w:lvlText w:val=""/>
      <w:lvlJc w:val="left"/>
      <w:pPr>
        <w:tabs>
          <w:tab w:val="num" w:pos="3283"/>
        </w:tabs>
        <w:ind w:left="3283" w:hanging="360"/>
      </w:pPr>
      <w:rPr>
        <w:rFonts w:ascii="Wingdings" w:hAnsi="Wingdings" w:hint="default"/>
        <w:sz w:val="20"/>
      </w:rPr>
    </w:lvl>
    <w:lvl w:ilvl="3">
      <w:start w:val="1"/>
      <w:numFmt w:val="decimal"/>
      <w:lvlText w:val="%4."/>
      <w:lvlJc w:val="left"/>
      <w:pPr>
        <w:tabs>
          <w:tab w:val="num" w:pos="4003"/>
        </w:tabs>
        <w:ind w:left="4003" w:hanging="360"/>
      </w:pPr>
    </w:lvl>
    <w:lvl w:ilvl="4" w:tentative="1">
      <w:start w:val="1"/>
      <w:numFmt w:val="decimal"/>
      <w:lvlText w:val="%5."/>
      <w:lvlJc w:val="left"/>
      <w:pPr>
        <w:tabs>
          <w:tab w:val="num" w:pos="4723"/>
        </w:tabs>
        <w:ind w:left="4723" w:hanging="360"/>
      </w:pPr>
    </w:lvl>
    <w:lvl w:ilvl="5" w:tentative="1">
      <w:start w:val="1"/>
      <w:numFmt w:val="decimal"/>
      <w:lvlText w:val="%6."/>
      <w:lvlJc w:val="left"/>
      <w:pPr>
        <w:tabs>
          <w:tab w:val="num" w:pos="5443"/>
        </w:tabs>
        <w:ind w:left="5443" w:hanging="360"/>
      </w:pPr>
    </w:lvl>
    <w:lvl w:ilvl="6" w:tentative="1">
      <w:start w:val="1"/>
      <w:numFmt w:val="decimal"/>
      <w:lvlText w:val="%7."/>
      <w:lvlJc w:val="left"/>
      <w:pPr>
        <w:tabs>
          <w:tab w:val="num" w:pos="6163"/>
        </w:tabs>
        <w:ind w:left="6163" w:hanging="360"/>
      </w:pPr>
    </w:lvl>
    <w:lvl w:ilvl="7" w:tentative="1">
      <w:start w:val="1"/>
      <w:numFmt w:val="decimal"/>
      <w:lvlText w:val="%8."/>
      <w:lvlJc w:val="left"/>
      <w:pPr>
        <w:tabs>
          <w:tab w:val="num" w:pos="6883"/>
        </w:tabs>
        <w:ind w:left="6883" w:hanging="360"/>
      </w:pPr>
    </w:lvl>
    <w:lvl w:ilvl="8" w:tentative="1">
      <w:start w:val="1"/>
      <w:numFmt w:val="decimal"/>
      <w:lvlText w:val="%9."/>
      <w:lvlJc w:val="left"/>
      <w:pPr>
        <w:tabs>
          <w:tab w:val="num" w:pos="7603"/>
        </w:tabs>
        <w:ind w:left="7603" w:hanging="360"/>
      </w:pPr>
    </w:lvl>
  </w:abstractNum>
  <w:abstractNum w:abstractNumId="7" w15:restartNumberingAfterBreak="0">
    <w:nsid w:val="07AC14D0"/>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8" w15:restartNumberingAfterBreak="0">
    <w:nsid w:val="0BC0692D"/>
    <w:multiLevelType w:val="hybridMultilevel"/>
    <w:tmpl w:val="63D2D7C0"/>
    <w:lvl w:ilvl="0" w:tplc="13F03748">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9" w15:restartNumberingAfterBreak="0">
    <w:nsid w:val="0EE515DC"/>
    <w:multiLevelType w:val="hybridMultilevel"/>
    <w:tmpl w:val="B2667510"/>
    <w:lvl w:ilvl="0" w:tplc="13F03748">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0" w15:restartNumberingAfterBreak="0">
    <w:nsid w:val="0F487DD1"/>
    <w:multiLevelType w:val="hybridMultilevel"/>
    <w:tmpl w:val="63588EF0"/>
    <w:lvl w:ilvl="0" w:tplc="750A8D2C">
      <w:start w:val="1"/>
      <w:numFmt w:val="decimal"/>
      <w:lvlText w:val="(%1)"/>
      <w:lvlJc w:val="left"/>
      <w:pPr>
        <w:ind w:left="720" w:hanging="360"/>
      </w:pPr>
      <w:rPr>
        <w:rFonts w:hint="default"/>
      </w:rPr>
    </w:lvl>
    <w:lvl w:ilvl="1" w:tplc="14F43464">
      <w:start w:val="1"/>
      <w:numFmt w:val="lowerLetter"/>
      <w:lvlText w:val="(%2)"/>
      <w:lvlJc w:val="left"/>
      <w:pPr>
        <w:ind w:left="1480" w:hanging="400"/>
      </w:pPr>
      <w:rPr>
        <w:rFonts w:hint="default"/>
        <w:color w:val="333333"/>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6D7FD2"/>
    <w:multiLevelType w:val="hybridMultilevel"/>
    <w:tmpl w:val="CC6CE962"/>
    <w:lvl w:ilvl="0" w:tplc="77E29664">
      <w:start w:val="1"/>
      <w:numFmt w:val="decimal"/>
      <w:lvlText w:val="(%1)"/>
      <w:lvlJc w:val="left"/>
      <w:pPr>
        <w:ind w:left="1080" w:hanging="360"/>
      </w:pPr>
      <w:rPr>
        <w:rFonts w:hint="default"/>
      </w:rPr>
    </w:lvl>
    <w:lvl w:ilvl="1" w:tplc="63DECFEE">
      <w:start w:val="1"/>
      <w:numFmt w:val="lowerLetter"/>
      <w:lvlText w:val="(%2)"/>
      <w:lvlJc w:val="left"/>
      <w:pPr>
        <w:ind w:left="1800" w:hanging="360"/>
      </w:pPr>
      <w:rPr>
        <w:rFonts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1082789F"/>
    <w:multiLevelType w:val="hybridMultilevel"/>
    <w:tmpl w:val="858016D0"/>
    <w:lvl w:ilvl="0" w:tplc="F52ADFA4">
      <w:start w:val="1"/>
      <w:numFmt w:val="decimal"/>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112099E"/>
    <w:multiLevelType w:val="hybridMultilevel"/>
    <w:tmpl w:val="DAD6DB7A"/>
    <w:lvl w:ilvl="0" w:tplc="5170C768">
      <w:start w:val="1"/>
      <w:numFmt w:val="decimal"/>
      <w:lvlText w:val="(%1)"/>
      <w:lvlJc w:val="left"/>
      <w:pPr>
        <w:ind w:left="1080" w:hanging="360"/>
      </w:pPr>
      <w:rPr>
        <w:rFonts w:ascii="Times New Roman" w:eastAsiaTheme="majorEastAsia" w:hAnsi="Times New Roman" w:cs="Times New Roman" w:hint="default"/>
        <w:i w:val="0"/>
        <w:iCs/>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2D706F9"/>
    <w:multiLevelType w:val="hybridMultilevel"/>
    <w:tmpl w:val="92F2E784"/>
    <w:lvl w:ilvl="0" w:tplc="0778F26A">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146E668D"/>
    <w:multiLevelType w:val="hybridMultilevel"/>
    <w:tmpl w:val="93362260"/>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49E31B1"/>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6BD08B0"/>
    <w:multiLevelType w:val="hybridMultilevel"/>
    <w:tmpl w:val="EDE645BC"/>
    <w:lvl w:ilvl="0" w:tplc="13F03748">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8" w15:restartNumberingAfterBreak="0">
    <w:nsid w:val="17386C78"/>
    <w:multiLevelType w:val="hybridMultilevel"/>
    <w:tmpl w:val="8F9A707A"/>
    <w:lvl w:ilvl="0" w:tplc="750A8D2C">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7892122"/>
    <w:multiLevelType w:val="hybridMultilevel"/>
    <w:tmpl w:val="F9C6E8F8"/>
    <w:lvl w:ilvl="0" w:tplc="A030FCAC">
      <w:start w:val="1"/>
      <w:numFmt w:val="decimal"/>
      <w:lvlText w:val="(%1)"/>
      <w:lvlJc w:val="left"/>
      <w:pPr>
        <w:ind w:left="720" w:hanging="360"/>
      </w:pPr>
      <w:rPr>
        <w:rFonts w:hint="default"/>
      </w:rPr>
    </w:lvl>
    <w:lvl w:ilvl="1" w:tplc="600ACFD6">
      <w:start w:val="1"/>
      <w:numFmt w:val="lowerLetter"/>
      <w:lvlText w:val="(%2)"/>
      <w:lvlJc w:val="left"/>
      <w:pPr>
        <w:ind w:left="2629" w:hanging="360"/>
      </w:pPr>
      <w:rPr>
        <w:rFont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8010B37"/>
    <w:multiLevelType w:val="hybridMultilevel"/>
    <w:tmpl w:val="A08CA498"/>
    <w:lvl w:ilvl="0" w:tplc="A030FCAC">
      <w:start w:val="1"/>
      <w:numFmt w:val="decimal"/>
      <w:lvlText w:val="(%1)"/>
      <w:lvlJc w:val="left"/>
      <w:pPr>
        <w:ind w:left="785" w:hanging="360"/>
      </w:pPr>
      <w:rPr>
        <w:rFonts w:hint="default"/>
      </w:r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21" w15:restartNumberingAfterBreak="0">
    <w:nsid w:val="187045FC"/>
    <w:multiLevelType w:val="hybridMultilevel"/>
    <w:tmpl w:val="415E0CB4"/>
    <w:lvl w:ilvl="0" w:tplc="925690C0">
      <w:start w:val="1"/>
      <w:numFmt w:val="lowerLetter"/>
      <w:lvlText w:val="(%1)"/>
      <w:lvlJc w:val="left"/>
      <w:pPr>
        <w:ind w:left="1919" w:hanging="360"/>
      </w:pPr>
      <w:rPr>
        <w:rFonts w:hint="default"/>
      </w:rPr>
    </w:lvl>
    <w:lvl w:ilvl="1" w:tplc="08090019">
      <w:start w:val="1"/>
      <w:numFmt w:val="lowerLetter"/>
      <w:lvlText w:val="%2."/>
      <w:lvlJc w:val="left"/>
      <w:pPr>
        <w:ind w:left="2148" w:hanging="360"/>
      </w:pPr>
    </w:lvl>
    <w:lvl w:ilvl="2" w:tplc="0809001B">
      <w:start w:val="1"/>
      <w:numFmt w:val="lowerRoman"/>
      <w:lvlText w:val="%3."/>
      <w:lvlJc w:val="right"/>
      <w:pPr>
        <w:ind w:left="2868" w:hanging="180"/>
      </w:pPr>
    </w:lvl>
    <w:lvl w:ilvl="3" w:tplc="0809000F">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2" w15:restartNumberingAfterBreak="0">
    <w:nsid w:val="19B72F9E"/>
    <w:multiLevelType w:val="hybridMultilevel"/>
    <w:tmpl w:val="A3A0CCDC"/>
    <w:lvl w:ilvl="0" w:tplc="14F43464">
      <w:start w:val="1"/>
      <w:numFmt w:val="lowerLetter"/>
      <w:lvlText w:val="(%1)"/>
      <w:lvlJc w:val="left"/>
      <w:pPr>
        <w:ind w:left="720" w:hanging="360"/>
      </w:pPr>
      <w:rPr>
        <w:rFonts w:hint="default"/>
      </w:rPr>
    </w:lvl>
    <w:lvl w:ilvl="1" w:tplc="A8E4B614">
      <w:start w:val="1"/>
      <w:numFmt w:val="lowerLetter"/>
      <w:lvlText w:val="(%2)"/>
      <w:lvlJc w:val="left"/>
      <w:pPr>
        <w:ind w:left="1440" w:hanging="360"/>
      </w:pPr>
      <w:rPr>
        <w:rFonts w:hint="default"/>
        <w:b w:val="0"/>
        <w:bCs w:val="0"/>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19BC7C06"/>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ABE2E75"/>
    <w:multiLevelType w:val="hybridMultilevel"/>
    <w:tmpl w:val="A934D61C"/>
    <w:lvl w:ilvl="0" w:tplc="4BD222A8">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1C27333D"/>
    <w:multiLevelType w:val="hybridMultilevel"/>
    <w:tmpl w:val="B4F80EF8"/>
    <w:lvl w:ilvl="0" w:tplc="13F037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DF756C0"/>
    <w:multiLevelType w:val="hybridMultilevel"/>
    <w:tmpl w:val="3DF2D99A"/>
    <w:lvl w:ilvl="0" w:tplc="3D207DEE">
      <w:start w:val="73"/>
      <w:numFmt w:val="decimal"/>
      <w:lvlText w:val="%1."/>
      <w:lvlJc w:val="left"/>
      <w:pPr>
        <w:ind w:left="1750" w:hanging="566"/>
      </w:pPr>
      <w:rPr>
        <w:rFonts w:ascii="Times New Roman" w:eastAsia="Times New Roman" w:hAnsi="Times New Roman" w:cs="Times New Roman" w:hint="default"/>
        <w:b/>
        <w:bCs/>
        <w:spacing w:val="-11"/>
        <w:w w:val="100"/>
        <w:sz w:val="22"/>
        <w:szCs w:val="22"/>
      </w:rPr>
    </w:lvl>
    <w:lvl w:ilvl="1" w:tplc="96606F22">
      <w:start w:val="1"/>
      <w:numFmt w:val="lowerLetter"/>
      <w:lvlText w:val="(%2)"/>
      <w:lvlJc w:val="left"/>
      <w:pPr>
        <w:ind w:left="2430" w:hanging="358"/>
      </w:pPr>
      <w:rPr>
        <w:rFonts w:ascii="Times New Roman" w:eastAsia="Times New Roman" w:hAnsi="Times New Roman" w:cs="Times New Roman" w:hint="default"/>
        <w:spacing w:val="-26"/>
        <w:w w:val="100"/>
        <w:sz w:val="24"/>
        <w:szCs w:val="24"/>
      </w:rPr>
    </w:lvl>
    <w:lvl w:ilvl="2" w:tplc="8A7C6312">
      <w:start w:val="1"/>
      <w:numFmt w:val="lowerRoman"/>
      <w:lvlText w:val="(%3)"/>
      <w:lvlJc w:val="left"/>
      <w:pPr>
        <w:ind w:left="2828" w:hanging="324"/>
        <w:jc w:val="right"/>
      </w:pPr>
      <w:rPr>
        <w:rFonts w:ascii="Times New Roman" w:eastAsia="Times New Roman" w:hAnsi="Times New Roman" w:cs="Times New Roman" w:hint="default"/>
        <w:spacing w:val="-6"/>
        <w:w w:val="100"/>
        <w:sz w:val="22"/>
        <w:szCs w:val="22"/>
      </w:rPr>
    </w:lvl>
    <w:lvl w:ilvl="3" w:tplc="220A584C">
      <w:start w:val="1"/>
      <w:numFmt w:val="upperRoman"/>
      <w:lvlText w:val="(%4)"/>
      <w:lvlJc w:val="left"/>
      <w:pPr>
        <w:ind w:left="3224" w:hanging="330"/>
        <w:jc w:val="right"/>
      </w:pPr>
      <w:rPr>
        <w:rFonts w:ascii="Times New Roman" w:eastAsia="Times New Roman" w:hAnsi="Times New Roman" w:cs="Times New Roman" w:hint="default"/>
        <w:spacing w:val="-6"/>
        <w:w w:val="100"/>
        <w:sz w:val="22"/>
        <w:szCs w:val="22"/>
      </w:rPr>
    </w:lvl>
    <w:lvl w:ilvl="4" w:tplc="AE301E3E">
      <w:start w:val="1"/>
      <w:numFmt w:val="lowerLetter"/>
      <w:lvlText w:val="(%5)"/>
      <w:lvlJc w:val="left"/>
      <w:pPr>
        <w:ind w:left="4188" w:hanging="360"/>
      </w:pPr>
      <w:rPr>
        <w:rFonts w:ascii="Times New Roman" w:eastAsia="Times New Roman" w:hAnsi="Times New Roman" w:cs="Times New Roman" w:hint="default"/>
        <w:spacing w:val="-3"/>
        <w:w w:val="100"/>
        <w:sz w:val="22"/>
        <w:szCs w:val="22"/>
      </w:rPr>
    </w:lvl>
    <w:lvl w:ilvl="5" w:tplc="A7089010">
      <w:numFmt w:val="bullet"/>
      <w:lvlText w:val="•"/>
      <w:lvlJc w:val="left"/>
      <w:pPr>
        <w:ind w:left="4180" w:hanging="360"/>
      </w:pPr>
      <w:rPr>
        <w:rFonts w:hint="default"/>
      </w:rPr>
    </w:lvl>
    <w:lvl w:ilvl="6" w:tplc="2C7E2D3A">
      <w:numFmt w:val="bullet"/>
      <w:lvlText w:val="•"/>
      <w:lvlJc w:val="left"/>
      <w:pPr>
        <w:ind w:left="5404" w:hanging="360"/>
      </w:pPr>
      <w:rPr>
        <w:rFonts w:hint="default"/>
      </w:rPr>
    </w:lvl>
    <w:lvl w:ilvl="7" w:tplc="80A01494">
      <w:numFmt w:val="bullet"/>
      <w:lvlText w:val="•"/>
      <w:lvlJc w:val="left"/>
      <w:pPr>
        <w:ind w:left="6628" w:hanging="360"/>
      </w:pPr>
      <w:rPr>
        <w:rFonts w:hint="default"/>
      </w:rPr>
    </w:lvl>
    <w:lvl w:ilvl="8" w:tplc="CFAECD6C">
      <w:numFmt w:val="bullet"/>
      <w:lvlText w:val="•"/>
      <w:lvlJc w:val="left"/>
      <w:pPr>
        <w:ind w:left="7852" w:hanging="360"/>
      </w:pPr>
      <w:rPr>
        <w:rFonts w:hint="default"/>
      </w:rPr>
    </w:lvl>
  </w:abstractNum>
  <w:abstractNum w:abstractNumId="27" w15:restartNumberingAfterBreak="0">
    <w:nsid w:val="1EDA5A37"/>
    <w:multiLevelType w:val="hybridMultilevel"/>
    <w:tmpl w:val="AABECB4A"/>
    <w:lvl w:ilvl="0" w:tplc="750A8D2C">
      <w:start w:val="1"/>
      <w:numFmt w:val="decimal"/>
      <w:lvlText w:val="(%1)"/>
      <w:lvlJc w:val="left"/>
      <w:pPr>
        <w:ind w:left="899" w:hanging="360"/>
      </w:pPr>
      <w:rPr>
        <w:rFonts w:hint="default"/>
      </w:rPr>
    </w:lvl>
    <w:lvl w:ilvl="1" w:tplc="5364A98E">
      <w:start w:val="1"/>
      <w:numFmt w:val="lowerLetter"/>
      <w:lvlText w:val="(%2)"/>
      <w:lvlJc w:val="left"/>
      <w:pPr>
        <w:ind w:left="2203" w:hanging="360"/>
      </w:pPr>
      <w:rPr>
        <w:rFonts w:ascii="Times New Roman" w:hAnsi="Times New Roman" w:cs="Times New Roman" w:hint="default"/>
        <w:color w:val="auto"/>
      </w:rPr>
    </w:lvl>
    <w:lvl w:ilvl="2" w:tplc="0809001B" w:tentative="1">
      <w:start w:val="1"/>
      <w:numFmt w:val="lowerRoman"/>
      <w:lvlText w:val="%3."/>
      <w:lvlJc w:val="right"/>
      <w:pPr>
        <w:ind w:left="2339" w:hanging="180"/>
      </w:pPr>
    </w:lvl>
    <w:lvl w:ilvl="3" w:tplc="0809000F" w:tentative="1">
      <w:start w:val="1"/>
      <w:numFmt w:val="decimal"/>
      <w:lvlText w:val="%4."/>
      <w:lvlJc w:val="left"/>
      <w:pPr>
        <w:ind w:left="3059" w:hanging="360"/>
      </w:pPr>
    </w:lvl>
    <w:lvl w:ilvl="4" w:tplc="08090019" w:tentative="1">
      <w:start w:val="1"/>
      <w:numFmt w:val="lowerLetter"/>
      <w:lvlText w:val="%5."/>
      <w:lvlJc w:val="left"/>
      <w:pPr>
        <w:ind w:left="3779" w:hanging="360"/>
      </w:pPr>
    </w:lvl>
    <w:lvl w:ilvl="5" w:tplc="0809001B" w:tentative="1">
      <w:start w:val="1"/>
      <w:numFmt w:val="lowerRoman"/>
      <w:lvlText w:val="%6."/>
      <w:lvlJc w:val="right"/>
      <w:pPr>
        <w:ind w:left="4499" w:hanging="180"/>
      </w:pPr>
    </w:lvl>
    <w:lvl w:ilvl="6" w:tplc="0809000F" w:tentative="1">
      <w:start w:val="1"/>
      <w:numFmt w:val="decimal"/>
      <w:lvlText w:val="%7."/>
      <w:lvlJc w:val="left"/>
      <w:pPr>
        <w:ind w:left="5219" w:hanging="360"/>
      </w:pPr>
    </w:lvl>
    <w:lvl w:ilvl="7" w:tplc="08090019" w:tentative="1">
      <w:start w:val="1"/>
      <w:numFmt w:val="lowerLetter"/>
      <w:lvlText w:val="%8."/>
      <w:lvlJc w:val="left"/>
      <w:pPr>
        <w:ind w:left="5939" w:hanging="360"/>
      </w:pPr>
    </w:lvl>
    <w:lvl w:ilvl="8" w:tplc="0809001B" w:tentative="1">
      <w:start w:val="1"/>
      <w:numFmt w:val="lowerRoman"/>
      <w:lvlText w:val="%9."/>
      <w:lvlJc w:val="right"/>
      <w:pPr>
        <w:ind w:left="6659" w:hanging="180"/>
      </w:pPr>
    </w:lvl>
  </w:abstractNum>
  <w:abstractNum w:abstractNumId="28" w15:restartNumberingAfterBreak="0">
    <w:nsid w:val="1FBF0B35"/>
    <w:multiLevelType w:val="hybridMultilevel"/>
    <w:tmpl w:val="07BC222E"/>
    <w:lvl w:ilvl="0" w:tplc="205481BA">
      <w:start w:val="1"/>
      <w:numFmt w:val="decimal"/>
      <w:lvlText w:val="(%1)"/>
      <w:lvlJc w:val="left"/>
      <w:pPr>
        <w:ind w:left="720" w:hanging="360"/>
      </w:pPr>
      <w:rPr>
        <w:rFonts w:hint="default"/>
      </w:rPr>
    </w:lvl>
    <w:lvl w:ilvl="1" w:tplc="14F43464">
      <w:start w:val="1"/>
      <w:numFmt w:val="lowerLetter"/>
      <w:lvlText w:val="(%2)"/>
      <w:lvlJc w:val="left"/>
      <w:pPr>
        <w:ind w:left="2203"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201E51C5"/>
    <w:multiLevelType w:val="hybridMultilevel"/>
    <w:tmpl w:val="F4A86B8A"/>
    <w:lvl w:ilvl="0" w:tplc="FFFFFFFF">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0" w15:restartNumberingAfterBreak="0">
    <w:nsid w:val="20482595"/>
    <w:multiLevelType w:val="multilevel"/>
    <w:tmpl w:val="33EC4CFC"/>
    <w:lvl w:ilvl="0">
      <w:start w:val="1"/>
      <w:numFmt w:val="decimal"/>
      <w:pStyle w:val="Opinionnormal"/>
      <w:lvlText w:val="%1."/>
      <w:lvlJc w:val="left"/>
      <w:pPr>
        <w:ind w:left="1429" w:hanging="70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right"/>
      <w:pPr>
        <w:ind w:left="2506" w:hanging="709"/>
      </w:pPr>
      <w:rPr>
        <w:rFonts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31" w15:restartNumberingAfterBreak="0">
    <w:nsid w:val="21463CE3"/>
    <w:multiLevelType w:val="hybridMultilevel"/>
    <w:tmpl w:val="DBA293E0"/>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216B2F06"/>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2F36C18"/>
    <w:multiLevelType w:val="hybridMultilevel"/>
    <w:tmpl w:val="E618A3D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5F76944E">
      <w:start w:val="1"/>
      <w:numFmt w:val="lowerRoman"/>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50606B5"/>
    <w:multiLevelType w:val="hybridMultilevel"/>
    <w:tmpl w:val="1DD6127C"/>
    <w:lvl w:ilvl="0" w:tplc="13F0374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58E7D46"/>
    <w:multiLevelType w:val="hybridMultilevel"/>
    <w:tmpl w:val="7FB60C58"/>
    <w:lvl w:ilvl="0" w:tplc="13F03748">
      <w:start w:val="1"/>
      <w:numFmt w:val="lowerLetter"/>
      <w:lvlText w:val="(%1)"/>
      <w:lvlJc w:val="left"/>
      <w:pPr>
        <w:ind w:left="2700" w:hanging="360"/>
      </w:pPr>
      <w:rPr>
        <w:rFonts w:hint="default"/>
      </w:rPr>
    </w:lvl>
    <w:lvl w:ilvl="1" w:tplc="08090019" w:tentative="1">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36" w15:restartNumberingAfterBreak="0">
    <w:nsid w:val="268E3C6B"/>
    <w:multiLevelType w:val="hybridMultilevel"/>
    <w:tmpl w:val="381E65CC"/>
    <w:lvl w:ilvl="0" w:tplc="600ACFD6">
      <w:start w:val="1"/>
      <w:numFmt w:val="lowerLetter"/>
      <w:lvlText w:val="(%1)"/>
      <w:lvlJc w:val="left"/>
      <w:pPr>
        <w:ind w:left="2160" w:hanging="360"/>
      </w:pPr>
      <w:rPr>
        <w:rFonts w:hint="default"/>
      </w:rPr>
    </w:lvl>
    <w:lvl w:ilvl="1" w:tplc="600ACFD6">
      <w:start w:val="1"/>
      <w:numFmt w:val="lowerLetter"/>
      <w:lvlText w:val="(%2)"/>
      <w:lvlJc w:val="left"/>
      <w:pPr>
        <w:ind w:left="2486"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7" w15:restartNumberingAfterBreak="0">
    <w:nsid w:val="27E94610"/>
    <w:multiLevelType w:val="hybridMultilevel"/>
    <w:tmpl w:val="51488F50"/>
    <w:lvl w:ilvl="0" w:tplc="13F03748">
      <w:start w:val="1"/>
      <w:numFmt w:val="lowerLetter"/>
      <w:lvlText w:val="(%1)"/>
      <w:lvlJc w:val="left"/>
      <w:pPr>
        <w:ind w:left="3283" w:hanging="360"/>
      </w:pPr>
      <w:rPr>
        <w:rFonts w:hint="default"/>
      </w:rPr>
    </w:lvl>
    <w:lvl w:ilvl="1" w:tplc="08090019" w:tentative="1">
      <w:start w:val="1"/>
      <w:numFmt w:val="lowerLetter"/>
      <w:lvlText w:val="%2."/>
      <w:lvlJc w:val="left"/>
      <w:pPr>
        <w:ind w:left="4003" w:hanging="360"/>
      </w:pPr>
    </w:lvl>
    <w:lvl w:ilvl="2" w:tplc="0809001B" w:tentative="1">
      <w:start w:val="1"/>
      <w:numFmt w:val="lowerRoman"/>
      <w:lvlText w:val="%3."/>
      <w:lvlJc w:val="right"/>
      <w:pPr>
        <w:ind w:left="4723" w:hanging="180"/>
      </w:pPr>
    </w:lvl>
    <w:lvl w:ilvl="3" w:tplc="0809000F" w:tentative="1">
      <w:start w:val="1"/>
      <w:numFmt w:val="decimal"/>
      <w:lvlText w:val="%4."/>
      <w:lvlJc w:val="left"/>
      <w:pPr>
        <w:ind w:left="5443" w:hanging="360"/>
      </w:pPr>
    </w:lvl>
    <w:lvl w:ilvl="4" w:tplc="08090019" w:tentative="1">
      <w:start w:val="1"/>
      <w:numFmt w:val="lowerLetter"/>
      <w:lvlText w:val="%5."/>
      <w:lvlJc w:val="left"/>
      <w:pPr>
        <w:ind w:left="6163" w:hanging="360"/>
      </w:pPr>
    </w:lvl>
    <w:lvl w:ilvl="5" w:tplc="0809001B" w:tentative="1">
      <w:start w:val="1"/>
      <w:numFmt w:val="lowerRoman"/>
      <w:lvlText w:val="%6."/>
      <w:lvlJc w:val="right"/>
      <w:pPr>
        <w:ind w:left="6883" w:hanging="180"/>
      </w:pPr>
    </w:lvl>
    <w:lvl w:ilvl="6" w:tplc="0809000F" w:tentative="1">
      <w:start w:val="1"/>
      <w:numFmt w:val="decimal"/>
      <w:lvlText w:val="%7."/>
      <w:lvlJc w:val="left"/>
      <w:pPr>
        <w:ind w:left="7603" w:hanging="360"/>
      </w:pPr>
    </w:lvl>
    <w:lvl w:ilvl="7" w:tplc="08090019" w:tentative="1">
      <w:start w:val="1"/>
      <w:numFmt w:val="lowerLetter"/>
      <w:lvlText w:val="%8."/>
      <w:lvlJc w:val="left"/>
      <w:pPr>
        <w:ind w:left="8323" w:hanging="360"/>
      </w:pPr>
    </w:lvl>
    <w:lvl w:ilvl="8" w:tplc="0809001B" w:tentative="1">
      <w:start w:val="1"/>
      <w:numFmt w:val="lowerRoman"/>
      <w:lvlText w:val="%9."/>
      <w:lvlJc w:val="right"/>
      <w:pPr>
        <w:ind w:left="9043" w:hanging="180"/>
      </w:pPr>
    </w:lvl>
  </w:abstractNum>
  <w:abstractNum w:abstractNumId="38" w15:restartNumberingAfterBreak="0">
    <w:nsid w:val="2B1B6197"/>
    <w:multiLevelType w:val="hybridMultilevel"/>
    <w:tmpl w:val="391A1700"/>
    <w:lvl w:ilvl="0" w:tplc="12AEEB9C">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C3B7EF7"/>
    <w:multiLevelType w:val="hybridMultilevel"/>
    <w:tmpl w:val="8F9A707A"/>
    <w:lvl w:ilvl="0" w:tplc="750A8D2C">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CB83FF8"/>
    <w:multiLevelType w:val="hybridMultilevel"/>
    <w:tmpl w:val="A8AC6666"/>
    <w:lvl w:ilvl="0" w:tplc="5F76944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D4C0965"/>
    <w:multiLevelType w:val="hybridMultilevel"/>
    <w:tmpl w:val="DA7EA2B4"/>
    <w:lvl w:ilvl="0" w:tplc="750A8D2C">
      <w:start w:val="1"/>
      <w:numFmt w:val="decimal"/>
      <w:lvlText w:val="(%1)"/>
      <w:lvlJc w:val="left"/>
      <w:pPr>
        <w:ind w:left="3763" w:hanging="360"/>
      </w:pPr>
      <w:rPr>
        <w:rFonts w:hint="default"/>
      </w:rPr>
    </w:lvl>
    <w:lvl w:ilvl="1" w:tplc="66BE063C">
      <w:start w:val="11"/>
      <w:numFmt w:val="bullet"/>
      <w:lvlText w:val=""/>
      <w:lvlJc w:val="left"/>
      <w:pPr>
        <w:ind w:left="4523" w:hanging="400"/>
      </w:pPr>
      <w:rPr>
        <w:rFonts w:ascii="Symbol" w:eastAsia="Times New Roman" w:hAnsi="Symbol" w:cs="Courier New" w:hint="default"/>
        <w:color w:val="333333"/>
      </w:rPr>
    </w:lvl>
    <w:lvl w:ilvl="2" w:tplc="0809001B" w:tentative="1">
      <w:start w:val="1"/>
      <w:numFmt w:val="lowerRoman"/>
      <w:lvlText w:val="%3."/>
      <w:lvlJc w:val="right"/>
      <w:pPr>
        <w:ind w:left="5203" w:hanging="180"/>
      </w:pPr>
    </w:lvl>
    <w:lvl w:ilvl="3" w:tplc="0809000F" w:tentative="1">
      <w:start w:val="1"/>
      <w:numFmt w:val="decimal"/>
      <w:lvlText w:val="%4."/>
      <w:lvlJc w:val="left"/>
      <w:pPr>
        <w:ind w:left="5923" w:hanging="360"/>
      </w:pPr>
    </w:lvl>
    <w:lvl w:ilvl="4" w:tplc="08090019" w:tentative="1">
      <w:start w:val="1"/>
      <w:numFmt w:val="lowerLetter"/>
      <w:lvlText w:val="%5."/>
      <w:lvlJc w:val="left"/>
      <w:pPr>
        <w:ind w:left="6643" w:hanging="360"/>
      </w:pPr>
    </w:lvl>
    <w:lvl w:ilvl="5" w:tplc="0809001B" w:tentative="1">
      <w:start w:val="1"/>
      <w:numFmt w:val="lowerRoman"/>
      <w:lvlText w:val="%6."/>
      <w:lvlJc w:val="right"/>
      <w:pPr>
        <w:ind w:left="7363" w:hanging="180"/>
      </w:pPr>
    </w:lvl>
    <w:lvl w:ilvl="6" w:tplc="0809000F" w:tentative="1">
      <w:start w:val="1"/>
      <w:numFmt w:val="decimal"/>
      <w:lvlText w:val="%7."/>
      <w:lvlJc w:val="left"/>
      <w:pPr>
        <w:ind w:left="8083" w:hanging="360"/>
      </w:pPr>
    </w:lvl>
    <w:lvl w:ilvl="7" w:tplc="08090019" w:tentative="1">
      <w:start w:val="1"/>
      <w:numFmt w:val="lowerLetter"/>
      <w:lvlText w:val="%8."/>
      <w:lvlJc w:val="left"/>
      <w:pPr>
        <w:ind w:left="8803" w:hanging="360"/>
      </w:pPr>
    </w:lvl>
    <w:lvl w:ilvl="8" w:tplc="0809001B" w:tentative="1">
      <w:start w:val="1"/>
      <w:numFmt w:val="lowerRoman"/>
      <w:lvlText w:val="%9."/>
      <w:lvlJc w:val="right"/>
      <w:pPr>
        <w:ind w:left="9523" w:hanging="180"/>
      </w:pPr>
    </w:lvl>
  </w:abstractNum>
  <w:abstractNum w:abstractNumId="42" w15:restartNumberingAfterBreak="0">
    <w:nsid w:val="2D5003FD"/>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2E442017"/>
    <w:multiLevelType w:val="hybridMultilevel"/>
    <w:tmpl w:val="6E2C051E"/>
    <w:lvl w:ilvl="0" w:tplc="13F037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4" w15:restartNumberingAfterBreak="0">
    <w:nsid w:val="2F1454F3"/>
    <w:multiLevelType w:val="hybridMultilevel"/>
    <w:tmpl w:val="75407DA2"/>
    <w:lvl w:ilvl="0" w:tplc="100602A2">
      <w:start w:val="1"/>
      <w:numFmt w:val="lowerLetter"/>
      <w:lvlText w:val="(%1)"/>
      <w:lvlJc w:val="left"/>
      <w:pPr>
        <w:ind w:left="1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1AB304B"/>
    <w:multiLevelType w:val="multilevel"/>
    <w:tmpl w:val="E7568B10"/>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46" w15:restartNumberingAfterBreak="0">
    <w:nsid w:val="32517E45"/>
    <w:multiLevelType w:val="hybridMultilevel"/>
    <w:tmpl w:val="DBA293E0"/>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34432149"/>
    <w:multiLevelType w:val="hybridMultilevel"/>
    <w:tmpl w:val="93362260"/>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61B69ED"/>
    <w:multiLevelType w:val="hybridMultilevel"/>
    <w:tmpl w:val="D44E3BA2"/>
    <w:lvl w:ilvl="0" w:tplc="750A8D2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38956A8E"/>
    <w:multiLevelType w:val="hybridMultilevel"/>
    <w:tmpl w:val="11A6564A"/>
    <w:lvl w:ilvl="0" w:tplc="940AE43A">
      <w:start w:val="1"/>
      <w:numFmt w:val="lowerLetter"/>
      <w:lvlText w:val="(%1)"/>
      <w:lvlJc w:val="left"/>
      <w:pPr>
        <w:ind w:left="2220" w:hanging="360"/>
      </w:pPr>
      <w:rPr>
        <w:rFonts w:ascii="Times New Roman" w:eastAsia="Times New Roman" w:hAnsi="Times New Roman" w:cs="Times New Roman" w:hint="default"/>
        <w:spacing w:val="-26"/>
        <w:w w:val="100"/>
        <w:sz w:val="22"/>
        <w:szCs w:val="22"/>
      </w:rPr>
    </w:lvl>
    <w:lvl w:ilvl="1" w:tplc="08090019" w:tentative="1">
      <w:start w:val="1"/>
      <w:numFmt w:val="lowerLetter"/>
      <w:lvlText w:val="%2."/>
      <w:lvlJc w:val="left"/>
      <w:pPr>
        <w:ind w:left="2940" w:hanging="360"/>
      </w:pPr>
    </w:lvl>
    <w:lvl w:ilvl="2" w:tplc="0809001B" w:tentative="1">
      <w:start w:val="1"/>
      <w:numFmt w:val="lowerRoman"/>
      <w:lvlText w:val="%3."/>
      <w:lvlJc w:val="right"/>
      <w:pPr>
        <w:ind w:left="3660" w:hanging="180"/>
      </w:pPr>
    </w:lvl>
    <w:lvl w:ilvl="3" w:tplc="0809000F" w:tentative="1">
      <w:start w:val="1"/>
      <w:numFmt w:val="decimal"/>
      <w:lvlText w:val="%4."/>
      <w:lvlJc w:val="left"/>
      <w:pPr>
        <w:ind w:left="4380" w:hanging="360"/>
      </w:pPr>
    </w:lvl>
    <w:lvl w:ilvl="4" w:tplc="08090019" w:tentative="1">
      <w:start w:val="1"/>
      <w:numFmt w:val="lowerLetter"/>
      <w:lvlText w:val="%5."/>
      <w:lvlJc w:val="left"/>
      <w:pPr>
        <w:ind w:left="5100" w:hanging="360"/>
      </w:pPr>
    </w:lvl>
    <w:lvl w:ilvl="5" w:tplc="0809001B" w:tentative="1">
      <w:start w:val="1"/>
      <w:numFmt w:val="lowerRoman"/>
      <w:lvlText w:val="%6."/>
      <w:lvlJc w:val="right"/>
      <w:pPr>
        <w:ind w:left="5820" w:hanging="180"/>
      </w:pPr>
    </w:lvl>
    <w:lvl w:ilvl="6" w:tplc="0809000F" w:tentative="1">
      <w:start w:val="1"/>
      <w:numFmt w:val="decimal"/>
      <w:lvlText w:val="%7."/>
      <w:lvlJc w:val="left"/>
      <w:pPr>
        <w:ind w:left="6540" w:hanging="360"/>
      </w:pPr>
    </w:lvl>
    <w:lvl w:ilvl="7" w:tplc="08090019" w:tentative="1">
      <w:start w:val="1"/>
      <w:numFmt w:val="lowerLetter"/>
      <w:lvlText w:val="%8."/>
      <w:lvlJc w:val="left"/>
      <w:pPr>
        <w:ind w:left="7260" w:hanging="360"/>
      </w:pPr>
    </w:lvl>
    <w:lvl w:ilvl="8" w:tplc="0809001B" w:tentative="1">
      <w:start w:val="1"/>
      <w:numFmt w:val="lowerRoman"/>
      <w:lvlText w:val="%9."/>
      <w:lvlJc w:val="right"/>
      <w:pPr>
        <w:ind w:left="7980" w:hanging="180"/>
      </w:pPr>
    </w:lvl>
  </w:abstractNum>
  <w:abstractNum w:abstractNumId="50" w15:restartNumberingAfterBreak="0">
    <w:nsid w:val="3AF32BB7"/>
    <w:multiLevelType w:val="hybridMultilevel"/>
    <w:tmpl w:val="0A28EC32"/>
    <w:lvl w:ilvl="0" w:tplc="4BD222A8">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40D31C9B"/>
    <w:multiLevelType w:val="hybridMultilevel"/>
    <w:tmpl w:val="5746A06C"/>
    <w:lvl w:ilvl="0" w:tplc="13F03748">
      <w:start w:val="1"/>
      <w:numFmt w:val="lowerLetter"/>
      <w:lvlText w:val="(%1)"/>
      <w:lvlJc w:val="left"/>
      <w:pPr>
        <w:ind w:left="2563" w:hanging="360"/>
      </w:pPr>
      <w:rPr>
        <w:rFonts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52" w15:restartNumberingAfterBreak="0">
    <w:nsid w:val="43210303"/>
    <w:multiLevelType w:val="hybridMultilevel"/>
    <w:tmpl w:val="62B8A7B2"/>
    <w:lvl w:ilvl="0" w:tplc="7868B0D2">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start w:val="1"/>
      <w:numFmt w:val="lowerRoman"/>
      <w:lvlText w:val="%3."/>
      <w:lvlJc w:val="right"/>
      <w:pPr>
        <w:ind w:left="2160" w:hanging="180"/>
      </w:pPr>
    </w:lvl>
    <w:lvl w:ilvl="3" w:tplc="600ACFD6">
      <w:start w:val="1"/>
      <w:numFmt w:val="lowerLetter"/>
      <w:lvlText w:val="(%4)"/>
      <w:lvlJc w:val="left"/>
      <w:pPr>
        <w:ind w:left="2629" w:hanging="360"/>
      </w:pPr>
      <w:rPr>
        <w:rFonts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43E730F8"/>
    <w:multiLevelType w:val="hybridMultilevel"/>
    <w:tmpl w:val="00CAC7A0"/>
    <w:lvl w:ilvl="0" w:tplc="61CAEE3A">
      <w:start w:val="1"/>
      <w:numFmt w:val="decimal"/>
      <w:lvlText w:val="(%1)"/>
      <w:lvlJc w:val="left"/>
      <w:pPr>
        <w:ind w:left="720" w:hanging="360"/>
      </w:pPr>
      <w:rPr>
        <w:rFonts w:hint="default"/>
        <w:b w:val="0"/>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46404513"/>
    <w:multiLevelType w:val="hybridMultilevel"/>
    <w:tmpl w:val="7458DC6C"/>
    <w:lvl w:ilvl="0" w:tplc="13F037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5" w15:restartNumberingAfterBreak="0">
    <w:nsid w:val="479D0FA0"/>
    <w:multiLevelType w:val="hybridMultilevel"/>
    <w:tmpl w:val="4874EE48"/>
    <w:lvl w:ilvl="0" w:tplc="13F03748">
      <w:start w:val="1"/>
      <w:numFmt w:val="lowerLetter"/>
      <w:lvlText w:val="(%1)"/>
      <w:lvlJc w:val="left"/>
      <w:pPr>
        <w:ind w:left="4500" w:hanging="360"/>
      </w:pPr>
      <w:rPr>
        <w:rFonts w:hint="default"/>
      </w:r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56" w15:restartNumberingAfterBreak="0">
    <w:nsid w:val="4BA71BDD"/>
    <w:multiLevelType w:val="hybridMultilevel"/>
    <w:tmpl w:val="7ECA7EEA"/>
    <w:lvl w:ilvl="0" w:tplc="750A8D2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4168BA36">
      <w:start w:val="1"/>
      <w:numFmt w:val="lowerLetter"/>
      <w:lvlText w:val="(%3)"/>
      <w:lvlJc w:val="left"/>
      <w:pPr>
        <w:ind w:left="2385" w:hanging="405"/>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C2A34BF"/>
    <w:multiLevelType w:val="hybridMultilevel"/>
    <w:tmpl w:val="6C6E43B8"/>
    <w:lvl w:ilvl="0" w:tplc="600ACFD6">
      <w:start w:val="1"/>
      <w:numFmt w:val="lowerLetter"/>
      <w:lvlText w:val="(%1)"/>
      <w:lvlJc w:val="left"/>
      <w:pPr>
        <w:ind w:left="2498" w:hanging="360"/>
      </w:pPr>
      <w:rPr>
        <w:rFonts w:hint="default"/>
      </w:rPr>
    </w:lvl>
    <w:lvl w:ilvl="1" w:tplc="08090019" w:tentative="1">
      <w:start w:val="1"/>
      <w:numFmt w:val="lowerLetter"/>
      <w:lvlText w:val="%2."/>
      <w:lvlJc w:val="left"/>
      <w:pPr>
        <w:ind w:left="3218" w:hanging="360"/>
      </w:pPr>
    </w:lvl>
    <w:lvl w:ilvl="2" w:tplc="0809001B" w:tentative="1">
      <w:start w:val="1"/>
      <w:numFmt w:val="lowerRoman"/>
      <w:lvlText w:val="%3."/>
      <w:lvlJc w:val="right"/>
      <w:pPr>
        <w:ind w:left="3938" w:hanging="180"/>
      </w:pPr>
    </w:lvl>
    <w:lvl w:ilvl="3" w:tplc="0809000F" w:tentative="1">
      <w:start w:val="1"/>
      <w:numFmt w:val="decimal"/>
      <w:lvlText w:val="%4."/>
      <w:lvlJc w:val="left"/>
      <w:pPr>
        <w:ind w:left="4658" w:hanging="360"/>
      </w:pPr>
    </w:lvl>
    <w:lvl w:ilvl="4" w:tplc="08090019" w:tentative="1">
      <w:start w:val="1"/>
      <w:numFmt w:val="lowerLetter"/>
      <w:lvlText w:val="%5."/>
      <w:lvlJc w:val="left"/>
      <w:pPr>
        <w:ind w:left="5378" w:hanging="360"/>
      </w:pPr>
    </w:lvl>
    <w:lvl w:ilvl="5" w:tplc="0809001B" w:tentative="1">
      <w:start w:val="1"/>
      <w:numFmt w:val="lowerRoman"/>
      <w:lvlText w:val="%6."/>
      <w:lvlJc w:val="right"/>
      <w:pPr>
        <w:ind w:left="6098" w:hanging="180"/>
      </w:pPr>
    </w:lvl>
    <w:lvl w:ilvl="6" w:tplc="0809000F" w:tentative="1">
      <w:start w:val="1"/>
      <w:numFmt w:val="decimal"/>
      <w:lvlText w:val="%7."/>
      <w:lvlJc w:val="left"/>
      <w:pPr>
        <w:ind w:left="6818" w:hanging="360"/>
      </w:pPr>
    </w:lvl>
    <w:lvl w:ilvl="7" w:tplc="08090019" w:tentative="1">
      <w:start w:val="1"/>
      <w:numFmt w:val="lowerLetter"/>
      <w:lvlText w:val="%8."/>
      <w:lvlJc w:val="left"/>
      <w:pPr>
        <w:ind w:left="7538" w:hanging="360"/>
      </w:pPr>
    </w:lvl>
    <w:lvl w:ilvl="8" w:tplc="0809001B" w:tentative="1">
      <w:start w:val="1"/>
      <w:numFmt w:val="lowerRoman"/>
      <w:lvlText w:val="%9."/>
      <w:lvlJc w:val="right"/>
      <w:pPr>
        <w:ind w:left="8258" w:hanging="180"/>
      </w:pPr>
    </w:lvl>
  </w:abstractNum>
  <w:abstractNum w:abstractNumId="58" w15:restartNumberingAfterBreak="0">
    <w:nsid w:val="4EDF0F00"/>
    <w:multiLevelType w:val="multilevel"/>
    <w:tmpl w:val="B49C6C98"/>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59" w15:restartNumberingAfterBreak="0">
    <w:nsid w:val="53E12C67"/>
    <w:multiLevelType w:val="hybridMultilevel"/>
    <w:tmpl w:val="655E65DC"/>
    <w:lvl w:ilvl="0" w:tplc="A030FCAC">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56860D15"/>
    <w:multiLevelType w:val="multilevel"/>
    <w:tmpl w:val="B9A2FB30"/>
    <w:lvl w:ilvl="0">
      <w:start w:val="1"/>
      <w:numFmt w:val="upperRoman"/>
      <w:lvlText w:val="%1."/>
      <w:lvlJc w:val="right"/>
      <w:pPr>
        <w:ind w:left="720" w:hanging="18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5777337C"/>
    <w:multiLevelType w:val="hybridMultilevel"/>
    <w:tmpl w:val="D2187C4C"/>
    <w:lvl w:ilvl="0" w:tplc="13F03748">
      <w:start w:val="1"/>
      <w:numFmt w:val="lowerLetter"/>
      <w:lvlText w:val="(%1)"/>
      <w:lvlJc w:val="left"/>
      <w:pPr>
        <w:ind w:left="2563" w:hanging="360"/>
      </w:pPr>
      <w:rPr>
        <w:rFonts w:hint="default"/>
      </w:rPr>
    </w:lvl>
    <w:lvl w:ilvl="1" w:tplc="08090019">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62" w15:restartNumberingAfterBreak="0">
    <w:nsid w:val="586E31EA"/>
    <w:multiLevelType w:val="multilevel"/>
    <w:tmpl w:val="A1E699FA"/>
    <w:lvl w:ilvl="0">
      <w:start w:val="1"/>
      <w:numFmt w:val="lowerLetter"/>
      <w:lvlText w:val="(%1)"/>
      <w:lvlJc w:val="left"/>
      <w:pPr>
        <w:ind w:left="2203" w:hanging="360"/>
      </w:pPr>
      <w:rPr>
        <w:rFonts w:hint="default"/>
      </w:rPr>
    </w:lvl>
    <w:lvl w:ilvl="1">
      <w:start w:val="1"/>
      <w:numFmt w:val="bullet"/>
      <w:lvlText w:val="o"/>
      <w:lvlJc w:val="left"/>
      <w:pPr>
        <w:tabs>
          <w:tab w:val="num" w:pos="2563"/>
        </w:tabs>
        <w:ind w:left="2563" w:hanging="360"/>
      </w:pPr>
      <w:rPr>
        <w:rFonts w:ascii="Courier New" w:hAnsi="Courier New" w:hint="default"/>
        <w:sz w:val="20"/>
      </w:rPr>
    </w:lvl>
    <w:lvl w:ilvl="2">
      <w:start w:val="1"/>
      <w:numFmt w:val="bullet"/>
      <w:lvlText w:val=""/>
      <w:lvlJc w:val="left"/>
      <w:pPr>
        <w:tabs>
          <w:tab w:val="num" w:pos="3283"/>
        </w:tabs>
        <w:ind w:left="3283" w:hanging="360"/>
      </w:pPr>
      <w:rPr>
        <w:rFonts w:ascii="Wingdings" w:hAnsi="Wingdings" w:hint="default"/>
        <w:sz w:val="20"/>
      </w:rPr>
    </w:lvl>
    <w:lvl w:ilvl="3">
      <w:start w:val="1"/>
      <w:numFmt w:val="decimal"/>
      <w:lvlText w:val="%4."/>
      <w:lvlJc w:val="left"/>
      <w:pPr>
        <w:tabs>
          <w:tab w:val="num" w:pos="4003"/>
        </w:tabs>
        <w:ind w:left="4003" w:hanging="360"/>
      </w:pPr>
      <w:rPr>
        <w:rFonts w:hint="default"/>
      </w:rPr>
    </w:lvl>
    <w:lvl w:ilvl="4">
      <w:start w:val="1"/>
      <w:numFmt w:val="decimal"/>
      <w:lvlText w:val="%5."/>
      <w:lvlJc w:val="left"/>
      <w:pPr>
        <w:tabs>
          <w:tab w:val="num" w:pos="4723"/>
        </w:tabs>
        <w:ind w:left="4723" w:hanging="360"/>
      </w:pPr>
      <w:rPr>
        <w:rFonts w:hint="default"/>
      </w:rPr>
    </w:lvl>
    <w:lvl w:ilvl="5">
      <w:start w:val="1"/>
      <w:numFmt w:val="decimal"/>
      <w:lvlText w:val="%6."/>
      <w:lvlJc w:val="left"/>
      <w:pPr>
        <w:tabs>
          <w:tab w:val="num" w:pos="5443"/>
        </w:tabs>
        <w:ind w:left="5443" w:hanging="360"/>
      </w:pPr>
      <w:rPr>
        <w:rFonts w:hint="default"/>
      </w:rPr>
    </w:lvl>
    <w:lvl w:ilvl="6">
      <w:start w:val="1"/>
      <w:numFmt w:val="decimal"/>
      <w:lvlText w:val="%7."/>
      <w:lvlJc w:val="left"/>
      <w:pPr>
        <w:tabs>
          <w:tab w:val="num" w:pos="6163"/>
        </w:tabs>
        <w:ind w:left="6163" w:hanging="360"/>
      </w:pPr>
      <w:rPr>
        <w:rFonts w:hint="default"/>
      </w:rPr>
    </w:lvl>
    <w:lvl w:ilvl="7">
      <w:start w:val="1"/>
      <w:numFmt w:val="decimal"/>
      <w:lvlText w:val="%8."/>
      <w:lvlJc w:val="left"/>
      <w:pPr>
        <w:tabs>
          <w:tab w:val="num" w:pos="6883"/>
        </w:tabs>
        <w:ind w:left="6883" w:hanging="360"/>
      </w:pPr>
      <w:rPr>
        <w:rFonts w:hint="default"/>
      </w:rPr>
    </w:lvl>
    <w:lvl w:ilvl="8">
      <w:start w:val="1"/>
      <w:numFmt w:val="decimal"/>
      <w:lvlText w:val="%9."/>
      <w:lvlJc w:val="left"/>
      <w:pPr>
        <w:tabs>
          <w:tab w:val="num" w:pos="7603"/>
        </w:tabs>
        <w:ind w:left="7603" w:hanging="360"/>
      </w:pPr>
      <w:rPr>
        <w:rFonts w:hint="default"/>
      </w:rPr>
    </w:lvl>
  </w:abstractNum>
  <w:abstractNum w:abstractNumId="63" w15:restartNumberingAfterBreak="0">
    <w:nsid w:val="58806B3A"/>
    <w:multiLevelType w:val="hybridMultilevel"/>
    <w:tmpl w:val="A9DAACEE"/>
    <w:lvl w:ilvl="0" w:tplc="13F0374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4" w15:restartNumberingAfterBreak="0">
    <w:nsid w:val="58A91A35"/>
    <w:multiLevelType w:val="hybridMultilevel"/>
    <w:tmpl w:val="487E9F24"/>
    <w:lvl w:ilvl="0" w:tplc="14F43464">
      <w:start w:val="1"/>
      <w:numFmt w:val="lowerLetter"/>
      <w:lvlText w:val="(%1)"/>
      <w:lvlJc w:val="left"/>
      <w:pPr>
        <w:ind w:left="1919"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65" w15:restartNumberingAfterBreak="0">
    <w:nsid w:val="58EB66F3"/>
    <w:multiLevelType w:val="hybridMultilevel"/>
    <w:tmpl w:val="4A168EE4"/>
    <w:lvl w:ilvl="0" w:tplc="750A8D2C">
      <w:start w:val="1"/>
      <w:numFmt w:val="decimal"/>
      <w:lvlText w:val="(%1)"/>
      <w:lvlJc w:val="left"/>
      <w:pPr>
        <w:ind w:left="720" w:hanging="360"/>
      </w:pPr>
      <w:rPr>
        <w:rFonts w:hint="default"/>
      </w:rPr>
    </w:lvl>
    <w:lvl w:ilvl="1" w:tplc="600ACFD6">
      <w:start w:val="1"/>
      <w:numFmt w:val="lowerLetter"/>
      <w:lvlText w:val="(%2)"/>
      <w:lvlJc w:val="left"/>
      <w:pPr>
        <w:ind w:left="1440" w:hanging="360"/>
      </w:pPr>
      <w:rPr>
        <w:rFonts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92A60A3"/>
    <w:multiLevelType w:val="hybridMultilevel"/>
    <w:tmpl w:val="835E242E"/>
    <w:lvl w:ilvl="0" w:tplc="A030FCAC">
      <w:start w:val="1"/>
      <w:numFmt w:val="decimal"/>
      <w:lvlText w:val="(%1)"/>
      <w:lvlJc w:val="left"/>
      <w:pPr>
        <w:ind w:left="1080" w:hanging="360"/>
      </w:pPr>
      <w:rPr>
        <w:rFonts w:hint="default"/>
      </w:rPr>
    </w:lvl>
    <w:lvl w:ilvl="1" w:tplc="63DECFEE">
      <w:start w:val="1"/>
      <w:numFmt w:val="lowerLetter"/>
      <w:lvlText w:val="(%2)"/>
      <w:lvlJc w:val="left"/>
      <w:pPr>
        <w:ind w:left="1800" w:hanging="360"/>
      </w:pPr>
      <w:rPr>
        <w:rFonts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7" w15:restartNumberingAfterBreak="0">
    <w:nsid w:val="593F1D52"/>
    <w:multiLevelType w:val="hybridMultilevel"/>
    <w:tmpl w:val="328ECA58"/>
    <w:lvl w:ilvl="0" w:tplc="750A8D2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925690C0">
      <w:start w:val="1"/>
      <w:numFmt w:val="lowerLetter"/>
      <w:lvlText w:val="(%4)"/>
      <w:lvlJc w:val="left"/>
      <w:pPr>
        <w:ind w:left="1211" w:hanging="360"/>
      </w:pPr>
      <w:rPr>
        <w:rFonts w:hint="default"/>
      </w:rPr>
    </w:lvl>
    <w:lvl w:ilvl="4" w:tplc="8A7C6312">
      <w:start w:val="1"/>
      <w:numFmt w:val="lowerRoman"/>
      <w:lvlText w:val="(%5)"/>
      <w:lvlJc w:val="left"/>
      <w:pPr>
        <w:ind w:left="2628" w:hanging="360"/>
      </w:pPr>
      <w:rPr>
        <w:rFonts w:ascii="Times New Roman" w:eastAsia="Times New Roman" w:hAnsi="Times New Roman" w:cs="Times New Roman" w:hint="default"/>
        <w:spacing w:val="-6"/>
        <w:w w:val="100"/>
        <w:sz w:val="22"/>
        <w:szCs w:val="22"/>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BDA7A26"/>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69" w15:restartNumberingAfterBreak="0">
    <w:nsid w:val="5E9E1596"/>
    <w:multiLevelType w:val="hybridMultilevel"/>
    <w:tmpl w:val="A934D61C"/>
    <w:lvl w:ilvl="0" w:tplc="4BD222A8">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0" w15:restartNumberingAfterBreak="0">
    <w:nsid w:val="5F7550D9"/>
    <w:multiLevelType w:val="hybridMultilevel"/>
    <w:tmpl w:val="AB348E6C"/>
    <w:lvl w:ilvl="0" w:tplc="600ACFD6">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1" w15:restartNumberingAfterBreak="0">
    <w:nsid w:val="600038DB"/>
    <w:multiLevelType w:val="hybridMultilevel"/>
    <w:tmpl w:val="AF06274C"/>
    <w:lvl w:ilvl="0" w:tplc="13F037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2" w15:restartNumberingAfterBreak="0">
    <w:nsid w:val="60F853A8"/>
    <w:multiLevelType w:val="hybridMultilevel"/>
    <w:tmpl w:val="50CAA6F2"/>
    <w:lvl w:ilvl="0" w:tplc="4036B6CA">
      <w:start w:val="1"/>
      <w:numFmt w:val="lowerLetter"/>
      <w:lvlText w:val="(%1)"/>
      <w:lvlJc w:val="left"/>
      <w:pPr>
        <w:ind w:left="2430" w:hanging="358"/>
      </w:pPr>
      <w:rPr>
        <w:rFonts w:ascii="Times New Roman" w:eastAsia="Times New Roman" w:hAnsi="Times New Roman" w:cs="Times New Roman" w:hint="default"/>
        <w:spacing w:val="-11"/>
        <w:w w:val="100"/>
        <w:sz w:val="22"/>
        <w:szCs w:val="22"/>
      </w:rPr>
    </w:lvl>
    <w:lvl w:ilvl="1" w:tplc="030A1426">
      <w:numFmt w:val="bullet"/>
      <w:lvlText w:val="•"/>
      <w:lvlJc w:val="left"/>
      <w:pPr>
        <w:ind w:left="3226" w:hanging="358"/>
      </w:pPr>
      <w:rPr>
        <w:rFonts w:hint="default"/>
      </w:rPr>
    </w:lvl>
    <w:lvl w:ilvl="2" w:tplc="7572FD40">
      <w:numFmt w:val="bullet"/>
      <w:lvlText w:val="•"/>
      <w:lvlJc w:val="left"/>
      <w:pPr>
        <w:ind w:left="4012" w:hanging="358"/>
      </w:pPr>
      <w:rPr>
        <w:rFonts w:hint="default"/>
      </w:rPr>
    </w:lvl>
    <w:lvl w:ilvl="3" w:tplc="212E3F36">
      <w:numFmt w:val="bullet"/>
      <w:lvlText w:val="•"/>
      <w:lvlJc w:val="left"/>
      <w:pPr>
        <w:ind w:left="4798" w:hanging="358"/>
      </w:pPr>
      <w:rPr>
        <w:rFonts w:hint="default"/>
      </w:rPr>
    </w:lvl>
    <w:lvl w:ilvl="4" w:tplc="4AECB56E">
      <w:numFmt w:val="bullet"/>
      <w:lvlText w:val="•"/>
      <w:lvlJc w:val="left"/>
      <w:pPr>
        <w:ind w:left="5584" w:hanging="358"/>
      </w:pPr>
      <w:rPr>
        <w:rFonts w:hint="default"/>
      </w:rPr>
    </w:lvl>
    <w:lvl w:ilvl="5" w:tplc="B1E2C898">
      <w:numFmt w:val="bullet"/>
      <w:lvlText w:val="•"/>
      <w:lvlJc w:val="left"/>
      <w:pPr>
        <w:ind w:left="6370" w:hanging="358"/>
      </w:pPr>
      <w:rPr>
        <w:rFonts w:hint="default"/>
      </w:rPr>
    </w:lvl>
    <w:lvl w:ilvl="6" w:tplc="ECF06A26">
      <w:numFmt w:val="bullet"/>
      <w:lvlText w:val="•"/>
      <w:lvlJc w:val="left"/>
      <w:pPr>
        <w:ind w:left="7156" w:hanging="358"/>
      </w:pPr>
      <w:rPr>
        <w:rFonts w:hint="default"/>
      </w:rPr>
    </w:lvl>
    <w:lvl w:ilvl="7" w:tplc="9B00E08A">
      <w:numFmt w:val="bullet"/>
      <w:lvlText w:val="•"/>
      <w:lvlJc w:val="left"/>
      <w:pPr>
        <w:ind w:left="7942" w:hanging="358"/>
      </w:pPr>
      <w:rPr>
        <w:rFonts w:hint="default"/>
      </w:rPr>
    </w:lvl>
    <w:lvl w:ilvl="8" w:tplc="9C8E72B4">
      <w:numFmt w:val="bullet"/>
      <w:lvlText w:val="•"/>
      <w:lvlJc w:val="left"/>
      <w:pPr>
        <w:ind w:left="8728" w:hanging="358"/>
      </w:pPr>
      <w:rPr>
        <w:rFonts w:hint="default"/>
      </w:rPr>
    </w:lvl>
  </w:abstractNum>
  <w:abstractNum w:abstractNumId="73" w15:restartNumberingAfterBreak="0">
    <w:nsid w:val="614F507A"/>
    <w:multiLevelType w:val="hybridMultilevel"/>
    <w:tmpl w:val="2F983EC4"/>
    <w:lvl w:ilvl="0" w:tplc="750A8D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18858F7"/>
    <w:multiLevelType w:val="hybridMultilevel"/>
    <w:tmpl w:val="7C0C6264"/>
    <w:lvl w:ilvl="0" w:tplc="940AE43A">
      <w:start w:val="1"/>
      <w:numFmt w:val="lowerLetter"/>
      <w:lvlText w:val="(%1)"/>
      <w:lvlJc w:val="left"/>
      <w:pPr>
        <w:ind w:left="643" w:hanging="360"/>
      </w:pPr>
      <w:rPr>
        <w:rFonts w:ascii="Times New Roman" w:eastAsia="Times New Roman" w:hAnsi="Times New Roman" w:cs="Times New Roman" w:hint="default"/>
        <w:spacing w:val="-26"/>
        <w:w w:val="100"/>
        <w:sz w:val="22"/>
        <w:szCs w:val="22"/>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75" w15:restartNumberingAfterBreak="0">
    <w:nsid w:val="61CA5BAB"/>
    <w:multiLevelType w:val="hybridMultilevel"/>
    <w:tmpl w:val="EF60B946"/>
    <w:lvl w:ilvl="0" w:tplc="600ACFD6">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76" w15:restartNumberingAfterBreak="0">
    <w:nsid w:val="61FE2528"/>
    <w:multiLevelType w:val="multilevel"/>
    <w:tmpl w:val="1AC0A696"/>
    <w:lvl w:ilvl="0">
      <w:start w:val="1"/>
      <w:numFmt w:val="lowerRoman"/>
      <w:pStyle w:val="Heading2"/>
      <w:lvlText w:val="(%1)"/>
      <w:lvlJc w:val="left"/>
      <w:pPr>
        <w:ind w:left="720" w:hanging="360"/>
      </w:pPr>
      <w:rPr>
        <w:rFonts w:hint="default"/>
      </w:rPr>
    </w:lvl>
    <w:lvl w:ilvl="1">
      <w:start w:val="1"/>
      <w:numFmt w:val="lowerLetter"/>
      <w:lvlText w:val="%2."/>
      <w:lvlJc w:val="left"/>
      <w:pPr>
        <w:ind w:left="1919" w:hanging="360"/>
      </w:pPr>
      <w:rPr>
        <w:rFonts w:ascii="Times New Roman" w:eastAsiaTheme="majorEastAsia" w:hAnsi="Times New Roman" w:cs="Times New Roman"/>
        <w:spacing w:val="-26"/>
        <w:w w:val="100"/>
        <w:sz w:val="22"/>
        <w:szCs w:val="22"/>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626F0F18"/>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78" w15:restartNumberingAfterBreak="0">
    <w:nsid w:val="63270D30"/>
    <w:multiLevelType w:val="hybridMultilevel"/>
    <w:tmpl w:val="63E82B94"/>
    <w:lvl w:ilvl="0" w:tplc="2DE87654">
      <w:start w:val="1"/>
      <w:numFmt w:val="lowerRoman"/>
      <w:lvlText w:val="(%1)"/>
      <w:lvlJc w:val="left"/>
      <w:pPr>
        <w:ind w:left="2160" w:hanging="360"/>
      </w:pPr>
      <w:rPr>
        <w:rFonts w:ascii="Times New Roman" w:eastAsia="Times New Roman" w:hAnsi="Times New Roman" w:cs="Times New Roman" w:hint="default"/>
        <w:i w:val="0"/>
        <w:iCs w:val="0"/>
        <w:spacing w:val="-4"/>
        <w:w w:val="100"/>
        <w:sz w:val="22"/>
        <w:szCs w:val="22"/>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9" w15:restartNumberingAfterBreak="0">
    <w:nsid w:val="6529190A"/>
    <w:multiLevelType w:val="hybridMultilevel"/>
    <w:tmpl w:val="B7D4F34E"/>
    <w:lvl w:ilvl="0" w:tplc="D988B23A">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80" w15:restartNumberingAfterBreak="0">
    <w:nsid w:val="68624DEF"/>
    <w:multiLevelType w:val="hybridMultilevel"/>
    <w:tmpl w:val="0D5026B4"/>
    <w:lvl w:ilvl="0" w:tplc="13F03748">
      <w:start w:val="1"/>
      <w:numFmt w:val="lowerLetter"/>
      <w:lvlText w:val="(%1)"/>
      <w:lvlJc w:val="left"/>
      <w:pPr>
        <w:ind w:left="2580" w:hanging="360"/>
      </w:pPr>
      <w:rPr>
        <w:rFonts w:hint="default"/>
      </w:rPr>
    </w:lvl>
    <w:lvl w:ilvl="1" w:tplc="08090019" w:tentative="1">
      <w:start w:val="1"/>
      <w:numFmt w:val="lowerLetter"/>
      <w:lvlText w:val="%2."/>
      <w:lvlJc w:val="left"/>
      <w:pPr>
        <w:ind w:left="3300" w:hanging="360"/>
      </w:pPr>
    </w:lvl>
    <w:lvl w:ilvl="2" w:tplc="0809001B" w:tentative="1">
      <w:start w:val="1"/>
      <w:numFmt w:val="lowerRoman"/>
      <w:lvlText w:val="%3."/>
      <w:lvlJc w:val="right"/>
      <w:pPr>
        <w:ind w:left="4020" w:hanging="180"/>
      </w:pPr>
    </w:lvl>
    <w:lvl w:ilvl="3" w:tplc="0809000F" w:tentative="1">
      <w:start w:val="1"/>
      <w:numFmt w:val="decimal"/>
      <w:lvlText w:val="%4."/>
      <w:lvlJc w:val="left"/>
      <w:pPr>
        <w:ind w:left="4740" w:hanging="360"/>
      </w:pPr>
    </w:lvl>
    <w:lvl w:ilvl="4" w:tplc="08090019" w:tentative="1">
      <w:start w:val="1"/>
      <w:numFmt w:val="lowerLetter"/>
      <w:lvlText w:val="%5."/>
      <w:lvlJc w:val="left"/>
      <w:pPr>
        <w:ind w:left="5460" w:hanging="360"/>
      </w:pPr>
    </w:lvl>
    <w:lvl w:ilvl="5" w:tplc="0809001B" w:tentative="1">
      <w:start w:val="1"/>
      <w:numFmt w:val="lowerRoman"/>
      <w:lvlText w:val="%6."/>
      <w:lvlJc w:val="right"/>
      <w:pPr>
        <w:ind w:left="6180" w:hanging="180"/>
      </w:pPr>
    </w:lvl>
    <w:lvl w:ilvl="6" w:tplc="0809000F" w:tentative="1">
      <w:start w:val="1"/>
      <w:numFmt w:val="decimal"/>
      <w:lvlText w:val="%7."/>
      <w:lvlJc w:val="left"/>
      <w:pPr>
        <w:ind w:left="6900" w:hanging="360"/>
      </w:pPr>
    </w:lvl>
    <w:lvl w:ilvl="7" w:tplc="08090019" w:tentative="1">
      <w:start w:val="1"/>
      <w:numFmt w:val="lowerLetter"/>
      <w:lvlText w:val="%8."/>
      <w:lvlJc w:val="left"/>
      <w:pPr>
        <w:ind w:left="7620" w:hanging="360"/>
      </w:pPr>
    </w:lvl>
    <w:lvl w:ilvl="8" w:tplc="0809001B" w:tentative="1">
      <w:start w:val="1"/>
      <w:numFmt w:val="lowerRoman"/>
      <w:lvlText w:val="%9."/>
      <w:lvlJc w:val="right"/>
      <w:pPr>
        <w:ind w:left="8340" w:hanging="180"/>
      </w:pPr>
    </w:lvl>
  </w:abstractNum>
  <w:abstractNum w:abstractNumId="81" w15:restartNumberingAfterBreak="0">
    <w:nsid w:val="688D37A9"/>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99A0632"/>
    <w:multiLevelType w:val="hybridMultilevel"/>
    <w:tmpl w:val="D1564744"/>
    <w:lvl w:ilvl="0" w:tplc="534E4C06">
      <w:start w:val="1"/>
      <w:numFmt w:val="decimal"/>
      <w:lvlText w:val="(%1)"/>
      <w:lvlJc w:val="left"/>
      <w:pPr>
        <w:ind w:left="1080" w:hanging="360"/>
      </w:pPr>
      <w:rPr>
        <w:rFonts w:hint="default"/>
      </w:rPr>
    </w:lvl>
    <w:lvl w:ilvl="1" w:tplc="63DECFE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A2F4A60"/>
    <w:multiLevelType w:val="hybridMultilevel"/>
    <w:tmpl w:val="DB861CFC"/>
    <w:lvl w:ilvl="0" w:tplc="446EC2B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4" w15:restartNumberingAfterBreak="0">
    <w:nsid w:val="6A5E7776"/>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5" w15:restartNumberingAfterBreak="0">
    <w:nsid w:val="6BCE79F0"/>
    <w:multiLevelType w:val="hybridMultilevel"/>
    <w:tmpl w:val="9154C81A"/>
    <w:lvl w:ilvl="0" w:tplc="13F03748">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86" w15:restartNumberingAfterBreak="0">
    <w:nsid w:val="6BFC63D6"/>
    <w:multiLevelType w:val="hybridMultilevel"/>
    <w:tmpl w:val="FFCAA800"/>
    <w:lvl w:ilvl="0" w:tplc="A030FCAC">
      <w:start w:val="1"/>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7" w15:restartNumberingAfterBreak="0">
    <w:nsid w:val="6C036A95"/>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6C9C68F0"/>
    <w:multiLevelType w:val="hybridMultilevel"/>
    <w:tmpl w:val="93362260"/>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EA8759B"/>
    <w:multiLevelType w:val="hybridMultilevel"/>
    <w:tmpl w:val="96A48F04"/>
    <w:lvl w:ilvl="0" w:tplc="A030FCAC">
      <w:start w:val="1"/>
      <w:numFmt w:val="decimal"/>
      <w:lvlText w:val="(%1)"/>
      <w:lvlJc w:val="left"/>
      <w:pPr>
        <w:ind w:left="720" w:hanging="360"/>
      </w:pPr>
      <w:rPr>
        <w:rFonts w:hint="default"/>
      </w:rPr>
    </w:lvl>
    <w:lvl w:ilvl="1" w:tplc="63DECFEE">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0" w15:restartNumberingAfterBreak="0">
    <w:nsid w:val="6F380E94"/>
    <w:multiLevelType w:val="hybridMultilevel"/>
    <w:tmpl w:val="1D14C7A8"/>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3F03748">
      <w:start w:val="1"/>
      <w:numFmt w:val="lowerLetter"/>
      <w:lvlText w:val="(%3)"/>
      <w:lvlJc w:val="left"/>
      <w:pPr>
        <w:ind w:left="2340" w:hanging="360"/>
      </w:pPr>
      <w:rPr>
        <w:rFonts w:hint="default"/>
        <w:spacing w:val="-3"/>
        <w:w w:val="100"/>
        <w:sz w:val="22"/>
        <w:szCs w:val="22"/>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1" w15:restartNumberingAfterBreak="0">
    <w:nsid w:val="729347C0"/>
    <w:multiLevelType w:val="hybridMultilevel"/>
    <w:tmpl w:val="A62EB47E"/>
    <w:lvl w:ilvl="0" w:tplc="13F03748">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92" w15:restartNumberingAfterBreak="0">
    <w:nsid w:val="7548230F"/>
    <w:multiLevelType w:val="hybridMultilevel"/>
    <w:tmpl w:val="48DED8EC"/>
    <w:lvl w:ilvl="0" w:tplc="600ACFD6">
      <w:start w:val="1"/>
      <w:numFmt w:val="lowerLetter"/>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93" w15:restartNumberingAfterBreak="0">
    <w:nsid w:val="75C26295"/>
    <w:multiLevelType w:val="hybridMultilevel"/>
    <w:tmpl w:val="7CAC5D94"/>
    <w:lvl w:ilvl="0" w:tplc="13F0374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788253D0"/>
    <w:multiLevelType w:val="hybridMultilevel"/>
    <w:tmpl w:val="DBA293E0"/>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5" w15:restartNumberingAfterBreak="0">
    <w:nsid w:val="78C44DD1"/>
    <w:multiLevelType w:val="hybridMultilevel"/>
    <w:tmpl w:val="24EA823C"/>
    <w:lvl w:ilvl="0" w:tplc="7BB2CB5A">
      <w:start w:val="1"/>
      <w:numFmt w:val="lowerLetter"/>
      <w:lvlText w:val="(%1)"/>
      <w:lvlJc w:val="left"/>
      <w:pPr>
        <w:ind w:left="191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9447C34"/>
    <w:multiLevelType w:val="hybridMultilevel"/>
    <w:tmpl w:val="415E0CB4"/>
    <w:lvl w:ilvl="0" w:tplc="925690C0">
      <w:start w:val="1"/>
      <w:numFmt w:val="lowerLetter"/>
      <w:lvlText w:val="(%1)"/>
      <w:lvlJc w:val="left"/>
      <w:pPr>
        <w:ind w:left="1919" w:hanging="360"/>
      </w:pPr>
      <w:rPr>
        <w:rFonts w:hint="default"/>
      </w:rPr>
    </w:lvl>
    <w:lvl w:ilvl="1" w:tplc="08090019">
      <w:start w:val="1"/>
      <w:numFmt w:val="lowerLetter"/>
      <w:lvlText w:val="%2."/>
      <w:lvlJc w:val="left"/>
      <w:pPr>
        <w:ind w:left="2148" w:hanging="360"/>
      </w:pPr>
    </w:lvl>
    <w:lvl w:ilvl="2" w:tplc="0809001B">
      <w:start w:val="1"/>
      <w:numFmt w:val="lowerRoman"/>
      <w:lvlText w:val="%3."/>
      <w:lvlJc w:val="right"/>
      <w:pPr>
        <w:ind w:left="2868" w:hanging="180"/>
      </w:pPr>
    </w:lvl>
    <w:lvl w:ilvl="3" w:tplc="0809000F">
      <w:start w:val="1"/>
      <w:numFmt w:val="decimal"/>
      <w:lvlText w:val="%4."/>
      <w:lvlJc w:val="left"/>
      <w:pPr>
        <w:ind w:left="3588" w:hanging="360"/>
      </w:pPr>
    </w:lvl>
    <w:lvl w:ilvl="4" w:tplc="08090019">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97" w15:restartNumberingAfterBreak="0">
    <w:nsid w:val="79A20400"/>
    <w:multiLevelType w:val="hybridMultilevel"/>
    <w:tmpl w:val="0A04AD7C"/>
    <w:lvl w:ilvl="0" w:tplc="2026CE5A">
      <w:start w:val="1"/>
      <w:numFmt w:val="lowerLetter"/>
      <w:lvlText w:val="(%1)"/>
      <w:lvlJc w:val="left"/>
      <w:pPr>
        <w:ind w:left="2203" w:hanging="36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98" w15:restartNumberingAfterBreak="0">
    <w:nsid w:val="79B45180"/>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99" w15:restartNumberingAfterBreak="0">
    <w:nsid w:val="7A6E11AF"/>
    <w:multiLevelType w:val="hybridMultilevel"/>
    <w:tmpl w:val="4F76C4E0"/>
    <w:lvl w:ilvl="0" w:tplc="534E4C06">
      <w:start w:val="1"/>
      <w:numFmt w:val="decimal"/>
      <w:lvlText w:val="(%1)"/>
      <w:lvlJc w:val="left"/>
      <w:pPr>
        <w:ind w:left="1080" w:hanging="360"/>
      </w:pPr>
      <w:rPr>
        <w:rFonts w:hint="default"/>
      </w:rPr>
    </w:lvl>
    <w:lvl w:ilvl="1" w:tplc="600ACFD6">
      <w:start w:val="1"/>
      <w:numFmt w:val="lowerLetter"/>
      <w:lvlText w:val="(%2)"/>
      <w:lvlJc w:val="left"/>
      <w:pPr>
        <w:ind w:left="1778"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7DFA34C6"/>
    <w:multiLevelType w:val="hybridMultilevel"/>
    <w:tmpl w:val="919EC784"/>
    <w:lvl w:ilvl="0" w:tplc="835AA936">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7E612292"/>
    <w:multiLevelType w:val="hybridMultilevel"/>
    <w:tmpl w:val="F4C49460"/>
    <w:lvl w:ilvl="0" w:tplc="7868B0D2">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2" w15:restartNumberingAfterBreak="0">
    <w:nsid w:val="7E670B3E"/>
    <w:multiLevelType w:val="hybridMultilevel"/>
    <w:tmpl w:val="F4A86B8A"/>
    <w:lvl w:ilvl="0" w:tplc="13F0374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3" w15:restartNumberingAfterBreak="0">
    <w:nsid w:val="7E850009"/>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4" w15:restartNumberingAfterBreak="0">
    <w:nsid w:val="7EFA01AE"/>
    <w:multiLevelType w:val="hybridMultilevel"/>
    <w:tmpl w:val="F07C78C6"/>
    <w:lvl w:ilvl="0" w:tplc="DCA2C06E">
      <w:start w:val="1"/>
      <w:numFmt w:val="lowerLetter"/>
      <w:lvlText w:val="(%1)"/>
      <w:lvlJc w:val="left"/>
      <w:pPr>
        <w:ind w:left="2517" w:hanging="360"/>
      </w:pPr>
      <w:rPr>
        <w:rFonts w:hint="default"/>
        <w:i w:val="0"/>
        <w:iCs w:val="0"/>
      </w:rPr>
    </w:lvl>
    <w:lvl w:ilvl="1" w:tplc="08090019" w:tentative="1">
      <w:start w:val="1"/>
      <w:numFmt w:val="lowerLetter"/>
      <w:lvlText w:val="%2."/>
      <w:lvlJc w:val="left"/>
      <w:pPr>
        <w:ind w:left="3237" w:hanging="360"/>
      </w:pPr>
    </w:lvl>
    <w:lvl w:ilvl="2" w:tplc="0809001B" w:tentative="1">
      <w:start w:val="1"/>
      <w:numFmt w:val="lowerRoman"/>
      <w:lvlText w:val="%3."/>
      <w:lvlJc w:val="right"/>
      <w:pPr>
        <w:ind w:left="3957" w:hanging="180"/>
      </w:pPr>
    </w:lvl>
    <w:lvl w:ilvl="3" w:tplc="0809000F" w:tentative="1">
      <w:start w:val="1"/>
      <w:numFmt w:val="decimal"/>
      <w:lvlText w:val="%4."/>
      <w:lvlJc w:val="left"/>
      <w:pPr>
        <w:ind w:left="4677" w:hanging="360"/>
      </w:pPr>
    </w:lvl>
    <w:lvl w:ilvl="4" w:tplc="08090019" w:tentative="1">
      <w:start w:val="1"/>
      <w:numFmt w:val="lowerLetter"/>
      <w:lvlText w:val="%5."/>
      <w:lvlJc w:val="left"/>
      <w:pPr>
        <w:ind w:left="5397" w:hanging="360"/>
      </w:pPr>
    </w:lvl>
    <w:lvl w:ilvl="5" w:tplc="0809001B" w:tentative="1">
      <w:start w:val="1"/>
      <w:numFmt w:val="lowerRoman"/>
      <w:lvlText w:val="%6."/>
      <w:lvlJc w:val="right"/>
      <w:pPr>
        <w:ind w:left="6117" w:hanging="180"/>
      </w:pPr>
    </w:lvl>
    <w:lvl w:ilvl="6" w:tplc="0809000F" w:tentative="1">
      <w:start w:val="1"/>
      <w:numFmt w:val="decimal"/>
      <w:lvlText w:val="%7."/>
      <w:lvlJc w:val="left"/>
      <w:pPr>
        <w:ind w:left="6837" w:hanging="360"/>
      </w:pPr>
    </w:lvl>
    <w:lvl w:ilvl="7" w:tplc="08090019" w:tentative="1">
      <w:start w:val="1"/>
      <w:numFmt w:val="lowerLetter"/>
      <w:lvlText w:val="%8."/>
      <w:lvlJc w:val="left"/>
      <w:pPr>
        <w:ind w:left="7557" w:hanging="360"/>
      </w:pPr>
    </w:lvl>
    <w:lvl w:ilvl="8" w:tplc="0809001B" w:tentative="1">
      <w:start w:val="1"/>
      <w:numFmt w:val="lowerRoman"/>
      <w:lvlText w:val="%9."/>
      <w:lvlJc w:val="right"/>
      <w:pPr>
        <w:ind w:left="8277" w:hanging="180"/>
      </w:pPr>
    </w:lvl>
  </w:abstractNum>
  <w:abstractNum w:abstractNumId="105" w15:restartNumberingAfterBreak="0">
    <w:nsid w:val="7F227D85"/>
    <w:multiLevelType w:val="hybridMultilevel"/>
    <w:tmpl w:val="415E0CB4"/>
    <w:lvl w:ilvl="0" w:tplc="925690C0">
      <w:start w:val="1"/>
      <w:numFmt w:val="lowerLetter"/>
      <w:lvlText w:val="(%1)"/>
      <w:lvlJc w:val="left"/>
      <w:pPr>
        <w:ind w:left="1919" w:hanging="360"/>
      </w:pPr>
      <w:rPr>
        <w:rFonts w:hint="default"/>
      </w:rPr>
    </w:lvl>
    <w:lvl w:ilvl="1" w:tplc="08090019">
      <w:start w:val="1"/>
      <w:numFmt w:val="lowerLetter"/>
      <w:lvlText w:val="%2."/>
      <w:lvlJc w:val="left"/>
      <w:pPr>
        <w:ind w:left="2148" w:hanging="360"/>
      </w:pPr>
    </w:lvl>
    <w:lvl w:ilvl="2" w:tplc="0809001B">
      <w:start w:val="1"/>
      <w:numFmt w:val="lowerRoman"/>
      <w:lvlText w:val="%3."/>
      <w:lvlJc w:val="right"/>
      <w:pPr>
        <w:ind w:left="2868" w:hanging="180"/>
      </w:pPr>
    </w:lvl>
    <w:lvl w:ilvl="3" w:tplc="0809000F">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06" w15:restartNumberingAfterBreak="0">
    <w:nsid w:val="7FA24FF7"/>
    <w:multiLevelType w:val="hybridMultilevel"/>
    <w:tmpl w:val="ABCE8E20"/>
    <w:lvl w:ilvl="0" w:tplc="750A8D2C">
      <w:start w:val="1"/>
      <w:numFmt w:val="decimal"/>
      <w:lvlText w:val="(%1)"/>
      <w:lvlJc w:val="left"/>
      <w:pPr>
        <w:ind w:left="720" w:hanging="360"/>
      </w:pPr>
      <w:rPr>
        <w:rFonts w:hint="default"/>
      </w:rPr>
    </w:lvl>
    <w:lvl w:ilvl="1" w:tplc="E6527D80">
      <w:start w:val="1"/>
      <w:numFmt w:val="lowerLetter"/>
      <w:lvlText w:val="(%2)"/>
      <w:lvlJc w:val="left"/>
      <w:pPr>
        <w:ind w:left="1353" w:hanging="360"/>
      </w:pPr>
      <w:rPr>
        <w:rFonts w:hint="default"/>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6840208">
    <w:abstractNumId w:val="60"/>
  </w:num>
  <w:num w:numId="2" w16cid:durableId="1449621482">
    <w:abstractNumId w:val="76"/>
  </w:num>
  <w:num w:numId="3" w16cid:durableId="240679204">
    <w:abstractNumId w:val="56"/>
  </w:num>
  <w:num w:numId="4" w16cid:durableId="196700113">
    <w:abstractNumId w:val="50"/>
  </w:num>
  <w:num w:numId="5" w16cid:durableId="2069452815">
    <w:abstractNumId w:val="101"/>
  </w:num>
  <w:num w:numId="6" w16cid:durableId="247422913">
    <w:abstractNumId w:val="103"/>
  </w:num>
  <w:num w:numId="7" w16cid:durableId="312568722">
    <w:abstractNumId w:val="87"/>
  </w:num>
  <w:num w:numId="8" w16cid:durableId="160509184">
    <w:abstractNumId w:val="72"/>
  </w:num>
  <w:num w:numId="9" w16cid:durableId="1823157198">
    <w:abstractNumId w:val="26"/>
  </w:num>
  <w:num w:numId="10" w16cid:durableId="2034720921">
    <w:abstractNumId w:val="30"/>
  </w:num>
  <w:num w:numId="11" w16cid:durableId="990597142">
    <w:abstractNumId w:val="22"/>
  </w:num>
  <w:num w:numId="12" w16cid:durableId="1032999664">
    <w:abstractNumId w:val="67"/>
  </w:num>
  <w:num w:numId="13" w16cid:durableId="170224048">
    <w:abstractNumId w:val="65"/>
  </w:num>
  <w:num w:numId="14" w16cid:durableId="76250004">
    <w:abstractNumId w:val="106"/>
  </w:num>
  <w:num w:numId="15" w16cid:durableId="270168035">
    <w:abstractNumId w:val="36"/>
  </w:num>
  <w:num w:numId="16" w16cid:durableId="1199586790">
    <w:abstractNumId w:val="10"/>
  </w:num>
  <w:num w:numId="17" w16cid:durableId="1726903982">
    <w:abstractNumId w:val="84"/>
  </w:num>
  <w:num w:numId="18" w16cid:durableId="590238693">
    <w:abstractNumId w:val="41"/>
  </w:num>
  <w:num w:numId="19" w16cid:durableId="1546792437">
    <w:abstractNumId w:val="28"/>
  </w:num>
  <w:num w:numId="20" w16cid:durableId="373389934">
    <w:abstractNumId w:val="53"/>
  </w:num>
  <w:num w:numId="21" w16cid:durableId="713775734">
    <w:abstractNumId w:val="52"/>
  </w:num>
  <w:num w:numId="22" w16cid:durableId="560143144">
    <w:abstractNumId w:val="96"/>
  </w:num>
  <w:num w:numId="23" w16cid:durableId="572082285">
    <w:abstractNumId w:val="21"/>
  </w:num>
  <w:num w:numId="24" w16cid:durableId="1239562510">
    <w:abstractNumId w:val="6"/>
  </w:num>
  <w:num w:numId="25" w16cid:durableId="1437288514">
    <w:abstractNumId w:val="7"/>
  </w:num>
  <w:num w:numId="26" w16cid:durableId="1558585371">
    <w:abstractNumId w:val="27"/>
  </w:num>
  <w:num w:numId="27" w16cid:durableId="484930563">
    <w:abstractNumId w:val="47"/>
  </w:num>
  <w:num w:numId="28" w16cid:durableId="365909887">
    <w:abstractNumId w:val="83"/>
  </w:num>
  <w:num w:numId="29" w16cid:durableId="11077896">
    <w:abstractNumId w:val="32"/>
  </w:num>
  <w:num w:numId="30" w16cid:durableId="1635794129">
    <w:abstractNumId w:val="23"/>
  </w:num>
  <w:num w:numId="31" w16cid:durableId="1710765281">
    <w:abstractNumId w:val="81"/>
  </w:num>
  <w:num w:numId="32" w16cid:durableId="1125730768">
    <w:abstractNumId w:val="16"/>
  </w:num>
  <w:num w:numId="33" w16cid:durableId="106782429">
    <w:abstractNumId w:val="31"/>
  </w:num>
  <w:num w:numId="34" w16cid:durableId="1036152146">
    <w:abstractNumId w:val="94"/>
  </w:num>
  <w:num w:numId="35" w16cid:durableId="233052873">
    <w:abstractNumId w:val="19"/>
  </w:num>
  <w:num w:numId="36" w16cid:durableId="1880316257">
    <w:abstractNumId w:val="46"/>
  </w:num>
  <w:num w:numId="37" w16cid:durableId="1734740460">
    <w:abstractNumId w:val="89"/>
  </w:num>
  <w:num w:numId="38" w16cid:durableId="1039403000">
    <w:abstractNumId w:val="59"/>
  </w:num>
  <w:num w:numId="39" w16cid:durableId="1029725230">
    <w:abstractNumId w:val="42"/>
  </w:num>
  <w:num w:numId="40" w16cid:durableId="1757097534">
    <w:abstractNumId w:val="20"/>
  </w:num>
  <w:num w:numId="41" w16cid:durableId="1122307705">
    <w:abstractNumId w:val="77"/>
  </w:num>
  <w:num w:numId="42" w16cid:durableId="310528431">
    <w:abstractNumId w:val="98"/>
  </w:num>
  <w:num w:numId="43" w16cid:durableId="245501583">
    <w:abstractNumId w:val="18"/>
  </w:num>
  <w:num w:numId="44" w16cid:durableId="525295685">
    <w:abstractNumId w:val="64"/>
  </w:num>
  <w:num w:numId="45" w16cid:durableId="638807908">
    <w:abstractNumId w:val="39"/>
  </w:num>
  <w:num w:numId="46" w16cid:durableId="838692766">
    <w:abstractNumId w:val="73"/>
  </w:num>
  <w:num w:numId="47" w16cid:durableId="1658342230">
    <w:abstractNumId w:val="90"/>
  </w:num>
  <w:num w:numId="48" w16cid:durableId="1490055912">
    <w:abstractNumId w:val="60"/>
  </w:num>
  <w:num w:numId="49" w16cid:durableId="1630211314">
    <w:abstractNumId w:val="60"/>
  </w:num>
  <w:num w:numId="50" w16cid:durableId="401215257">
    <w:abstractNumId w:val="2"/>
  </w:num>
  <w:num w:numId="51" w16cid:durableId="801849491">
    <w:abstractNumId w:val="49"/>
  </w:num>
  <w:num w:numId="52" w16cid:durableId="1407221137">
    <w:abstractNumId w:val="74"/>
  </w:num>
  <w:num w:numId="53" w16cid:durableId="814494507">
    <w:abstractNumId w:val="78"/>
  </w:num>
  <w:num w:numId="54" w16cid:durableId="1540514530">
    <w:abstractNumId w:val="48"/>
  </w:num>
  <w:num w:numId="55" w16cid:durableId="134228710">
    <w:abstractNumId w:val="3"/>
  </w:num>
  <w:num w:numId="56" w16cid:durableId="73627887">
    <w:abstractNumId w:val="13"/>
  </w:num>
  <w:num w:numId="57" w16cid:durableId="1443569367">
    <w:abstractNumId w:val="12"/>
  </w:num>
  <w:num w:numId="58" w16cid:durableId="845023137">
    <w:abstractNumId w:val="60"/>
  </w:num>
  <w:num w:numId="59" w16cid:durableId="1745491454">
    <w:abstractNumId w:val="75"/>
  </w:num>
  <w:num w:numId="60" w16cid:durableId="951669973">
    <w:abstractNumId w:val="60"/>
  </w:num>
  <w:num w:numId="61" w16cid:durableId="523637507">
    <w:abstractNumId w:val="60"/>
  </w:num>
  <w:num w:numId="62" w16cid:durableId="1170945720">
    <w:abstractNumId w:val="60"/>
  </w:num>
  <w:num w:numId="63" w16cid:durableId="1344745666">
    <w:abstractNumId w:val="69"/>
  </w:num>
  <w:num w:numId="64" w16cid:durableId="1738556687">
    <w:abstractNumId w:val="60"/>
  </w:num>
  <w:num w:numId="65" w16cid:durableId="2040273670">
    <w:abstractNumId w:val="70"/>
  </w:num>
  <w:num w:numId="66" w16cid:durableId="1732388372">
    <w:abstractNumId w:val="66"/>
  </w:num>
  <w:num w:numId="67" w16cid:durableId="977152243">
    <w:abstractNumId w:val="86"/>
  </w:num>
  <w:num w:numId="68" w16cid:durableId="1478721277">
    <w:abstractNumId w:val="57"/>
  </w:num>
  <w:num w:numId="69" w16cid:durableId="2121561937">
    <w:abstractNumId w:val="92"/>
  </w:num>
  <w:num w:numId="70" w16cid:durableId="131139052">
    <w:abstractNumId w:val="105"/>
  </w:num>
  <w:num w:numId="71" w16cid:durableId="426072698">
    <w:abstractNumId w:val="5"/>
  </w:num>
  <w:num w:numId="72" w16cid:durableId="621351123">
    <w:abstractNumId w:val="24"/>
  </w:num>
  <w:num w:numId="73" w16cid:durableId="1574392576">
    <w:abstractNumId w:val="0"/>
  </w:num>
  <w:num w:numId="74" w16cid:durableId="94179229">
    <w:abstractNumId w:val="88"/>
  </w:num>
  <w:num w:numId="75" w16cid:durableId="93092019">
    <w:abstractNumId w:val="15"/>
  </w:num>
  <w:num w:numId="76" w16cid:durableId="966551278">
    <w:abstractNumId w:val="60"/>
  </w:num>
  <w:num w:numId="77" w16cid:durableId="1816023570">
    <w:abstractNumId w:val="60"/>
  </w:num>
  <w:num w:numId="78" w16cid:durableId="1831747198">
    <w:abstractNumId w:val="60"/>
  </w:num>
  <w:num w:numId="79" w16cid:durableId="1560483133">
    <w:abstractNumId w:val="60"/>
  </w:num>
  <w:num w:numId="80" w16cid:durableId="1771703143">
    <w:abstractNumId w:val="60"/>
  </w:num>
  <w:num w:numId="81" w16cid:durableId="218631866">
    <w:abstractNumId w:val="60"/>
  </w:num>
  <w:num w:numId="82" w16cid:durableId="1438713568">
    <w:abstractNumId w:val="60"/>
  </w:num>
  <w:num w:numId="83" w16cid:durableId="2122988523">
    <w:abstractNumId w:val="60"/>
  </w:num>
  <w:num w:numId="84" w16cid:durableId="538279717">
    <w:abstractNumId w:val="60"/>
  </w:num>
  <w:num w:numId="85" w16cid:durableId="194120364">
    <w:abstractNumId w:val="60"/>
  </w:num>
  <w:num w:numId="86" w16cid:durableId="133566721">
    <w:abstractNumId w:val="8"/>
  </w:num>
  <w:num w:numId="87" w16cid:durableId="542526343">
    <w:abstractNumId w:val="79"/>
  </w:num>
  <w:num w:numId="88" w16cid:durableId="1624994039">
    <w:abstractNumId w:val="1"/>
  </w:num>
  <w:num w:numId="89" w16cid:durableId="1735276558">
    <w:abstractNumId w:val="51"/>
  </w:num>
  <w:num w:numId="90" w16cid:durableId="2107378463">
    <w:abstractNumId w:val="97"/>
  </w:num>
  <w:num w:numId="91" w16cid:durableId="2096048137">
    <w:abstractNumId w:val="25"/>
  </w:num>
  <w:num w:numId="92" w16cid:durableId="2097169418">
    <w:abstractNumId w:val="35"/>
  </w:num>
  <w:num w:numId="93" w16cid:durableId="106851379">
    <w:abstractNumId w:val="9"/>
  </w:num>
  <w:num w:numId="94" w16cid:durableId="681518574">
    <w:abstractNumId w:val="55"/>
  </w:num>
  <w:num w:numId="95" w16cid:durableId="1327515091">
    <w:abstractNumId w:val="60"/>
  </w:num>
  <w:num w:numId="96" w16cid:durableId="237372733">
    <w:abstractNumId w:val="63"/>
  </w:num>
  <w:num w:numId="97" w16cid:durableId="14769282">
    <w:abstractNumId w:val="102"/>
  </w:num>
  <w:num w:numId="98" w16cid:durableId="2089495488">
    <w:abstractNumId w:val="62"/>
  </w:num>
  <w:num w:numId="99" w16cid:durableId="800224576">
    <w:abstractNumId w:val="61"/>
  </w:num>
  <w:num w:numId="100" w16cid:durableId="344552535">
    <w:abstractNumId w:val="37"/>
  </w:num>
  <w:num w:numId="101" w16cid:durableId="900363518">
    <w:abstractNumId w:val="71"/>
  </w:num>
  <w:num w:numId="102" w16cid:durableId="1223904218">
    <w:abstractNumId w:val="104"/>
  </w:num>
  <w:num w:numId="103" w16cid:durableId="268046666">
    <w:abstractNumId w:val="80"/>
  </w:num>
  <w:num w:numId="104" w16cid:durableId="492648779">
    <w:abstractNumId w:val="60"/>
  </w:num>
  <w:num w:numId="105" w16cid:durableId="1555971982">
    <w:abstractNumId w:val="4"/>
  </w:num>
  <w:num w:numId="106" w16cid:durableId="622619812">
    <w:abstractNumId w:val="27"/>
    <w:lvlOverride w:ilvl="0">
      <w:lvl w:ilvl="0" w:tplc="750A8D2C">
        <w:start w:val="1"/>
        <w:numFmt w:val="lowerLetter"/>
        <w:lvlText w:val="(%1)"/>
        <w:lvlJc w:val="left"/>
        <w:pPr>
          <w:ind w:left="2203" w:hanging="360"/>
        </w:pPr>
        <w:rPr>
          <w:rFonts w:ascii="Times New Roman" w:hAnsi="Times New Roman" w:cs="Times New Roman" w:hint="default"/>
          <w:color w:val="auto"/>
        </w:rPr>
      </w:lvl>
    </w:lvlOverride>
    <w:lvlOverride w:ilvl="1">
      <w:lvl w:ilvl="1" w:tplc="5364A98E">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07" w16cid:durableId="537401343">
    <w:abstractNumId w:val="54"/>
  </w:num>
  <w:num w:numId="108" w16cid:durableId="1559975441">
    <w:abstractNumId w:val="85"/>
  </w:num>
  <w:num w:numId="109" w16cid:durableId="63452163">
    <w:abstractNumId w:val="38"/>
  </w:num>
  <w:num w:numId="110" w16cid:durableId="1177766557">
    <w:abstractNumId w:val="91"/>
  </w:num>
  <w:num w:numId="111" w16cid:durableId="750393691">
    <w:abstractNumId w:val="43"/>
  </w:num>
  <w:num w:numId="112" w16cid:durableId="1310984675">
    <w:abstractNumId w:val="100"/>
  </w:num>
  <w:num w:numId="113" w16cid:durableId="1794784443">
    <w:abstractNumId w:val="17"/>
  </w:num>
  <w:num w:numId="114" w16cid:durableId="246547621">
    <w:abstractNumId w:val="60"/>
  </w:num>
  <w:num w:numId="115" w16cid:durableId="2085446351">
    <w:abstractNumId w:val="82"/>
  </w:num>
  <w:num w:numId="116" w16cid:durableId="1421214088">
    <w:abstractNumId w:val="44"/>
  </w:num>
  <w:num w:numId="117" w16cid:durableId="885140077">
    <w:abstractNumId w:val="11"/>
  </w:num>
  <w:num w:numId="118" w16cid:durableId="534460770">
    <w:abstractNumId w:val="93"/>
  </w:num>
  <w:num w:numId="119" w16cid:durableId="1593733551">
    <w:abstractNumId w:val="34"/>
  </w:num>
  <w:num w:numId="120" w16cid:durableId="413476814">
    <w:abstractNumId w:val="99"/>
  </w:num>
  <w:num w:numId="121" w16cid:durableId="156844415">
    <w:abstractNumId w:val="95"/>
  </w:num>
  <w:num w:numId="122" w16cid:durableId="385304578">
    <w:abstractNumId w:val="68"/>
  </w:num>
  <w:num w:numId="123" w16cid:durableId="675421484">
    <w:abstractNumId w:val="58"/>
  </w:num>
  <w:num w:numId="124" w16cid:durableId="1585335872">
    <w:abstractNumId w:val="45"/>
  </w:num>
  <w:num w:numId="125" w16cid:durableId="1709798652">
    <w:abstractNumId w:val="14"/>
  </w:num>
  <w:num w:numId="126" w16cid:durableId="825127665">
    <w:abstractNumId w:val="29"/>
  </w:num>
  <w:num w:numId="127" w16cid:durableId="944920607">
    <w:abstractNumId w:val="40"/>
  </w:num>
  <w:num w:numId="128" w16cid:durableId="258225453">
    <w:abstractNumId w:val="33"/>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24C"/>
    <w:rsid w:val="00000B58"/>
    <w:rsid w:val="000020EA"/>
    <w:rsid w:val="00006988"/>
    <w:rsid w:val="00010433"/>
    <w:rsid w:val="00016F2D"/>
    <w:rsid w:val="00022F99"/>
    <w:rsid w:val="00023BB3"/>
    <w:rsid w:val="0002765F"/>
    <w:rsid w:val="0002779D"/>
    <w:rsid w:val="0003190B"/>
    <w:rsid w:val="00033E53"/>
    <w:rsid w:val="00034675"/>
    <w:rsid w:val="00034BF4"/>
    <w:rsid w:val="0003573F"/>
    <w:rsid w:val="00040468"/>
    <w:rsid w:val="000431F8"/>
    <w:rsid w:val="000432E9"/>
    <w:rsid w:val="00043B1C"/>
    <w:rsid w:val="0005062D"/>
    <w:rsid w:val="00054144"/>
    <w:rsid w:val="00054C0D"/>
    <w:rsid w:val="0005789A"/>
    <w:rsid w:val="00060848"/>
    <w:rsid w:val="00061711"/>
    <w:rsid w:val="00070C56"/>
    <w:rsid w:val="000716E9"/>
    <w:rsid w:val="000764CD"/>
    <w:rsid w:val="000767F2"/>
    <w:rsid w:val="00082920"/>
    <w:rsid w:val="00091ED1"/>
    <w:rsid w:val="000925A0"/>
    <w:rsid w:val="000937F7"/>
    <w:rsid w:val="000939E6"/>
    <w:rsid w:val="00097869"/>
    <w:rsid w:val="00097B82"/>
    <w:rsid w:val="000A488A"/>
    <w:rsid w:val="000A617C"/>
    <w:rsid w:val="000A694F"/>
    <w:rsid w:val="000A7AF6"/>
    <w:rsid w:val="000A7C00"/>
    <w:rsid w:val="000B073C"/>
    <w:rsid w:val="000B6172"/>
    <w:rsid w:val="000C0A6F"/>
    <w:rsid w:val="000C147B"/>
    <w:rsid w:val="000C2806"/>
    <w:rsid w:val="000C2B0D"/>
    <w:rsid w:val="000C3812"/>
    <w:rsid w:val="000C41C8"/>
    <w:rsid w:val="000C7FE4"/>
    <w:rsid w:val="000D0107"/>
    <w:rsid w:val="000D1772"/>
    <w:rsid w:val="000D25FC"/>
    <w:rsid w:val="000D286D"/>
    <w:rsid w:val="000D355D"/>
    <w:rsid w:val="000E15AE"/>
    <w:rsid w:val="000E25CC"/>
    <w:rsid w:val="000E2716"/>
    <w:rsid w:val="000F09DD"/>
    <w:rsid w:val="000F1AD6"/>
    <w:rsid w:val="000F1EE0"/>
    <w:rsid w:val="000F3DA2"/>
    <w:rsid w:val="0010318E"/>
    <w:rsid w:val="001039E3"/>
    <w:rsid w:val="00105640"/>
    <w:rsid w:val="00107B78"/>
    <w:rsid w:val="00114122"/>
    <w:rsid w:val="00116E4D"/>
    <w:rsid w:val="00117320"/>
    <w:rsid w:val="00120F66"/>
    <w:rsid w:val="00125854"/>
    <w:rsid w:val="00130605"/>
    <w:rsid w:val="0013169E"/>
    <w:rsid w:val="00135AEE"/>
    <w:rsid w:val="00136F70"/>
    <w:rsid w:val="001407C4"/>
    <w:rsid w:val="00142AD6"/>
    <w:rsid w:val="00144B50"/>
    <w:rsid w:val="001503D1"/>
    <w:rsid w:val="0015774E"/>
    <w:rsid w:val="00157CE6"/>
    <w:rsid w:val="00164750"/>
    <w:rsid w:val="00164E72"/>
    <w:rsid w:val="00166E2B"/>
    <w:rsid w:val="001721E7"/>
    <w:rsid w:val="0017333E"/>
    <w:rsid w:val="00174C5E"/>
    <w:rsid w:val="00174F74"/>
    <w:rsid w:val="001757C3"/>
    <w:rsid w:val="00175E59"/>
    <w:rsid w:val="00177DF5"/>
    <w:rsid w:val="00181014"/>
    <w:rsid w:val="001818C4"/>
    <w:rsid w:val="00181E9E"/>
    <w:rsid w:val="00183683"/>
    <w:rsid w:val="00185F4D"/>
    <w:rsid w:val="00186DCA"/>
    <w:rsid w:val="00190B92"/>
    <w:rsid w:val="00193182"/>
    <w:rsid w:val="00194D4E"/>
    <w:rsid w:val="001975FA"/>
    <w:rsid w:val="001977DA"/>
    <w:rsid w:val="00197D63"/>
    <w:rsid w:val="001A03EC"/>
    <w:rsid w:val="001A0EA7"/>
    <w:rsid w:val="001A287A"/>
    <w:rsid w:val="001A408A"/>
    <w:rsid w:val="001B1F9C"/>
    <w:rsid w:val="001B595F"/>
    <w:rsid w:val="001B5FB4"/>
    <w:rsid w:val="001C2A0D"/>
    <w:rsid w:val="001C38AC"/>
    <w:rsid w:val="001C3C59"/>
    <w:rsid w:val="001C78EA"/>
    <w:rsid w:val="001E223F"/>
    <w:rsid w:val="001E34DB"/>
    <w:rsid w:val="001E3617"/>
    <w:rsid w:val="001E6A2D"/>
    <w:rsid w:val="001F1AEE"/>
    <w:rsid w:val="001F4D00"/>
    <w:rsid w:val="00200410"/>
    <w:rsid w:val="00201576"/>
    <w:rsid w:val="00201F52"/>
    <w:rsid w:val="002036F1"/>
    <w:rsid w:val="002036F2"/>
    <w:rsid w:val="002052DC"/>
    <w:rsid w:val="00205D20"/>
    <w:rsid w:val="00210751"/>
    <w:rsid w:val="002124C8"/>
    <w:rsid w:val="00212E27"/>
    <w:rsid w:val="00214714"/>
    <w:rsid w:val="00214C64"/>
    <w:rsid w:val="00222048"/>
    <w:rsid w:val="00222909"/>
    <w:rsid w:val="0022402A"/>
    <w:rsid w:val="0023017C"/>
    <w:rsid w:val="00230BCD"/>
    <w:rsid w:val="00231DDE"/>
    <w:rsid w:val="0023396B"/>
    <w:rsid w:val="00235BED"/>
    <w:rsid w:val="00237FB5"/>
    <w:rsid w:val="00240F9C"/>
    <w:rsid w:val="0024428A"/>
    <w:rsid w:val="002465D4"/>
    <w:rsid w:val="00252209"/>
    <w:rsid w:val="002554F9"/>
    <w:rsid w:val="00256737"/>
    <w:rsid w:val="0026379E"/>
    <w:rsid w:val="00265262"/>
    <w:rsid w:val="002726B8"/>
    <w:rsid w:val="00273E22"/>
    <w:rsid w:val="002765E1"/>
    <w:rsid w:val="00280F6C"/>
    <w:rsid w:val="00283222"/>
    <w:rsid w:val="00284AFA"/>
    <w:rsid w:val="0028637A"/>
    <w:rsid w:val="0029001F"/>
    <w:rsid w:val="002902FF"/>
    <w:rsid w:val="002905E3"/>
    <w:rsid w:val="002927DE"/>
    <w:rsid w:val="00292E3D"/>
    <w:rsid w:val="002957DC"/>
    <w:rsid w:val="002A1124"/>
    <w:rsid w:val="002A2002"/>
    <w:rsid w:val="002A3C42"/>
    <w:rsid w:val="002B2FEC"/>
    <w:rsid w:val="002B6220"/>
    <w:rsid w:val="002C064D"/>
    <w:rsid w:val="002C0764"/>
    <w:rsid w:val="002C1712"/>
    <w:rsid w:val="002C36A5"/>
    <w:rsid w:val="002D42A5"/>
    <w:rsid w:val="002D4A86"/>
    <w:rsid w:val="002D4D6A"/>
    <w:rsid w:val="002D638D"/>
    <w:rsid w:val="002E2709"/>
    <w:rsid w:val="002E5404"/>
    <w:rsid w:val="002E6C49"/>
    <w:rsid w:val="002F03F8"/>
    <w:rsid w:val="002F0D52"/>
    <w:rsid w:val="002F45A4"/>
    <w:rsid w:val="002F629D"/>
    <w:rsid w:val="002F78C2"/>
    <w:rsid w:val="003000E8"/>
    <w:rsid w:val="003030C2"/>
    <w:rsid w:val="00304147"/>
    <w:rsid w:val="0030665D"/>
    <w:rsid w:val="00307A19"/>
    <w:rsid w:val="00310449"/>
    <w:rsid w:val="00316211"/>
    <w:rsid w:val="00322656"/>
    <w:rsid w:val="00331485"/>
    <w:rsid w:val="00332F9A"/>
    <w:rsid w:val="003354AE"/>
    <w:rsid w:val="003357B7"/>
    <w:rsid w:val="00345A78"/>
    <w:rsid w:val="0034664F"/>
    <w:rsid w:val="00350080"/>
    <w:rsid w:val="00351F7D"/>
    <w:rsid w:val="00353FEE"/>
    <w:rsid w:val="00355B69"/>
    <w:rsid w:val="003565F7"/>
    <w:rsid w:val="00357387"/>
    <w:rsid w:val="003728A0"/>
    <w:rsid w:val="00373334"/>
    <w:rsid w:val="003734DC"/>
    <w:rsid w:val="0037518D"/>
    <w:rsid w:val="00375AED"/>
    <w:rsid w:val="00376AB6"/>
    <w:rsid w:val="00377930"/>
    <w:rsid w:val="0038298A"/>
    <w:rsid w:val="00386580"/>
    <w:rsid w:val="00391E6A"/>
    <w:rsid w:val="00392521"/>
    <w:rsid w:val="003A05A0"/>
    <w:rsid w:val="003A319A"/>
    <w:rsid w:val="003A3D85"/>
    <w:rsid w:val="003A6BD1"/>
    <w:rsid w:val="003A7458"/>
    <w:rsid w:val="003B7FB2"/>
    <w:rsid w:val="003C36B6"/>
    <w:rsid w:val="003C4154"/>
    <w:rsid w:val="003C524C"/>
    <w:rsid w:val="003D2742"/>
    <w:rsid w:val="003D5CE3"/>
    <w:rsid w:val="003E288A"/>
    <w:rsid w:val="003F0BD4"/>
    <w:rsid w:val="003F5B47"/>
    <w:rsid w:val="003F685D"/>
    <w:rsid w:val="003F6C57"/>
    <w:rsid w:val="003F7173"/>
    <w:rsid w:val="003F7244"/>
    <w:rsid w:val="004004F1"/>
    <w:rsid w:val="00403DF8"/>
    <w:rsid w:val="00404389"/>
    <w:rsid w:val="00405BD7"/>
    <w:rsid w:val="00406C29"/>
    <w:rsid w:val="00414BB5"/>
    <w:rsid w:val="004160B6"/>
    <w:rsid w:val="00426D36"/>
    <w:rsid w:val="00426F58"/>
    <w:rsid w:val="00427476"/>
    <w:rsid w:val="004373CE"/>
    <w:rsid w:val="004411C6"/>
    <w:rsid w:val="0044215C"/>
    <w:rsid w:val="00443F80"/>
    <w:rsid w:val="00447C5C"/>
    <w:rsid w:val="00450931"/>
    <w:rsid w:val="0045098A"/>
    <w:rsid w:val="004530EF"/>
    <w:rsid w:val="00454C52"/>
    <w:rsid w:val="00457F7B"/>
    <w:rsid w:val="00465DDD"/>
    <w:rsid w:val="004664C6"/>
    <w:rsid w:val="00473301"/>
    <w:rsid w:val="00473A30"/>
    <w:rsid w:val="00474132"/>
    <w:rsid w:val="00474D4B"/>
    <w:rsid w:val="00480D3B"/>
    <w:rsid w:val="00482BC2"/>
    <w:rsid w:val="004855E5"/>
    <w:rsid w:val="00486E24"/>
    <w:rsid w:val="004928E2"/>
    <w:rsid w:val="00493818"/>
    <w:rsid w:val="00497A1D"/>
    <w:rsid w:val="004A0CD6"/>
    <w:rsid w:val="004A338F"/>
    <w:rsid w:val="004A5780"/>
    <w:rsid w:val="004B4466"/>
    <w:rsid w:val="004C07F1"/>
    <w:rsid w:val="004C77FA"/>
    <w:rsid w:val="004C79F5"/>
    <w:rsid w:val="004D18B5"/>
    <w:rsid w:val="004D74F5"/>
    <w:rsid w:val="004E0533"/>
    <w:rsid w:val="004E16C5"/>
    <w:rsid w:val="004E2A32"/>
    <w:rsid w:val="004E2DBE"/>
    <w:rsid w:val="004F1E15"/>
    <w:rsid w:val="004F5F8B"/>
    <w:rsid w:val="005011D1"/>
    <w:rsid w:val="00502637"/>
    <w:rsid w:val="005039A3"/>
    <w:rsid w:val="005040FA"/>
    <w:rsid w:val="005070CD"/>
    <w:rsid w:val="00511749"/>
    <w:rsid w:val="0051262F"/>
    <w:rsid w:val="00513DA8"/>
    <w:rsid w:val="005153C3"/>
    <w:rsid w:val="00515757"/>
    <w:rsid w:val="00520AA8"/>
    <w:rsid w:val="00522C17"/>
    <w:rsid w:val="005230FF"/>
    <w:rsid w:val="005324C7"/>
    <w:rsid w:val="00535017"/>
    <w:rsid w:val="00540DFC"/>
    <w:rsid w:val="0054222A"/>
    <w:rsid w:val="0054587C"/>
    <w:rsid w:val="0054697C"/>
    <w:rsid w:val="00547511"/>
    <w:rsid w:val="00553883"/>
    <w:rsid w:val="00553C69"/>
    <w:rsid w:val="00555123"/>
    <w:rsid w:val="005574CD"/>
    <w:rsid w:val="0056213F"/>
    <w:rsid w:val="00563753"/>
    <w:rsid w:val="005647BF"/>
    <w:rsid w:val="0056794F"/>
    <w:rsid w:val="00570841"/>
    <w:rsid w:val="00571ACC"/>
    <w:rsid w:val="00572622"/>
    <w:rsid w:val="005735CF"/>
    <w:rsid w:val="005752B3"/>
    <w:rsid w:val="00577F8E"/>
    <w:rsid w:val="005837F2"/>
    <w:rsid w:val="00586C2C"/>
    <w:rsid w:val="00587FCD"/>
    <w:rsid w:val="00592630"/>
    <w:rsid w:val="005A0C99"/>
    <w:rsid w:val="005A25EE"/>
    <w:rsid w:val="005A5505"/>
    <w:rsid w:val="005B53A2"/>
    <w:rsid w:val="005B7B09"/>
    <w:rsid w:val="005C0DE2"/>
    <w:rsid w:val="005C2FFD"/>
    <w:rsid w:val="005C76F8"/>
    <w:rsid w:val="005D4440"/>
    <w:rsid w:val="005D6C2F"/>
    <w:rsid w:val="005E136A"/>
    <w:rsid w:val="005E1F62"/>
    <w:rsid w:val="005E5BC1"/>
    <w:rsid w:val="005E6D83"/>
    <w:rsid w:val="005F068A"/>
    <w:rsid w:val="005F1721"/>
    <w:rsid w:val="005F1F52"/>
    <w:rsid w:val="0060204E"/>
    <w:rsid w:val="0060549D"/>
    <w:rsid w:val="0061506D"/>
    <w:rsid w:val="006214E5"/>
    <w:rsid w:val="00623198"/>
    <w:rsid w:val="006242A9"/>
    <w:rsid w:val="00624E90"/>
    <w:rsid w:val="00640428"/>
    <w:rsid w:val="006467B8"/>
    <w:rsid w:val="0065111D"/>
    <w:rsid w:val="006518AA"/>
    <w:rsid w:val="00652384"/>
    <w:rsid w:val="00652F41"/>
    <w:rsid w:val="00656319"/>
    <w:rsid w:val="00656A29"/>
    <w:rsid w:val="00656CE8"/>
    <w:rsid w:val="006575F7"/>
    <w:rsid w:val="00660786"/>
    <w:rsid w:val="00662B04"/>
    <w:rsid w:val="00663193"/>
    <w:rsid w:val="006643EF"/>
    <w:rsid w:val="00666806"/>
    <w:rsid w:val="00672BA0"/>
    <w:rsid w:val="00672BF0"/>
    <w:rsid w:val="00673C0B"/>
    <w:rsid w:val="00677709"/>
    <w:rsid w:val="00683078"/>
    <w:rsid w:val="00683E30"/>
    <w:rsid w:val="00685166"/>
    <w:rsid w:val="00685507"/>
    <w:rsid w:val="006869EC"/>
    <w:rsid w:val="00687387"/>
    <w:rsid w:val="00687883"/>
    <w:rsid w:val="00692A00"/>
    <w:rsid w:val="00694F92"/>
    <w:rsid w:val="006A4A51"/>
    <w:rsid w:val="006A5228"/>
    <w:rsid w:val="006A62F2"/>
    <w:rsid w:val="006B183B"/>
    <w:rsid w:val="006B2E10"/>
    <w:rsid w:val="006B43F1"/>
    <w:rsid w:val="006B7C55"/>
    <w:rsid w:val="006B7CF4"/>
    <w:rsid w:val="006C38B7"/>
    <w:rsid w:val="006D103E"/>
    <w:rsid w:val="006D5E1E"/>
    <w:rsid w:val="006D6251"/>
    <w:rsid w:val="006D7FF3"/>
    <w:rsid w:val="006E3812"/>
    <w:rsid w:val="006E4C69"/>
    <w:rsid w:val="006E5DA7"/>
    <w:rsid w:val="006E6F1E"/>
    <w:rsid w:val="006F3570"/>
    <w:rsid w:val="006F4EC8"/>
    <w:rsid w:val="00702360"/>
    <w:rsid w:val="0070331B"/>
    <w:rsid w:val="007060C2"/>
    <w:rsid w:val="007113C3"/>
    <w:rsid w:val="00712831"/>
    <w:rsid w:val="00720F19"/>
    <w:rsid w:val="00724E51"/>
    <w:rsid w:val="00725B62"/>
    <w:rsid w:val="007343DC"/>
    <w:rsid w:val="007347A8"/>
    <w:rsid w:val="00740E5B"/>
    <w:rsid w:val="007440A5"/>
    <w:rsid w:val="00752F14"/>
    <w:rsid w:val="00754016"/>
    <w:rsid w:val="007563EC"/>
    <w:rsid w:val="00756D19"/>
    <w:rsid w:val="00757A94"/>
    <w:rsid w:val="00757DED"/>
    <w:rsid w:val="00760F2B"/>
    <w:rsid w:val="00762EC2"/>
    <w:rsid w:val="0076345B"/>
    <w:rsid w:val="00767947"/>
    <w:rsid w:val="00771496"/>
    <w:rsid w:val="00777EAF"/>
    <w:rsid w:val="0078096A"/>
    <w:rsid w:val="00781164"/>
    <w:rsid w:val="007813FD"/>
    <w:rsid w:val="00784DB1"/>
    <w:rsid w:val="00785E24"/>
    <w:rsid w:val="00787456"/>
    <w:rsid w:val="00790BD3"/>
    <w:rsid w:val="00791C02"/>
    <w:rsid w:val="0079211F"/>
    <w:rsid w:val="007924B3"/>
    <w:rsid w:val="00792CE5"/>
    <w:rsid w:val="0079317A"/>
    <w:rsid w:val="00797334"/>
    <w:rsid w:val="007A3BB8"/>
    <w:rsid w:val="007A44B6"/>
    <w:rsid w:val="007A51D8"/>
    <w:rsid w:val="007A668D"/>
    <w:rsid w:val="007B3FA0"/>
    <w:rsid w:val="007B50B2"/>
    <w:rsid w:val="007B7094"/>
    <w:rsid w:val="007C00D4"/>
    <w:rsid w:val="007E04D6"/>
    <w:rsid w:val="007E0C9C"/>
    <w:rsid w:val="007E3213"/>
    <w:rsid w:val="007F0300"/>
    <w:rsid w:val="007F7211"/>
    <w:rsid w:val="00802152"/>
    <w:rsid w:val="00804CD3"/>
    <w:rsid w:val="00806DFD"/>
    <w:rsid w:val="00807730"/>
    <w:rsid w:val="00811FC2"/>
    <w:rsid w:val="00816681"/>
    <w:rsid w:val="00820EEC"/>
    <w:rsid w:val="0082543D"/>
    <w:rsid w:val="0082567D"/>
    <w:rsid w:val="00825C67"/>
    <w:rsid w:val="0082660F"/>
    <w:rsid w:val="008273CD"/>
    <w:rsid w:val="00831DCE"/>
    <w:rsid w:val="008322D4"/>
    <w:rsid w:val="00835148"/>
    <w:rsid w:val="008369AA"/>
    <w:rsid w:val="008445BB"/>
    <w:rsid w:val="00847BD6"/>
    <w:rsid w:val="00850779"/>
    <w:rsid w:val="0085282E"/>
    <w:rsid w:val="00855BE9"/>
    <w:rsid w:val="008573BA"/>
    <w:rsid w:val="008576C6"/>
    <w:rsid w:val="00860ECF"/>
    <w:rsid w:val="0086228C"/>
    <w:rsid w:val="008627A3"/>
    <w:rsid w:val="00863999"/>
    <w:rsid w:val="00864F48"/>
    <w:rsid w:val="008657AF"/>
    <w:rsid w:val="00873230"/>
    <w:rsid w:val="008750A5"/>
    <w:rsid w:val="00876C43"/>
    <w:rsid w:val="008803E5"/>
    <w:rsid w:val="00883C74"/>
    <w:rsid w:val="00890862"/>
    <w:rsid w:val="00894A99"/>
    <w:rsid w:val="008A1159"/>
    <w:rsid w:val="008B106E"/>
    <w:rsid w:val="008B169A"/>
    <w:rsid w:val="008B7232"/>
    <w:rsid w:val="008C0D4B"/>
    <w:rsid w:val="008C5461"/>
    <w:rsid w:val="008D44A2"/>
    <w:rsid w:val="008D79B7"/>
    <w:rsid w:val="008E132D"/>
    <w:rsid w:val="008E3393"/>
    <w:rsid w:val="008E71CA"/>
    <w:rsid w:val="008F61FD"/>
    <w:rsid w:val="00901B32"/>
    <w:rsid w:val="00905C11"/>
    <w:rsid w:val="009139A7"/>
    <w:rsid w:val="009151B6"/>
    <w:rsid w:val="00917817"/>
    <w:rsid w:val="0092440C"/>
    <w:rsid w:val="0092775A"/>
    <w:rsid w:val="009329AD"/>
    <w:rsid w:val="00933599"/>
    <w:rsid w:val="00937103"/>
    <w:rsid w:val="00942D49"/>
    <w:rsid w:val="009439A8"/>
    <w:rsid w:val="00944A4A"/>
    <w:rsid w:val="00945003"/>
    <w:rsid w:val="00946E1E"/>
    <w:rsid w:val="00951888"/>
    <w:rsid w:val="00951F79"/>
    <w:rsid w:val="0095363C"/>
    <w:rsid w:val="00954AB8"/>
    <w:rsid w:val="00960222"/>
    <w:rsid w:val="0096057F"/>
    <w:rsid w:val="0096078B"/>
    <w:rsid w:val="00960CA3"/>
    <w:rsid w:val="00961267"/>
    <w:rsid w:val="00962CD0"/>
    <w:rsid w:val="0096718D"/>
    <w:rsid w:val="009675E5"/>
    <w:rsid w:val="00971292"/>
    <w:rsid w:val="00971755"/>
    <w:rsid w:val="0098059D"/>
    <w:rsid w:val="009825B8"/>
    <w:rsid w:val="009843E0"/>
    <w:rsid w:val="009847EB"/>
    <w:rsid w:val="00990F8A"/>
    <w:rsid w:val="00992C59"/>
    <w:rsid w:val="00993B94"/>
    <w:rsid w:val="00997A7A"/>
    <w:rsid w:val="009A3493"/>
    <w:rsid w:val="009A3E29"/>
    <w:rsid w:val="009B0003"/>
    <w:rsid w:val="009B2BBD"/>
    <w:rsid w:val="009B5A6A"/>
    <w:rsid w:val="009C3610"/>
    <w:rsid w:val="009C7EE8"/>
    <w:rsid w:val="009D4316"/>
    <w:rsid w:val="009D5E27"/>
    <w:rsid w:val="009D65FA"/>
    <w:rsid w:val="009E08F0"/>
    <w:rsid w:val="009E1545"/>
    <w:rsid w:val="009E7018"/>
    <w:rsid w:val="009E7E38"/>
    <w:rsid w:val="009F10B5"/>
    <w:rsid w:val="009F6146"/>
    <w:rsid w:val="009F7ED4"/>
    <w:rsid w:val="00A10E5D"/>
    <w:rsid w:val="00A16335"/>
    <w:rsid w:val="00A20244"/>
    <w:rsid w:val="00A20B47"/>
    <w:rsid w:val="00A21194"/>
    <w:rsid w:val="00A22698"/>
    <w:rsid w:val="00A22E0E"/>
    <w:rsid w:val="00A2432C"/>
    <w:rsid w:val="00A25C43"/>
    <w:rsid w:val="00A30E21"/>
    <w:rsid w:val="00A31EED"/>
    <w:rsid w:val="00A36EAE"/>
    <w:rsid w:val="00A41772"/>
    <w:rsid w:val="00A4238D"/>
    <w:rsid w:val="00A4348F"/>
    <w:rsid w:val="00A45E42"/>
    <w:rsid w:val="00A47B3D"/>
    <w:rsid w:val="00A55A98"/>
    <w:rsid w:val="00A5687B"/>
    <w:rsid w:val="00A606BA"/>
    <w:rsid w:val="00A726A7"/>
    <w:rsid w:val="00A73507"/>
    <w:rsid w:val="00A7406B"/>
    <w:rsid w:val="00A7597D"/>
    <w:rsid w:val="00A75C5E"/>
    <w:rsid w:val="00A80AD4"/>
    <w:rsid w:val="00A84221"/>
    <w:rsid w:val="00A87FBF"/>
    <w:rsid w:val="00A943DD"/>
    <w:rsid w:val="00A96B88"/>
    <w:rsid w:val="00AA1983"/>
    <w:rsid w:val="00AA3106"/>
    <w:rsid w:val="00AA36DC"/>
    <w:rsid w:val="00AB3B66"/>
    <w:rsid w:val="00AB6C76"/>
    <w:rsid w:val="00AC0223"/>
    <w:rsid w:val="00AC1F51"/>
    <w:rsid w:val="00AD5419"/>
    <w:rsid w:val="00AD5C32"/>
    <w:rsid w:val="00AD7BAB"/>
    <w:rsid w:val="00AD7BBA"/>
    <w:rsid w:val="00AE10E8"/>
    <w:rsid w:val="00AE1118"/>
    <w:rsid w:val="00AE2334"/>
    <w:rsid w:val="00AE23CB"/>
    <w:rsid w:val="00AE2D7B"/>
    <w:rsid w:val="00AE38C7"/>
    <w:rsid w:val="00AE4943"/>
    <w:rsid w:val="00AE5866"/>
    <w:rsid w:val="00AE699E"/>
    <w:rsid w:val="00AE770C"/>
    <w:rsid w:val="00AF1C44"/>
    <w:rsid w:val="00AF3EB2"/>
    <w:rsid w:val="00AF49CC"/>
    <w:rsid w:val="00AF51E8"/>
    <w:rsid w:val="00AF55F2"/>
    <w:rsid w:val="00AF7A4A"/>
    <w:rsid w:val="00B0514D"/>
    <w:rsid w:val="00B05C26"/>
    <w:rsid w:val="00B05F91"/>
    <w:rsid w:val="00B1331A"/>
    <w:rsid w:val="00B16322"/>
    <w:rsid w:val="00B17ED4"/>
    <w:rsid w:val="00B20F90"/>
    <w:rsid w:val="00B22A59"/>
    <w:rsid w:val="00B23E5D"/>
    <w:rsid w:val="00B24B7D"/>
    <w:rsid w:val="00B35499"/>
    <w:rsid w:val="00B35EE1"/>
    <w:rsid w:val="00B40350"/>
    <w:rsid w:val="00B436CE"/>
    <w:rsid w:val="00B46766"/>
    <w:rsid w:val="00B47F40"/>
    <w:rsid w:val="00B50893"/>
    <w:rsid w:val="00B51C90"/>
    <w:rsid w:val="00B55753"/>
    <w:rsid w:val="00B57729"/>
    <w:rsid w:val="00B61FBC"/>
    <w:rsid w:val="00B72AF3"/>
    <w:rsid w:val="00B768B5"/>
    <w:rsid w:val="00B76CA3"/>
    <w:rsid w:val="00B9195A"/>
    <w:rsid w:val="00B95721"/>
    <w:rsid w:val="00BA0A7C"/>
    <w:rsid w:val="00BB06F2"/>
    <w:rsid w:val="00BB2FBC"/>
    <w:rsid w:val="00BC37EC"/>
    <w:rsid w:val="00BC5F50"/>
    <w:rsid w:val="00BD32F6"/>
    <w:rsid w:val="00BD7871"/>
    <w:rsid w:val="00BF1D3D"/>
    <w:rsid w:val="00BF3C23"/>
    <w:rsid w:val="00BF56F3"/>
    <w:rsid w:val="00C011A4"/>
    <w:rsid w:val="00C028FF"/>
    <w:rsid w:val="00C03395"/>
    <w:rsid w:val="00C06E3C"/>
    <w:rsid w:val="00C12541"/>
    <w:rsid w:val="00C2067D"/>
    <w:rsid w:val="00C20FC8"/>
    <w:rsid w:val="00C2162D"/>
    <w:rsid w:val="00C21EA1"/>
    <w:rsid w:val="00C22E47"/>
    <w:rsid w:val="00C25916"/>
    <w:rsid w:val="00C2591D"/>
    <w:rsid w:val="00C26144"/>
    <w:rsid w:val="00C2782E"/>
    <w:rsid w:val="00C325DA"/>
    <w:rsid w:val="00C344AC"/>
    <w:rsid w:val="00C35953"/>
    <w:rsid w:val="00C40F84"/>
    <w:rsid w:val="00C4418B"/>
    <w:rsid w:val="00C47AF9"/>
    <w:rsid w:val="00C526F6"/>
    <w:rsid w:val="00C556FC"/>
    <w:rsid w:val="00C55D7F"/>
    <w:rsid w:val="00C617F0"/>
    <w:rsid w:val="00C67C26"/>
    <w:rsid w:val="00C70221"/>
    <w:rsid w:val="00C70D1A"/>
    <w:rsid w:val="00C7178C"/>
    <w:rsid w:val="00C72229"/>
    <w:rsid w:val="00C742E7"/>
    <w:rsid w:val="00C753C3"/>
    <w:rsid w:val="00C8031E"/>
    <w:rsid w:val="00C83DCF"/>
    <w:rsid w:val="00C92B1D"/>
    <w:rsid w:val="00C963E4"/>
    <w:rsid w:val="00CA2822"/>
    <w:rsid w:val="00CA47B3"/>
    <w:rsid w:val="00CA5519"/>
    <w:rsid w:val="00CA5ACB"/>
    <w:rsid w:val="00CA6674"/>
    <w:rsid w:val="00CA66CE"/>
    <w:rsid w:val="00CB064A"/>
    <w:rsid w:val="00CB2D61"/>
    <w:rsid w:val="00CB3032"/>
    <w:rsid w:val="00CB441A"/>
    <w:rsid w:val="00CB7F17"/>
    <w:rsid w:val="00CC1970"/>
    <w:rsid w:val="00CC3165"/>
    <w:rsid w:val="00CC4068"/>
    <w:rsid w:val="00CD3234"/>
    <w:rsid w:val="00CD367B"/>
    <w:rsid w:val="00CD6709"/>
    <w:rsid w:val="00CE0819"/>
    <w:rsid w:val="00CF0595"/>
    <w:rsid w:val="00CF0B3F"/>
    <w:rsid w:val="00CF2E3B"/>
    <w:rsid w:val="00CF5CC6"/>
    <w:rsid w:val="00CF70F1"/>
    <w:rsid w:val="00D02D82"/>
    <w:rsid w:val="00D15429"/>
    <w:rsid w:val="00D167B8"/>
    <w:rsid w:val="00D17FEA"/>
    <w:rsid w:val="00D21A52"/>
    <w:rsid w:val="00D22BE4"/>
    <w:rsid w:val="00D239E8"/>
    <w:rsid w:val="00D30190"/>
    <w:rsid w:val="00D32162"/>
    <w:rsid w:val="00D36135"/>
    <w:rsid w:val="00D375DD"/>
    <w:rsid w:val="00D4191C"/>
    <w:rsid w:val="00D4373E"/>
    <w:rsid w:val="00D43F9C"/>
    <w:rsid w:val="00D46564"/>
    <w:rsid w:val="00D52A1A"/>
    <w:rsid w:val="00D55137"/>
    <w:rsid w:val="00D57C6F"/>
    <w:rsid w:val="00D57D07"/>
    <w:rsid w:val="00D6079A"/>
    <w:rsid w:val="00D63D30"/>
    <w:rsid w:val="00D659F8"/>
    <w:rsid w:val="00D71A35"/>
    <w:rsid w:val="00D81B69"/>
    <w:rsid w:val="00D856D5"/>
    <w:rsid w:val="00D90DC2"/>
    <w:rsid w:val="00D92C32"/>
    <w:rsid w:val="00D92D3F"/>
    <w:rsid w:val="00D92EE9"/>
    <w:rsid w:val="00DA5198"/>
    <w:rsid w:val="00DA7999"/>
    <w:rsid w:val="00DB1CBC"/>
    <w:rsid w:val="00DB2BE3"/>
    <w:rsid w:val="00DB2F82"/>
    <w:rsid w:val="00DB338C"/>
    <w:rsid w:val="00DC008F"/>
    <w:rsid w:val="00DC18FF"/>
    <w:rsid w:val="00DC2734"/>
    <w:rsid w:val="00DC28C8"/>
    <w:rsid w:val="00DC59D2"/>
    <w:rsid w:val="00DC6B88"/>
    <w:rsid w:val="00DC775D"/>
    <w:rsid w:val="00DD028E"/>
    <w:rsid w:val="00DD1441"/>
    <w:rsid w:val="00DE0D9D"/>
    <w:rsid w:val="00DE4339"/>
    <w:rsid w:val="00DF19DA"/>
    <w:rsid w:val="00E00B01"/>
    <w:rsid w:val="00E00C2D"/>
    <w:rsid w:val="00E01ABF"/>
    <w:rsid w:val="00E028D4"/>
    <w:rsid w:val="00E048B0"/>
    <w:rsid w:val="00E073B4"/>
    <w:rsid w:val="00E076CC"/>
    <w:rsid w:val="00E12CCA"/>
    <w:rsid w:val="00E1346F"/>
    <w:rsid w:val="00E2244E"/>
    <w:rsid w:val="00E26DEC"/>
    <w:rsid w:val="00E30A3F"/>
    <w:rsid w:val="00E31811"/>
    <w:rsid w:val="00E3221E"/>
    <w:rsid w:val="00E323DB"/>
    <w:rsid w:val="00E33931"/>
    <w:rsid w:val="00E34D90"/>
    <w:rsid w:val="00E36291"/>
    <w:rsid w:val="00E362A2"/>
    <w:rsid w:val="00E377ED"/>
    <w:rsid w:val="00E40092"/>
    <w:rsid w:val="00E4177D"/>
    <w:rsid w:val="00E4201E"/>
    <w:rsid w:val="00E42EAD"/>
    <w:rsid w:val="00E43130"/>
    <w:rsid w:val="00E44874"/>
    <w:rsid w:val="00E45304"/>
    <w:rsid w:val="00E5016A"/>
    <w:rsid w:val="00E51531"/>
    <w:rsid w:val="00E53C6B"/>
    <w:rsid w:val="00E54139"/>
    <w:rsid w:val="00E551DB"/>
    <w:rsid w:val="00E55A7A"/>
    <w:rsid w:val="00E573A7"/>
    <w:rsid w:val="00E57AED"/>
    <w:rsid w:val="00E61FF7"/>
    <w:rsid w:val="00E64F36"/>
    <w:rsid w:val="00E66597"/>
    <w:rsid w:val="00E67962"/>
    <w:rsid w:val="00E7532E"/>
    <w:rsid w:val="00E76461"/>
    <w:rsid w:val="00E77588"/>
    <w:rsid w:val="00E838F6"/>
    <w:rsid w:val="00E851FC"/>
    <w:rsid w:val="00E93BF6"/>
    <w:rsid w:val="00E944B6"/>
    <w:rsid w:val="00E972F7"/>
    <w:rsid w:val="00EA0A8A"/>
    <w:rsid w:val="00EA16DC"/>
    <w:rsid w:val="00EA7898"/>
    <w:rsid w:val="00EB08A2"/>
    <w:rsid w:val="00EC0577"/>
    <w:rsid w:val="00EC0E62"/>
    <w:rsid w:val="00EC1A00"/>
    <w:rsid w:val="00ED0142"/>
    <w:rsid w:val="00ED27F5"/>
    <w:rsid w:val="00ED4EAC"/>
    <w:rsid w:val="00ED70A7"/>
    <w:rsid w:val="00ED7A0C"/>
    <w:rsid w:val="00ED7DE9"/>
    <w:rsid w:val="00EE2578"/>
    <w:rsid w:val="00EE43EA"/>
    <w:rsid w:val="00EE4944"/>
    <w:rsid w:val="00EF08C1"/>
    <w:rsid w:val="00EF6B59"/>
    <w:rsid w:val="00F0445C"/>
    <w:rsid w:val="00F1799C"/>
    <w:rsid w:val="00F22941"/>
    <w:rsid w:val="00F229FD"/>
    <w:rsid w:val="00F25BA3"/>
    <w:rsid w:val="00F3007B"/>
    <w:rsid w:val="00F3659E"/>
    <w:rsid w:val="00F37D2E"/>
    <w:rsid w:val="00F42C1E"/>
    <w:rsid w:val="00F433B7"/>
    <w:rsid w:val="00F50391"/>
    <w:rsid w:val="00F50E28"/>
    <w:rsid w:val="00F51AEC"/>
    <w:rsid w:val="00F51EB2"/>
    <w:rsid w:val="00F601CF"/>
    <w:rsid w:val="00F61BEF"/>
    <w:rsid w:val="00F6269D"/>
    <w:rsid w:val="00F62FF4"/>
    <w:rsid w:val="00F636D4"/>
    <w:rsid w:val="00F72393"/>
    <w:rsid w:val="00F81FC5"/>
    <w:rsid w:val="00F843DC"/>
    <w:rsid w:val="00F8555D"/>
    <w:rsid w:val="00F86637"/>
    <w:rsid w:val="00F9004A"/>
    <w:rsid w:val="00F902D1"/>
    <w:rsid w:val="00F94678"/>
    <w:rsid w:val="00FA62C5"/>
    <w:rsid w:val="00FA743C"/>
    <w:rsid w:val="00FB1305"/>
    <w:rsid w:val="00FB2638"/>
    <w:rsid w:val="00FB51B0"/>
    <w:rsid w:val="00FB5C89"/>
    <w:rsid w:val="00FB62E5"/>
    <w:rsid w:val="00FC0E21"/>
    <w:rsid w:val="00FC2FA9"/>
    <w:rsid w:val="00FC397F"/>
    <w:rsid w:val="00FC6F60"/>
    <w:rsid w:val="00FC75D1"/>
    <w:rsid w:val="00FD6AAA"/>
    <w:rsid w:val="00FE1C8B"/>
    <w:rsid w:val="00FE377C"/>
    <w:rsid w:val="00FE3FEC"/>
    <w:rsid w:val="00FE5CB2"/>
    <w:rsid w:val="00FF000E"/>
    <w:rsid w:val="00FF0A78"/>
    <w:rsid w:val="00FF53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21134"/>
  <w15:chartTrackingRefBased/>
  <w15:docId w15:val="{6D3ACA8C-685B-5648-8168-9EA21D35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pPr>
        <w:spacing w:before="240" w:after="240" w:line="360" w:lineRule="auto"/>
        <w:ind w:left="1077"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24C"/>
    <w:pPr>
      <w:spacing w:before="0" w:after="200" w:line="276" w:lineRule="auto"/>
      <w:ind w:left="0" w:firstLine="0"/>
    </w:pPr>
    <w:rPr>
      <w:rFonts w:ascii="Optima" w:hAnsi="Optima"/>
      <w:szCs w:val="22"/>
    </w:rPr>
  </w:style>
  <w:style w:type="paragraph" w:styleId="Heading1">
    <w:name w:val="heading 1"/>
    <w:basedOn w:val="Normal"/>
    <w:next w:val="Normal"/>
    <w:link w:val="Heading1Char"/>
    <w:uiPriority w:val="9"/>
    <w:qFormat/>
    <w:rsid w:val="003354AE"/>
    <w:pPr>
      <w:spacing w:before="240" w:after="240" w:line="360" w:lineRule="auto"/>
      <w:ind w:left="1077" w:hanging="720"/>
      <w:outlineLvl w:val="0"/>
    </w:pPr>
    <w:rPr>
      <w:rFonts w:ascii="Times New Roman" w:hAnsi="Times New Roman" w:cs="Times New Roman"/>
      <w:b/>
      <w:bCs/>
      <w:szCs w:val="24"/>
    </w:rPr>
  </w:style>
  <w:style w:type="paragraph" w:styleId="Heading2">
    <w:name w:val="heading 2"/>
    <w:basedOn w:val="Normal"/>
    <w:next w:val="Normal"/>
    <w:link w:val="Heading2Char"/>
    <w:uiPriority w:val="9"/>
    <w:unhideWhenUsed/>
    <w:qFormat/>
    <w:rsid w:val="009329AD"/>
    <w:pPr>
      <w:keepNext/>
      <w:keepLines/>
      <w:numPr>
        <w:numId w:val="2"/>
      </w:numPr>
      <w:spacing w:line="240" w:lineRule="auto"/>
      <w:ind w:left="1418" w:hanging="709"/>
      <w:outlineLvl w:val="1"/>
    </w:pPr>
    <w:rPr>
      <w:rFonts w:ascii="Times New Roman" w:eastAsiaTheme="majorEastAsia" w:hAnsi="Times New Roman" w:cs="Times New Roman"/>
      <w:b/>
      <w:bCs/>
      <w:i/>
      <w:iCs/>
      <w:szCs w:val="24"/>
      <w:lang w:eastAsia="en-GB"/>
    </w:rPr>
  </w:style>
  <w:style w:type="paragraph" w:styleId="Heading3">
    <w:name w:val="heading 3"/>
    <w:basedOn w:val="Normal"/>
    <w:next w:val="Normal"/>
    <w:link w:val="Heading3Char"/>
    <w:uiPriority w:val="9"/>
    <w:unhideWhenUsed/>
    <w:qFormat/>
    <w:rsid w:val="008657AF"/>
    <w:pPr>
      <w:keepNext/>
      <w:keepLines/>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4AE"/>
    <w:rPr>
      <w:rFonts w:ascii="Times New Roman" w:hAnsi="Times New Roman" w:cs="Times New Roman"/>
      <w:b/>
      <w:bCs/>
    </w:rPr>
  </w:style>
  <w:style w:type="character" w:customStyle="1" w:styleId="Heading2Char">
    <w:name w:val="Heading 2 Char"/>
    <w:basedOn w:val="DefaultParagraphFont"/>
    <w:link w:val="Heading2"/>
    <w:uiPriority w:val="9"/>
    <w:rsid w:val="009329AD"/>
    <w:rPr>
      <w:rFonts w:ascii="Times New Roman" w:eastAsiaTheme="majorEastAsia" w:hAnsi="Times New Roman" w:cs="Times New Roman"/>
      <w:b/>
      <w:bCs/>
      <w:i/>
      <w:iCs/>
      <w:lang w:eastAsia="en-GB"/>
    </w:rPr>
  </w:style>
  <w:style w:type="character" w:customStyle="1" w:styleId="Heading3Char">
    <w:name w:val="Heading 3 Char"/>
    <w:basedOn w:val="DefaultParagraphFont"/>
    <w:link w:val="Heading3"/>
    <w:uiPriority w:val="9"/>
    <w:rsid w:val="008657AF"/>
    <w:rPr>
      <w:rFonts w:asciiTheme="majorHAnsi" w:eastAsiaTheme="majorEastAsia" w:hAnsiTheme="majorHAnsi" w:cstheme="majorBidi"/>
      <w:color w:val="1F3763" w:themeColor="accent1" w:themeShade="7F"/>
    </w:rPr>
  </w:style>
  <w:style w:type="paragraph" w:styleId="PlainText">
    <w:name w:val="Plain Text"/>
    <w:basedOn w:val="Normal"/>
    <w:link w:val="PlainTextChar"/>
    <w:uiPriority w:val="99"/>
    <w:unhideWhenUsed/>
    <w:rsid w:val="003C524C"/>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3C524C"/>
    <w:rPr>
      <w:rFonts w:ascii="Calibri" w:hAnsi="Calibri"/>
      <w:sz w:val="22"/>
      <w:szCs w:val="21"/>
      <w:lang w:val="pl-PL"/>
    </w:rPr>
  </w:style>
  <w:style w:type="paragraph" w:styleId="BodyText">
    <w:name w:val="Body Text"/>
    <w:basedOn w:val="Normal"/>
    <w:link w:val="BodyTextChar"/>
    <w:uiPriority w:val="1"/>
    <w:qFormat/>
    <w:rsid w:val="003C524C"/>
    <w:pPr>
      <w:widowControl w:val="0"/>
      <w:autoSpaceDE w:val="0"/>
      <w:autoSpaceDN w:val="0"/>
      <w:spacing w:after="0" w:line="240" w:lineRule="auto"/>
      <w:ind w:left="2430"/>
    </w:pPr>
    <w:rPr>
      <w:rFonts w:ascii="Times New Roman" w:eastAsia="Times New Roman" w:hAnsi="Times New Roman" w:cs="Times New Roman"/>
      <w:sz w:val="22"/>
    </w:rPr>
  </w:style>
  <w:style w:type="character" w:customStyle="1" w:styleId="BodyTextChar">
    <w:name w:val="Body Text Char"/>
    <w:basedOn w:val="DefaultParagraphFont"/>
    <w:link w:val="BodyText"/>
    <w:uiPriority w:val="1"/>
    <w:rsid w:val="003C524C"/>
    <w:rPr>
      <w:rFonts w:ascii="Times New Roman" w:eastAsia="Times New Roman" w:hAnsi="Times New Roman" w:cs="Times New Roman"/>
      <w:sz w:val="22"/>
      <w:szCs w:val="22"/>
      <w:lang w:val="pl-PL"/>
    </w:rPr>
  </w:style>
  <w:style w:type="paragraph" w:styleId="ListParagraph">
    <w:name w:val="List Paragraph"/>
    <w:basedOn w:val="Normal"/>
    <w:uiPriority w:val="34"/>
    <w:qFormat/>
    <w:rsid w:val="003C524C"/>
    <w:pPr>
      <w:ind w:left="720"/>
      <w:contextualSpacing/>
    </w:pPr>
  </w:style>
  <w:style w:type="paragraph" w:styleId="FootnoteText">
    <w:name w:val="footnote text"/>
    <w:basedOn w:val="Normal"/>
    <w:link w:val="FootnoteTextChar"/>
    <w:uiPriority w:val="99"/>
    <w:semiHidden/>
    <w:unhideWhenUsed/>
    <w:rsid w:val="003C52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524C"/>
    <w:rPr>
      <w:rFonts w:ascii="Optima" w:hAnsi="Optima"/>
      <w:sz w:val="20"/>
      <w:szCs w:val="20"/>
      <w:lang w:val="pl-PL"/>
    </w:rPr>
  </w:style>
  <w:style w:type="character" w:styleId="FootnoteReference">
    <w:name w:val="footnote reference"/>
    <w:basedOn w:val="DefaultParagraphFont"/>
    <w:uiPriority w:val="99"/>
    <w:semiHidden/>
    <w:unhideWhenUsed/>
    <w:rsid w:val="003C524C"/>
    <w:rPr>
      <w:vertAlign w:val="superscript"/>
    </w:rPr>
  </w:style>
  <w:style w:type="paragraph" w:customStyle="1" w:styleId="Opinionnormal">
    <w:name w:val="Opinion normal"/>
    <w:basedOn w:val="Normal"/>
    <w:qFormat/>
    <w:rsid w:val="003C524C"/>
    <w:pPr>
      <w:widowControl w:val="0"/>
      <w:numPr>
        <w:numId w:val="10"/>
      </w:numPr>
      <w:adjustRightInd w:val="0"/>
      <w:spacing w:before="360" w:after="360" w:line="240" w:lineRule="auto"/>
      <w:jc w:val="both"/>
    </w:pPr>
    <w:rPr>
      <w:rFonts w:ascii="Arial" w:eastAsia="Times New Roman" w:hAnsi="Arial" w:cs="Arial"/>
      <w:sz w:val="20"/>
      <w:szCs w:val="20"/>
      <w:lang w:eastAsia="en-IE"/>
    </w:rPr>
  </w:style>
  <w:style w:type="paragraph" w:styleId="BalloonText">
    <w:name w:val="Balloon Text"/>
    <w:basedOn w:val="Normal"/>
    <w:link w:val="BalloonTextChar"/>
    <w:uiPriority w:val="99"/>
    <w:semiHidden/>
    <w:unhideWhenUsed/>
    <w:rsid w:val="003C524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C524C"/>
    <w:rPr>
      <w:rFonts w:ascii="Times New Roman" w:hAnsi="Times New Roman" w:cs="Times New Roman"/>
      <w:sz w:val="18"/>
      <w:szCs w:val="18"/>
      <w:lang w:val="pl-PL"/>
    </w:rPr>
  </w:style>
  <w:style w:type="character" w:styleId="CommentReference">
    <w:name w:val="annotation reference"/>
    <w:basedOn w:val="DefaultParagraphFont"/>
    <w:uiPriority w:val="99"/>
    <w:semiHidden/>
    <w:unhideWhenUsed/>
    <w:rsid w:val="003C524C"/>
    <w:rPr>
      <w:sz w:val="16"/>
      <w:szCs w:val="16"/>
    </w:rPr>
  </w:style>
  <w:style w:type="paragraph" w:styleId="CommentText">
    <w:name w:val="annotation text"/>
    <w:basedOn w:val="Normal"/>
    <w:link w:val="CommentTextChar"/>
    <w:uiPriority w:val="99"/>
    <w:semiHidden/>
    <w:unhideWhenUsed/>
    <w:rsid w:val="003C524C"/>
    <w:pPr>
      <w:spacing w:line="240" w:lineRule="auto"/>
    </w:pPr>
    <w:rPr>
      <w:sz w:val="20"/>
      <w:szCs w:val="20"/>
    </w:rPr>
  </w:style>
  <w:style w:type="character" w:customStyle="1" w:styleId="CommentTextChar">
    <w:name w:val="Comment Text Char"/>
    <w:basedOn w:val="DefaultParagraphFont"/>
    <w:link w:val="CommentText"/>
    <w:uiPriority w:val="99"/>
    <w:semiHidden/>
    <w:rsid w:val="003C524C"/>
    <w:rPr>
      <w:rFonts w:ascii="Optima" w:hAnsi="Optima"/>
      <w:sz w:val="20"/>
      <w:szCs w:val="20"/>
      <w:lang w:val="pl-PL"/>
    </w:rPr>
  </w:style>
  <w:style w:type="paragraph" w:styleId="CommentSubject">
    <w:name w:val="annotation subject"/>
    <w:basedOn w:val="CommentText"/>
    <w:next w:val="CommentText"/>
    <w:link w:val="CommentSubjectChar"/>
    <w:uiPriority w:val="99"/>
    <w:semiHidden/>
    <w:unhideWhenUsed/>
    <w:rsid w:val="003C524C"/>
    <w:rPr>
      <w:b/>
      <w:bCs/>
    </w:rPr>
  </w:style>
  <w:style w:type="character" w:customStyle="1" w:styleId="CommentSubjectChar">
    <w:name w:val="Comment Subject Char"/>
    <w:basedOn w:val="CommentTextChar"/>
    <w:link w:val="CommentSubject"/>
    <w:uiPriority w:val="99"/>
    <w:semiHidden/>
    <w:rsid w:val="003C524C"/>
    <w:rPr>
      <w:rFonts w:ascii="Optima" w:hAnsi="Optima"/>
      <w:b/>
      <w:bCs/>
      <w:sz w:val="20"/>
      <w:szCs w:val="20"/>
      <w:lang w:val="pl-PL"/>
    </w:rPr>
  </w:style>
  <w:style w:type="paragraph" w:styleId="Header">
    <w:name w:val="header"/>
    <w:basedOn w:val="Normal"/>
    <w:link w:val="HeaderChar"/>
    <w:uiPriority w:val="99"/>
    <w:unhideWhenUsed/>
    <w:rsid w:val="003C5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24C"/>
    <w:rPr>
      <w:rFonts w:ascii="Optima" w:hAnsi="Optima"/>
      <w:szCs w:val="22"/>
      <w:lang w:val="pl-PL"/>
    </w:rPr>
  </w:style>
  <w:style w:type="paragraph" w:styleId="Footer">
    <w:name w:val="footer"/>
    <w:basedOn w:val="Normal"/>
    <w:link w:val="FooterChar"/>
    <w:uiPriority w:val="99"/>
    <w:unhideWhenUsed/>
    <w:rsid w:val="003C5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24C"/>
    <w:rPr>
      <w:rFonts w:ascii="Optima" w:hAnsi="Optima"/>
      <w:szCs w:val="22"/>
      <w:lang w:val="pl-PL"/>
    </w:rPr>
  </w:style>
  <w:style w:type="paragraph" w:styleId="TOCHeading">
    <w:name w:val="TOC Heading"/>
    <w:basedOn w:val="Heading1"/>
    <w:next w:val="Normal"/>
    <w:uiPriority w:val="39"/>
    <w:unhideWhenUsed/>
    <w:qFormat/>
    <w:rsid w:val="003C524C"/>
    <w:pPr>
      <w:spacing w:before="480" w:line="276" w:lineRule="auto"/>
      <w:ind w:left="0" w:firstLine="0"/>
      <w:outlineLvl w:val="9"/>
    </w:pPr>
    <w:rPr>
      <w:b w:val="0"/>
      <w:bCs w:val="0"/>
      <w:sz w:val="28"/>
      <w:szCs w:val="28"/>
    </w:rPr>
  </w:style>
  <w:style w:type="paragraph" w:styleId="TOC1">
    <w:name w:val="toc 1"/>
    <w:basedOn w:val="Normal"/>
    <w:next w:val="Normal"/>
    <w:autoRedefine/>
    <w:uiPriority w:val="39"/>
    <w:unhideWhenUsed/>
    <w:rsid w:val="00222048"/>
    <w:pPr>
      <w:tabs>
        <w:tab w:val="left" w:pos="720"/>
        <w:tab w:val="right" w:leader="dot" w:pos="9010"/>
      </w:tabs>
      <w:spacing w:before="120" w:after="0"/>
    </w:pPr>
    <w:rPr>
      <w:rFonts w:ascii="Times New Roman" w:hAnsi="Times New Roman" w:cs="Times New Roman"/>
      <w:b/>
      <w:bCs/>
      <w:noProof/>
      <w:szCs w:val="24"/>
    </w:rPr>
  </w:style>
  <w:style w:type="paragraph" w:styleId="TOC2">
    <w:name w:val="toc 2"/>
    <w:basedOn w:val="Normal"/>
    <w:next w:val="Normal"/>
    <w:autoRedefine/>
    <w:uiPriority w:val="39"/>
    <w:unhideWhenUsed/>
    <w:rsid w:val="003C524C"/>
    <w:pPr>
      <w:spacing w:before="120" w:after="0"/>
      <w:ind w:left="240"/>
    </w:pPr>
    <w:rPr>
      <w:rFonts w:asciiTheme="minorHAnsi" w:hAnsiTheme="minorHAnsi"/>
      <w:b/>
      <w:bCs/>
      <w:sz w:val="22"/>
    </w:rPr>
  </w:style>
  <w:style w:type="character" w:styleId="Hyperlink">
    <w:name w:val="Hyperlink"/>
    <w:basedOn w:val="DefaultParagraphFont"/>
    <w:uiPriority w:val="99"/>
    <w:unhideWhenUsed/>
    <w:rsid w:val="003C524C"/>
    <w:rPr>
      <w:color w:val="0563C1" w:themeColor="hyperlink"/>
      <w:u w:val="single"/>
    </w:rPr>
  </w:style>
  <w:style w:type="paragraph" w:styleId="TOC3">
    <w:name w:val="toc 3"/>
    <w:basedOn w:val="Normal"/>
    <w:next w:val="Normal"/>
    <w:autoRedefine/>
    <w:uiPriority w:val="39"/>
    <w:semiHidden/>
    <w:unhideWhenUsed/>
    <w:rsid w:val="003C524C"/>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3C524C"/>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3C524C"/>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3C524C"/>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3C524C"/>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3C524C"/>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3C524C"/>
    <w:pPr>
      <w:spacing w:after="0"/>
      <w:ind w:left="1920"/>
    </w:pPr>
    <w:rPr>
      <w:rFonts w:asciiTheme="minorHAnsi" w:hAnsiTheme="minorHAnsi"/>
      <w:sz w:val="20"/>
      <w:szCs w:val="20"/>
    </w:rPr>
  </w:style>
  <w:style w:type="paragraph" w:styleId="Revision">
    <w:name w:val="Revision"/>
    <w:hidden/>
    <w:uiPriority w:val="99"/>
    <w:semiHidden/>
    <w:rsid w:val="003C524C"/>
    <w:pPr>
      <w:spacing w:before="0" w:after="0" w:line="240" w:lineRule="auto"/>
      <w:ind w:left="0" w:firstLine="0"/>
    </w:pPr>
    <w:rPr>
      <w:rFonts w:ascii="Optima" w:hAnsi="Optima"/>
      <w:szCs w:val="22"/>
    </w:rPr>
  </w:style>
  <w:style w:type="character" w:styleId="FollowedHyperlink">
    <w:name w:val="FollowedHyperlink"/>
    <w:basedOn w:val="DefaultParagraphFont"/>
    <w:uiPriority w:val="99"/>
    <w:semiHidden/>
    <w:unhideWhenUsed/>
    <w:rsid w:val="003C524C"/>
    <w:rPr>
      <w:color w:val="954F72" w:themeColor="followedHyperlink"/>
      <w:u w:val="single"/>
    </w:rPr>
  </w:style>
  <w:style w:type="paragraph" w:styleId="NormalWeb">
    <w:name w:val="Normal (Web)"/>
    <w:basedOn w:val="Normal"/>
    <w:uiPriority w:val="99"/>
    <w:semiHidden/>
    <w:unhideWhenUsed/>
    <w:rsid w:val="00DE4339"/>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UnresolvedMention1">
    <w:name w:val="Unresolved Mention1"/>
    <w:basedOn w:val="DefaultParagraphFont"/>
    <w:uiPriority w:val="99"/>
    <w:semiHidden/>
    <w:unhideWhenUsed/>
    <w:rsid w:val="00AA3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0098">
      <w:bodyDiv w:val="1"/>
      <w:marLeft w:val="0"/>
      <w:marRight w:val="0"/>
      <w:marTop w:val="0"/>
      <w:marBottom w:val="0"/>
      <w:divBdr>
        <w:top w:val="none" w:sz="0" w:space="0" w:color="auto"/>
        <w:left w:val="none" w:sz="0" w:space="0" w:color="auto"/>
        <w:bottom w:val="none" w:sz="0" w:space="0" w:color="auto"/>
        <w:right w:val="none" w:sz="0" w:space="0" w:color="auto"/>
      </w:divBdr>
    </w:div>
    <w:div w:id="181285756">
      <w:bodyDiv w:val="1"/>
      <w:marLeft w:val="0"/>
      <w:marRight w:val="0"/>
      <w:marTop w:val="0"/>
      <w:marBottom w:val="0"/>
      <w:divBdr>
        <w:top w:val="none" w:sz="0" w:space="0" w:color="auto"/>
        <w:left w:val="none" w:sz="0" w:space="0" w:color="auto"/>
        <w:bottom w:val="none" w:sz="0" w:space="0" w:color="auto"/>
        <w:right w:val="none" w:sz="0" w:space="0" w:color="auto"/>
      </w:divBdr>
    </w:div>
    <w:div w:id="306935075">
      <w:bodyDiv w:val="1"/>
      <w:marLeft w:val="0"/>
      <w:marRight w:val="0"/>
      <w:marTop w:val="0"/>
      <w:marBottom w:val="0"/>
      <w:divBdr>
        <w:top w:val="none" w:sz="0" w:space="0" w:color="auto"/>
        <w:left w:val="none" w:sz="0" w:space="0" w:color="auto"/>
        <w:bottom w:val="none" w:sz="0" w:space="0" w:color="auto"/>
        <w:right w:val="none" w:sz="0" w:space="0" w:color="auto"/>
      </w:divBdr>
    </w:div>
    <w:div w:id="836774289">
      <w:bodyDiv w:val="1"/>
      <w:marLeft w:val="0"/>
      <w:marRight w:val="0"/>
      <w:marTop w:val="0"/>
      <w:marBottom w:val="0"/>
      <w:divBdr>
        <w:top w:val="none" w:sz="0" w:space="0" w:color="auto"/>
        <w:left w:val="none" w:sz="0" w:space="0" w:color="auto"/>
        <w:bottom w:val="none" w:sz="0" w:space="0" w:color="auto"/>
        <w:right w:val="none" w:sz="0" w:space="0" w:color="auto"/>
      </w:divBdr>
    </w:div>
    <w:div w:id="1214080734">
      <w:bodyDiv w:val="1"/>
      <w:marLeft w:val="0"/>
      <w:marRight w:val="0"/>
      <w:marTop w:val="0"/>
      <w:marBottom w:val="0"/>
      <w:divBdr>
        <w:top w:val="none" w:sz="0" w:space="0" w:color="auto"/>
        <w:left w:val="none" w:sz="0" w:space="0" w:color="auto"/>
        <w:bottom w:val="none" w:sz="0" w:space="0" w:color="auto"/>
        <w:right w:val="none" w:sz="0" w:space="0" w:color="auto"/>
      </w:divBdr>
    </w:div>
    <w:div w:id="1515026529">
      <w:bodyDiv w:val="1"/>
      <w:marLeft w:val="0"/>
      <w:marRight w:val="0"/>
      <w:marTop w:val="0"/>
      <w:marBottom w:val="0"/>
      <w:divBdr>
        <w:top w:val="none" w:sz="0" w:space="0" w:color="auto"/>
        <w:left w:val="none" w:sz="0" w:space="0" w:color="auto"/>
        <w:bottom w:val="none" w:sz="0" w:space="0" w:color="auto"/>
        <w:right w:val="none" w:sz="0" w:space="0" w:color="auto"/>
      </w:divBdr>
      <w:divsChild>
        <w:div w:id="1349790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5533877">
      <w:bodyDiv w:val="1"/>
      <w:marLeft w:val="0"/>
      <w:marRight w:val="0"/>
      <w:marTop w:val="0"/>
      <w:marBottom w:val="0"/>
      <w:divBdr>
        <w:top w:val="none" w:sz="0" w:space="0" w:color="auto"/>
        <w:left w:val="none" w:sz="0" w:space="0" w:color="auto"/>
        <w:bottom w:val="none" w:sz="0" w:space="0" w:color="auto"/>
        <w:right w:val="none" w:sz="0" w:space="0" w:color="auto"/>
      </w:divBdr>
    </w:div>
    <w:div w:id="1600483003">
      <w:bodyDiv w:val="1"/>
      <w:marLeft w:val="0"/>
      <w:marRight w:val="0"/>
      <w:marTop w:val="0"/>
      <w:marBottom w:val="0"/>
      <w:divBdr>
        <w:top w:val="none" w:sz="0" w:space="0" w:color="auto"/>
        <w:left w:val="none" w:sz="0" w:space="0" w:color="auto"/>
        <w:bottom w:val="none" w:sz="0" w:space="0" w:color="auto"/>
        <w:right w:val="none" w:sz="0" w:space="0" w:color="auto"/>
      </w:divBdr>
    </w:div>
    <w:div w:id="205175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irishstatutebook.ie/1937/en/act/pub/0030/index.html"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irishstatutebook.ie/1997/en/act/pub/0025/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Docs_SeriesSubSeriesTaxHTField0 xmlns="f6faeed1-01c9-492b-8ffa-bc0a0704e5da">
      <Terms xmlns="http://schemas.microsoft.com/office/infopath/2007/PartnerControls">
        <TermInfo xmlns="http://schemas.microsoft.com/office/infopath/2007/PartnerControls">
          <TermName xmlns="http://schemas.microsoft.com/office/infopath/2007/PartnerControls">020</TermName>
          <TermId xmlns="http://schemas.microsoft.com/office/infopath/2007/PartnerControls">d7f1e50c-b0f6-4950-89a7-ab3340d95277</TermId>
        </TermInfo>
      </Terms>
    </eDocs_SeriesSubSeriesTaxHTField0>
    <eDocs_FileStatus xmlns="http://schemas.microsoft.com/sharepoint/v3">Live</eDocs_FileStatus>
    <eDocs_FileTopicsTaxHTField0 xmlns="f6faeed1-01c9-492b-8ffa-bc0a0704e5da">
      <Terms xmlns="http://schemas.microsoft.com/office/infopath/2007/PartnerControls">
        <TermInfo xmlns="http://schemas.microsoft.com/office/infopath/2007/PartnerControls">
          <TermName xmlns="http://schemas.microsoft.com/office/infopath/2007/PartnerControls">Electoral</TermName>
          <TermId xmlns="http://schemas.microsoft.com/office/infopath/2007/PartnerControls">fc032929-8d74-487b-bbba-561aebac5822</TermId>
        </TermInfo>
      </Terms>
    </eDocs_FileTopicsTaxHTField0>
    <eDocs_FileName xmlns="http://schemas.microsoft.com/sharepoint/v3">HCBSF020-001-2019</eDocs_FileName>
    <eDocs_SecurityClassificationTaxHTField0 xmlns="f6faeed1-01c9-492b-8ffa-bc0a0704e5d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38981149-6ab4-492e-b035-5180b1eb9314</TermId>
        </TermInfo>
      </Terms>
    </eDocs_SecurityClassificationTaxHTField0>
    <TaxCatchAll xmlns="82394b26-80e7-48c7-b0c3-f24fd39e2003">
      <Value>4</Value>
      <Value>3</Value>
      <Value>2</Value>
      <Value>1</Value>
    </TaxCatchAll>
    <_dlc_ExpireDate xmlns="http://schemas.microsoft.com/sharepoint/v3">2022-08-27T12:53:46+00:00</_dlc_ExpireDate>
    <eDocs_YearTaxHTField0 xmlns="f6faeed1-01c9-492b-8ffa-bc0a0704e5da">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f85df9cd-0f6d-4155-bbd7-ff49d91ec728</TermId>
        </TermInfo>
      </Terms>
    </eDocs_YearTaxHTField0>
    <eDocs_DocumentTopicsTaxHTField0 xmlns="f6faeed1-01c9-492b-8ffa-bc0a0704e5da">
      <Terms xmlns="http://schemas.microsoft.com/office/infopath/2007/PartnerControls"/>
    </eDocs_DocumentTopicsTaxHTField0>
    <_dlc_ExpireDateSaved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2955122d-09ac-4812-a555-651893443ade">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ct:contentTypeSchema xmlns:ct="http://schemas.microsoft.com/office/2006/metadata/contentType" xmlns:ma="http://schemas.microsoft.com/office/2006/metadata/properties/metaAttributes" ct:_="" ma:_="" ma:contentTypeName="eDocument" ma:contentTypeID="0x0101000BC94875665D404BB1351B53C41FD2C0002871DF098B3B884F8936841456A60423" ma:contentTypeVersion="12" ma:contentTypeDescription="Create a new document for eDocs" ma:contentTypeScope="" ma:versionID="e1b1e8c3030c62f728c2e8ef7f4643d3">
  <xsd:schema xmlns:xsd="http://www.w3.org/2001/XMLSchema" xmlns:xs="http://www.w3.org/2001/XMLSchema" xmlns:p="http://schemas.microsoft.com/office/2006/metadata/properties" xmlns:ns1="http://schemas.microsoft.com/sharepoint/v3" xmlns:ns2="f6faeed1-01c9-492b-8ffa-bc0a0704e5da" xmlns:ns3="82394b26-80e7-48c7-b0c3-f24fd39e2003" targetNamespace="http://schemas.microsoft.com/office/2006/metadata/properties" ma:root="true" ma:fieldsID="8a5aedf496b703bfc60b2db019a59765" ns1:_="" ns2:_="" ns3:_="">
    <xsd:import namespace="http://schemas.microsoft.com/sharepoint/v3"/>
    <xsd:import namespace="f6faeed1-01c9-492b-8ffa-bc0a0704e5da"/>
    <xsd:import namespace="82394b26-80e7-48c7-b0c3-f24fd39e2003"/>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f6faeed1-01c9-492b-8ffa-bc0a0704e5da"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22527149-431e-4844-bdbf-45755dee181b" ma:termSetId="4dc6ce17-1441-4d6f-af7a-c7350b4eb356"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22527149-431e-4844-bdbf-45755dee181b" ma:termSetId="a141ecdb-69bf-443d-877c-333310d4d291"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fieldId="{602c691f-3efa-402d-ab5c-baa8c240a9e7}"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38981149-6ab4-492e-b035-5180b1eb9314" ma:fieldId="{6bbd3faf-a5ab-4e5e-b8a6-a5e099cef439}" ma:sspId="22527149-431e-4844-bdbf-45755dee181b" ma:termSetId="6cdf0fdf-130e-4222-9bb4-058e957460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394b26-80e7-48c7-b0c3-f24fd39e20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12a85d-b86c-4b1e-a8af-ae026cd1b02f}" ma:internalName="TaxCatchAll" ma:showField="CatchAllData" ma:web="82394b26-80e7-48c7-b0c3-f24fd39e20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D36FAC-95F1-4744-8EED-85006D986742}">
  <ds:schemaRefs>
    <ds:schemaRef ds:uri="http://schemas.microsoft.com/office/2006/documentManagement/types"/>
    <ds:schemaRef ds:uri="82394b26-80e7-48c7-b0c3-f24fd39e2003"/>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infopath/2007/PartnerControls"/>
    <ds:schemaRef ds:uri="f6faeed1-01c9-492b-8ffa-bc0a0704e5da"/>
    <ds:schemaRef ds:uri="http://www.w3.org/XML/1998/namespace"/>
    <ds:schemaRef ds:uri="http://purl.org/dc/dcmitype/"/>
  </ds:schemaRefs>
</ds:datastoreItem>
</file>

<file path=customXml/itemProps2.xml><?xml version="1.0" encoding="utf-8"?>
<ds:datastoreItem xmlns:ds="http://schemas.openxmlformats.org/officeDocument/2006/customXml" ds:itemID="{2C041737-52B3-44C0-A0E5-81B558F92916}">
  <ds:schemaRefs>
    <ds:schemaRef ds:uri="http://schemas.microsoft.com/sharepoint/v3/contenttype/forms"/>
  </ds:schemaRefs>
</ds:datastoreItem>
</file>

<file path=customXml/itemProps3.xml><?xml version="1.0" encoding="utf-8"?>
<ds:datastoreItem xmlns:ds="http://schemas.openxmlformats.org/officeDocument/2006/customXml" ds:itemID="{21C41579-DB0D-4843-B5ED-F622776539AB}">
  <ds:schemaRefs>
    <ds:schemaRef ds:uri="office.server.policy"/>
  </ds:schemaRefs>
</ds:datastoreItem>
</file>

<file path=customXml/itemProps4.xml><?xml version="1.0" encoding="utf-8"?>
<ds:datastoreItem xmlns:ds="http://schemas.openxmlformats.org/officeDocument/2006/customXml" ds:itemID="{7688F679-1B3B-4DC2-81F7-47C637D3227F}">
  <ds:schemaRefs>
    <ds:schemaRef ds:uri="http://schemas.openxmlformats.org/officeDocument/2006/bibliography"/>
  </ds:schemaRefs>
</ds:datastoreItem>
</file>

<file path=customXml/itemProps5.xml><?xml version="1.0" encoding="utf-8"?>
<ds:datastoreItem xmlns:ds="http://schemas.openxmlformats.org/officeDocument/2006/customXml" ds:itemID="{D84D6730-33E1-4B4F-8EE1-244CD2098769}">
  <ds:schemaRefs>
    <ds:schemaRef ds:uri="http://schemas.microsoft.com/sharepoint/events"/>
  </ds:schemaRefs>
</ds:datastoreItem>
</file>

<file path=customXml/itemProps6.xml><?xml version="1.0" encoding="utf-8"?>
<ds:datastoreItem xmlns:ds="http://schemas.openxmlformats.org/officeDocument/2006/customXml" ds:itemID="{CB7377BD-E20A-41A1-B993-EE7EE9878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faeed1-01c9-492b-8ffa-bc0a0704e5da"/>
    <ds:schemaRef ds:uri="82394b26-80e7-48c7-b0c3-f24fd39e20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31</Pages>
  <Words>8376</Words>
  <Characters>47748</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Fennelly BL</dc:creator>
  <cp:keywords/>
  <dc:description/>
  <cp:lastModifiedBy>Liana Brili</cp:lastModifiedBy>
  <cp:revision>4</cp:revision>
  <dcterms:created xsi:type="dcterms:W3CDTF">2022-05-27T12:53:00Z</dcterms:created>
  <dcterms:modified xsi:type="dcterms:W3CDTF">2022-06-15T09:49:00Z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curityClassification">
    <vt:lpwstr>1;#Unclassified|38981149-6ab4-492e-b035-5180b1eb9314</vt:lpwstr>
  </property>
  <property fmtid="{D5CDD505-2E9C-101B-9397-08002B2CF9AE}" pid="3" name="_dlc_policyId">
    <vt:lpwstr>0x0101000BC94875665D404BB1351B53C41FD2C0|151133126</vt:lpwstr>
  </property>
  <property fmtid="{D5CDD505-2E9C-101B-9397-08002B2CF9AE}" pid="4" name="eDocs_Year">
    <vt:lpwstr>3;#2019|f85df9cd-0f6d-4155-bbd7-ff49d91ec728</vt:lpwstr>
  </property>
  <property fmtid="{D5CDD505-2E9C-101B-9397-08002B2CF9AE}" pid="5" name="ContentTypeId">
    <vt:lpwstr>0x0101000BC94875665D404BB1351B53C41FD2C0002871DF098B3B884F8936841456A60423</vt:lpwstr>
  </property>
  <property fmtid="{D5CDD505-2E9C-101B-9397-08002B2CF9AE}" pid="6" name="eDocs_SeriesSubSeries">
    <vt:lpwstr>4;#020|d7f1e50c-b0f6-4950-89a7-ab3340d95277</vt:lpwstr>
  </property>
  <property fmtid="{D5CDD505-2E9C-101B-9397-08002B2CF9AE}" pid="7" name="eDocs_FileTopics">
    <vt:lpwstr>2;#Electoral|fc032929-8d74-487b-bbba-561aebac5822</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eDocs_DocumentTopics">
    <vt:lpwstr/>
  </property>
</Properties>
</file>