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hAnsi="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CA20B5" w:rsidRDefault="009E72B8">
      <w:pPr>
        <w:spacing w:after="0" w:line="239" w:lineRule="auto"/>
        <w:ind w:left="504" w:right="497" w:firstLine="0"/>
        <w:jc w:val="center"/>
        <w:rPr>
          <w:sz w:val="84"/>
          <w:szCs w:val="84"/>
        </w:rPr>
      </w:pPr>
      <w:r>
        <w:rPr>
          <w:rFonts w:ascii="Palace Script MT" w:hAnsi="Palace Script MT"/>
          <w:i/>
          <w:color w:val="0000FF"/>
          <w:sz w:val="84"/>
        </w:rPr>
        <w:t xml:space="preserve">Ministeren for økologisk omstilling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rPr>
        <w:t>UNDER HENVISNING TIL</w:t>
      </w:r>
      <w:r>
        <w:rPr>
          <w:b/>
        </w:rPr>
        <w:tab/>
      </w:r>
      <w:r>
        <w:t xml:space="preserve">artikel 17, stk. 3, i lov nr. 400 af 23. august 1988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rPr>
        <w:t>UNDER HENVISNING TIL</w:t>
      </w:r>
      <w:r>
        <w:rPr>
          <w:b/>
        </w:rPr>
        <w:tab/>
      </w:r>
      <w:r>
        <w:t xml:space="preserve">artikel 184b i lovdekret nr. 152 af 3. april 2006, og navnlig stk. 2, der fastslår, at "kriterierne i stk. 1 vedtages i overensstemmelse med bestemmelserne i EU-reglerne eller, hvis der ikke findes EU-kriterier, fra sag til sag for bestemte affaldstyper ved hjælp af et eller flere dekreter fra ministeren for miljø og beskyttelse af land og hav i henhold til artikel 17, stk. 3, i lov nr. 400 af 23. august 1988"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rPr>
        <w:t>UNDER HENVISNING TIL</w:t>
      </w:r>
      <w:r>
        <w:rPr>
          <w:b/>
        </w:rPr>
        <w:tab/>
      </w:r>
      <w:r>
        <w:t xml:space="preserve">Europa-Parlamentets og Rådets direktiv 2008/98/EF af 19. november 2008, særlig artikel 11, stk. 1, der bl.a. fastslår, at medlemsstaterne skal træffe foranstaltninger til at fremme selektiv nedrivning for at muliggøre sikker fjernelse og behandling af farlige stoffer og fremme genbrug og genanvendelse af høj kvalitet ved selektiv fjernelse af materialer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rPr>
        <w:t>UNDER HENVISNING TIL</w:t>
      </w:r>
      <w:r>
        <w:tab/>
        <w:t>Europa-Parlamentets og Rådets forordning (EF) nr. 1907/2006 af 18. december 2006 om registrering, vurdering og godkendelse af samt begrænsninger for kemikalier (REACH), om oprettelse af et europæisk kemikalieagentur og om ændring af direktiv 1999/45/EF og ophævelse af Rådets forordning (EØF) nr. 793/93 og Kommissionens forordning (EF) nr. 1488/94 samt Rådets direktiv 76/769/EØF og Kommissionens direktiv 91/155/EØF, 93/67/EØF, 93/105/EF og 2000/21/EF</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rPr>
        <w:t>UNDER HENVISNING TIL</w:t>
      </w:r>
      <w:r>
        <w:tab/>
        <w:t>Europa-Parlamentets og Rådets forordning (EF) nr. 1221/2009 af 25. november 2009 om organisationers frivillige deltagelse i en fællesskabsordning for miljøledelse og miljørevision (EMAS) og om ophævelse af forordning (EF) nr. 761/2001 og Kommissionens beslutning 2001/681/EF og 2006/193/EF</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rPr>
        <w:t>UNDER HENVISNING TIL</w:t>
      </w:r>
      <w:r>
        <w:tab/>
        <w:t>lovdekret nr. 82 af 7. marts 2005 om "lov om digital forvaltning"</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rPr>
        <w:t>UNDER HENVISNING TIL</w:t>
      </w:r>
      <w:r>
        <w:tab/>
        <w:t>præsidentielt dekret nr. 445 af 28. december 2000 om en "konsolideret tekst om love og administrative bestemmelser vedrørende administrativ dokumentation"</w:t>
      </w:r>
      <w:r>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Pr>
          <w:b/>
        </w:rPr>
        <w:t>UNDER HENVISNING TIL</w:t>
      </w:r>
      <w:r>
        <w:tab/>
        <w:t>miljøministerens dekret af 5. februar 1998 om identifikation af ikke-farligt affald, der er omfattet af forenklede nyttiggørelsesprocedurer i henhold til artikel 31 og 33 i lovdekret nr. 22 af 5. februar 1997, offentliggjort i Republikkens Italiens statstidende nr. 88 af 16. april 1998</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rPr>
        <w:t>I BETRAGTNING AF,</w:t>
      </w:r>
      <w:r>
        <w:tab/>
        <w:t xml:space="preserve">at der er et marked for det genvundne granulat, fordi det er almindeligt anvendt til opførelse af anlægsarbejder, erstatter det naturlige råmateriale og har en reel økonomisk værdi, at der er specifikke formål, som stoffet kan anvendes til i overensstemmelse med kriterierne i denne forordning, og at det er i overensstemmelse med lovgivningen og de eksisterende </w:t>
      </w:r>
      <w:r>
        <w:rPr>
          <w:i/>
        </w:rPr>
        <w:t>standarder</w:t>
      </w:r>
      <w:r>
        <w:t>, der er gældende for produkterne</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rPr>
        <w:t>I BETRAGTNING AF,</w:t>
      </w:r>
      <w:r>
        <w:tab/>
        <w:t>at den gennemførte undersøgelse viste, at det genvundne granulat, som opfylder kriterierne i denne forordning, ikke har en generel negativ indvirkning på menneskers sundhed eller miljøet</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Pr>
          <w:b/>
        </w:rPr>
        <w:t>EFTER HØRING</w:t>
      </w:r>
      <w:r>
        <w:tab/>
        <w:t xml:space="preserve">af statsrådet som fremlagt af rådgivningsafdelingen for retlige bestemmelser på mødet den……………………. </w:t>
      </w:r>
    </w:p>
    <w:p w14:paraId="39951851" w14:textId="77777777" w:rsidR="000B2060" w:rsidRDefault="009E72B8">
      <w:pPr>
        <w:spacing w:after="17" w:line="259" w:lineRule="auto"/>
        <w:ind w:left="0" w:firstLine="0"/>
        <w:jc w:val="left"/>
      </w:pPr>
      <w:r>
        <w:t xml:space="preserve"> </w:t>
      </w:r>
    </w:p>
    <w:p w14:paraId="27D2B125" w14:textId="557CEF28" w:rsidR="000B2060" w:rsidRDefault="009E72B8">
      <w:pPr>
        <w:ind w:left="1970" w:right="51" w:hanging="1985"/>
      </w:pPr>
      <w:r>
        <w:rPr>
          <w:b/>
        </w:rPr>
        <w:t>UNDER HENVISNING TIL</w:t>
      </w:r>
      <w:r>
        <w:rPr>
          <w:b/>
        </w:rPr>
        <w:tab/>
      </w:r>
      <w:r>
        <w:t xml:space="preserve">meddelelsen til formanden for ministerrådet, udarbejdet med bemærkning ……., i henhold til lov nr. 400 af 23. august 1988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bCs/>
        </w:rPr>
        <w:t>UNDER HENVISNING TIL</w:t>
      </w:r>
      <w:r>
        <w:tab/>
        <w:t xml:space="preserve">meddelelsen omhandlet i artikel 5 i direktiv (EU) 2015/1535 om en informationsprocedure med hensyn til tekniske forskrifter samt forskrifter for informationssamfundets tjenester med note ….. </w:t>
      </w:r>
    </w:p>
    <w:p w14:paraId="283A61EC" w14:textId="77777777" w:rsidR="000B2060" w:rsidRDefault="009E72B8">
      <w:pPr>
        <w:spacing w:after="16" w:line="259" w:lineRule="auto"/>
        <w:ind w:left="0" w:firstLine="0"/>
        <w:jc w:val="left"/>
      </w:pPr>
      <w:r>
        <w:rPr>
          <w:i/>
        </w:rPr>
        <w:t xml:space="preserve"> </w:t>
      </w:r>
    </w:p>
    <w:p w14:paraId="62CB551A" w14:textId="77777777"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t xml:space="preserve">vedtages hermed  </w:t>
      </w:r>
    </w:p>
    <w:p w14:paraId="09CAE138" w14:textId="77777777" w:rsidR="000B2060" w:rsidRDefault="009E72B8">
      <w:pPr>
        <w:spacing w:after="17" w:line="259" w:lineRule="auto"/>
        <w:ind w:left="10" w:right="63"/>
        <w:jc w:val="center"/>
      </w:pPr>
      <w:r>
        <w:t xml:space="preserve">følgende forordning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Heading1"/>
        <w:spacing w:after="120"/>
        <w:ind w:left="11" w:right="62" w:hanging="11"/>
        <w:rPr>
          <w:b w:val="0"/>
        </w:rPr>
      </w:pPr>
      <w:r>
        <w:rPr>
          <w:b w:val="0"/>
        </w:rPr>
        <w:t xml:space="preserve">Artikel 1 </w:t>
      </w:r>
    </w:p>
    <w:p w14:paraId="685448BB" w14:textId="4EFAB624" w:rsidR="000B2060" w:rsidRPr="005428D2" w:rsidRDefault="009E72B8" w:rsidP="00F51F5E">
      <w:pPr>
        <w:pStyle w:val="Heading1"/>
        <w:spacing w:after="120"/>
        <w:ind w:left="11" w:right="62" w:hanging="11"/>
        <w:rPr>
          <w:b w:val="0"/>
          <w:i/>
        </w:rPr>
      </w:pPr>
      <w:r>
        <w:rPr>
          <w:b w:val="0"/>
          <w:i/>
        </w:rPr>
        <w:t xml:space="preserve">Formål og målsætninger  </w:t>
      </w:r>
    </w:p>
    <w:p w14:paraId="6C6266C2" w14:textId="739B618E" w:rsidR="000B2060" w:rsidRDefault="008647FF" w:rsidP="00CA20B5">
      <w:pPr>
        <w:pStyle w:val="ListParagraph"/>
        <w:numPr>
          <w:ilvl w:val="0"/>
          <w:numId w:val="34"/>
        </w:numPr>
        <w:spacing w:after="60" w:line="266" w:lineRule="auto"/>
        <w:ind w:left="363" w:right="51" w:hanging="11"/>
        <w:contextualSpacing w:val="0"/>
      </w:pPr>
      <w:r>
        <w:t>Denne forordning fastsætter de specifikke kriterier for, hvornår inert affald fra bygnings- og nedrivningsaktiviteter og andet inert affald af mineralsk oprindelse som defineret i denne forordnings artikel 2, stk. 1, litra a) og b), med forbehold af nyttiggørelsesoperationer ophører med at blive klassificeret som affald i henhold til og med henblik på artikel 184b i lovdekret nr. 152 af 3. april 2006.</w:t>
      </w:r>
    </w:p>
    <w:p w14:paraId="560EC6B2" w14:textId="77777777" w:rsidR="008647FF" w:rsidRDefault="008647FF" w:rsidP="00F51F5E">
      <w:pPr>
        <w:pStyle w:val="Heading1"/>
        <w:spacing w:after="120"/>
        <w:ind w:left="11" w:right="62" w:hanging="11"/>
      </w:pPr>
    </w:p>
    <w:p w14:paraId="17CC0501" w14:textId="77777777" w:rsidR="00607D0C" w:rsidRPr="00607D0C" w:rsidRDefault="009E72B8" w:rsidP="00F51F5E">
      <w:pPr>
        <w:pStyle w:val="Heading1"/>
        <w:spacing w:after="120"/>
        <w:ind w:left="11" w:right="62" w:hanging="11"/>
        <w:rPr>
          <w:b w:val="0"/>
        </w:rPr>
      </w:pPr>
      <w:r>
        <w:rPr>
          <w:b w:val="0"/>
        </w:rPr>
        <w:t xml:space="preserve">Artikel 2 </w:t>
      </w:r>
    </w:p>
    <w:p w14:paraId="160D19CA" w14:textId="6C79CD75" w:rsidR="000B2060" w:rsidRPr="00607D0C" w:rsidRDefault="009E72B8" w:rsidP="00F51F5E">
      <w:pPr>
        <w:pStyle w:val="Heading1"/>
        <w:spacing w:after="120"/>
        <w:ind w:left="11" w:right="62" w:hanging="11"/>
        <w:rPr>
          <w:b w:val="0"/>
          <w:i/>
        </w:rPr>
      </w:pPr>
      <w:r>
        <w:rPr>
          <w:b w:val="0"/>
          <w:i/>
        </w:rPr>
        <w:t xml:space="preserve">Definitioner </w:t>
      </w:r>
    </w:p>
    <w:p w14:paraId="0E8DB7DF" w14:textId="6AD3A87B" w:rsidR="008647FF" w:rsidRPr="00607D0C" w:rsidRDefault="008647FF" w:rsidP="00CA20B5">
      <w:pPr>
        <w:pStyle w:val="ListParagraph"/>
        <w:numPr>
          <w:ilvl w:val="0"/>
          <w:numId w:val="39"/>
        </w:numPr>
        <w:spacing w:after="60" w:line="266" w:lineRule="auto"/>
        <w:ind w:right="51"/>
        <w:contextualSpacing w:val="0"/>
      </w:pPr>
      <w:r>
        <w:t>For så vidt angår denne forordning finder definitionerne i artikel 183 i lovdekret nr. 152 af 3. april 2006 anvendelse samt følgende:</w:t>
      </w:r>
    </w:p>
    <w:p w14:paraId="6DD3AD7E" w14:textId="19D52C13" w:rsidR="008647FF" w:rsidRPr="00CA20B5" w:rsidRDefault="008647FF" w:rsidP="005211CB">
      <w:pPr>
        <w:ind w:left="851" w:hanging="284"/>
        <w:rPr>
          <w:color w:val="000000" w:themeColor="text1"/>
        </w:rPr>
      </w:pPr>
      <w:r>
        <w:rPr>
          <w:rFonts w:ascii="Baskerville Old Face" w:hAnsi="Baskerville Old Face"/>
          <w:color w:val="000000" w:themeColor="text1"/>
        </w:rPr>
        <w:lastRenderedPageBreak/>
        <w:t xml:space="preserve">a) </w:t>
      </w:r>
      <w:r>
        <w:rPr>
          <w:color w:val="000000" w:themeColor="text1"/>
        </w:rPr>
        <w:t>”inert affald fra bygnings- og nedrivningsaktiviteter”: affald fra bygnings- og nedrivningsoperationer, der er anført i kapitel 17 i den europæiske affaldsliste, der er omhandlet i beslutning 2000/532/EF, og som er opført i tabel 1, punkt 1, i bilag 1 til denne forordning</w:t>
      </w:r>
    </w:p>
    <w:p w14:paraId="6CB39F8D" w14:textId="3ED766B8" w:rsidR="008647FF" w:rsidRPr="00CA20B5" w:rsidRDefault="008647FF" w:rsidP="005211CB">
      <w:pPr>
        <w:ind w:left="851" w:hanging="284"/>
        <w:rPr>
          <w:color w:val="000000" w:themeColor="text1"/>
        </w:rPr>
      </w:pPr>
      <w:r>
        <w:rPr>
          <w:color w:val="000000" w:themeColor="text1"/>
        </w:rPr>
        <w:t>b) "andet inert affald af mineralsk oprindelse": affald, der ikke henhører under kapitel 17 i den europæiske affaldsliste, der er omhandlet i beslutning 2000/532/EF, og som er opført i tabel 1, punkt 2, i bilag 1 til denne forordning</w:t>
      </w:r>
    </w:p>
    <w:p w14:paraId="41FCC9E7" w14:textId="77777777" w:rsidR="008647FF" w:rsidRPr="00CA20B5" w:rsidRDefault="008647FF" w:rsidP="005211CB">
      <w:pPr>
        <w:ind w:left="851" w:hanging="284"/>
        <w:rPr>
          <w:color w:val="000000" w:themeColor="text1"/>
        </w:rPr>
      </w:pPr>
      <w:r>
        <w:rPr>
          <w:color w:val="000000" w:themeColor="text1"/>
        </w:rPr>
        <w:t>c) "inert affald": fast affald fra bygnings- og nedrivningsaktiviteter og andet inert affald af mineralsk oprindelse, som ikke undergår nogen væsentlig fysisk, kemisk eller biologisk omdannelse inert affald må ikke opløses, brændes eller udsættes for andre fysiske eller kemiske reaktioner, må ikke være bionedbrydeligt og må i tilfælde af kontakt med andre materialer ikke medføre skadelige virkninger, der kan forårsage miljøforurening eller skade på menneskers sundhed.</w:t>
      </w:r>
    </w:p>
    <w:p w14:paraId="19DA6921" w14:textId="77777777" w:rsidR="008647FF" w:rsidRPr="00CA20B5" w:rsidRDefault="008647FF" w:rsidP="005211CB">
      <w:pPr>
        <w:ind w:left="851" w:hanging="284"/>
        <w:rPr>
          <w:color w:val="auto"/>
        </w:rPr>
      </w:pPr>
      <w:r>
        <w:t>d) "genvundet granulat"; affald som omhandlet i litra a) og b), som er ophørt med at være affald som følge af en eller flere nyttiggørelsesoperationer i overensstemmelse med artikel 184b, stk. 1, i lovdekret nr. 152 af 3. april 2006 og bestemmelserne i dette dekret</w:t>
      </w:r>
    </w:p>
    <w:p w14:paraId="6AFFD208" w14:textId="77777777" w:rsidR="008647FF" w:rsidRPr="00CA20B5" w:rsidRDefault="008647FF" w:rsidP="005211CB">
      <w:pPr>
        <w:ind w:left="851" w:hanging="284"/>
      </w:pPr>
      <w:r>
        <w:t>e) "parti genvundet granulat": højst 3 000 m³ genvundet granulat</w:t>
      </w:r>
    </w:p>
    <w:p w14:paraId="73295BD6" w14:textId="77777777" w:rsidR="008647FF" w:rsidRPr="00CA20B5" w:rsidRDefault="008647FF" w:rsidP="005211CB">
      <w:pPr>
        <w:ind w:left="851" w:hanging="284"/>
      </w:pPr>
      <w:r>
        <w:t>f) "producent af genvundet granulat": driftslederen af det anlæg, der er godkendt til produktion af genvundet granulat (i det følgende benævnt: producent)</w:t>
      </w:r>
    </w:p>
    <w:p w14:paraId="14B52658" w14:textId="77777777" w:rsidR="008647FF" w:rsidRPr="00CA20B5" w:rsidRDefault="008647FF" w:rsidP="005211CB">
      <w:pPr>
        <w:ind w:left="851" w:hanging="284"/>
      </w:pPr>
      <w:r>
        <w:t>g) "overensstemmelseserklæring": erklæring i stedet for en beediget erklæring udstedt af producenten, der attesterer de i artikel 5 omhandlede egenskaber ved det genvundne granulat</w:t>
      </w:r>
    </w:p>
    <w:p w14:paraId="5542E487" w14:textId="048CAC5A" w:rsidR="008647FF" w:rsidRPr="00CA20B5" w:rsidRDefault="008647FF" w:rsidP="005211CB">
      <w:pPr>
        <w:ind w:left="851" w:hanging="284"/>
      </w:pPr>
      <w:r>
        <w:t>h) "kompetent myndighed": myndigheden, der udsteder autorisationen i henhold til afsnit IIIa i del II eller afsnit I, kapitel IV, i del IV i lovdekret nr. 152 af 3. april 2006, dvs. myndigheden, der modtager meddelelsen omhandlet i artikel 216 i det pågældende dekret.</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Heading1"/>
        <w:spacing w:after="120"/>
        <w:ind w:left="11" w:right="62" w:hanging="11"/>
        <w:rPr>
          <w:b w:val="0"/>
        </w:rPr>
      </w:pPr>
      <w:r>
        <w:rPr>
          <w:b w:val="0"/>
        </w:rPr>
        <w:t xml:space="preserve">Artikel 3 </w:t>
      </w:r>
    </w:p>
    <w:p w14:paraId="147552D8" w14:textId="688C6A32" w:rsidR="000B2060" w:rsidRPr="00607D0C" w:rsidRDefault="009E72B8" w:rsidP="00F51F5E">
      <w:pPr>
        <w:pStyle w:val="Heading1"/>
        <w:spacing w:after="120"/>
        <w:ind w:left="11" w:right="62" w:hanging="11"/>
        <w:rPr>
          <w:b w:val="0"/>
          <w:i/>
        </w:rPr>
      </w:pPr>
      <w:r>
        <w:rPr>
          <w:b w:val="0"/>
          <w:i/>
        </w:rPr>
        <w:t xml:space="preserve">Kriterier for affaldsfasens ophør  </w:t>
      </w:r>
    </w:p>
    <w:p w14:paraId="73F7D280" w14:textId="12E55F31" w:rsidR="000B2060" w:rsidRDefault="009E72B8" w:rsidP="00CA20B5">
      <w:pPr>
        <w:pStyle w:val="ListParagraph"/>
        <w:numPr>
          <w:ilvl w:val="0"/>
          <w:numId w:val="40"/>
        </w:numPr>
        <w:spacing w:after="12" w:line="267" w:lineRule="auto"/>
        <w:ind w:right="51"/>
      </w:pPr>
      <w:r>
        <w:t xml:space="preserve">Med henblik på artikel 1 og i henhold til artikel 184b i lovdekret nr. 152 af 3. april 2006 ophører inert affald fra bygnings- og nedrivningsaktiviteter og andet inert affald af mineralsk oprindelse som defineret i artikel 2, litra a) og b), med at blive klassificeret som affald og klassificeres som et genvundet granulat, hvis </w:t>
      </w:r>
      <w:r>
        <w:rPr>
          <w:color w:val="auto"/>
        </w:rPr>
        <w:t xml:space="preserve">det samme opfylder kriterierne i </w:t>
      </w:r>
      <w:r>
        <w:t xml:space="preserve">bilag 1.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Heading1"/>
        <w:spacing w:after="120"/>
        <w:ind w:left="11" w:right="62" w:hanging="11"/>
        <w:rPr>
          <w:b w:val="0"/>
        </w:rPr>
      </w:pPr>
      <w:r>
        <w:rPr>
          <w:b w:val="0"/>
        </w:rPr>
        <w:t xml:space="preserve">Artikel 4 </w:t>
      </w:r>
    </w:p>
    <w:p w14:paraId="6DB7C9A8" w14:textId="1626EFD9" w:rsidR="000B2060" w:rsidRPr="008610D3" w:rsidRDefault="009E72B8" w:rsidP="00F51F5E">
      <w:pPr>
        <w:pStyle w:val="Heading1"/>
        <w:spacing w:after="120"/>
        <w:ind w:left="11" w:right="62" w:hanging="11"/>
        <w:rPr>
          <w:b w:val="0"/>
          <w:i/>
        </w:rPr>
      </w:pPr>
      <w:r>
        <w:rPr>
          <w:b w:val="0"/>
          <w:i/>
        </w:rPr>
        <w:t xml:space="preserve">Bestemte anvendelser </w:t>
      </w:r>
    </w:p>
    <w:p w14:paraId="0D851D94" w14:textId="66DC1D1D" w:rsidR="000B2060" w:rsidRDefault="009E72B8" w:rsidP="00CA20B5">
      <w:pPr>
        <w:pStyle w:val="ListParagraph"/>
        <w:numPr>
          <w:ilvl w:val="0"/>
          <w:numId w:val="41"/>
        </w:numPr>
        <w:spacing w:after="12" w:line="267" w:lineRule="auto"/>
        <w:ind w:right="51"/>
      </w:pPr>
      <w:r>
        <w:t xml:space="preserve">De genvundne granulater kan kun anvendes til de specifikke formål, der er anført i bilag 2.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Heading1"/>
        <w:spacing w:after="120"/>
        <w:ind w:left="11" w:right="62" w:hanging="11"/>
        <w:rPr>
          <w:b w:val="0"/>
        </w:rPr>
      </w:pPr>
      <w:r>
        <w:rPr>
          <w:b w:val="0"/>
        </w:rPr>
        <w:t xml:space="preserve">Artikel 5 </w:t>
      </w:r>
    </w:p>
    <w:p w14:paraId="2A0C2A18" w14:textId="26FCCECD" w:rsidR="000B2060" w:rsidRPr="008610D3" w:rsidRDefault="009E72B8" w:rsidP="00F51F5E">
      <w:pPr>
        <w:pStyle w:val="Heading1"/>
        <w:spacing w:after="120"/>
        <w:ind w:left="11" w:right="62" w:hanging="11"/>
        <w:rPr>
          <w:i/>
        </w:rPr>
      </w:pPr>
      <w:r>
        <w:rPr>
          <w:b w:val="0"/>
          <w:i/>
        </w:rPr>
        <w:t xml:space="preserve">Overensstemmelseserklæring og foranstaltninger til opbevaring af prøver </w:t>
      </w:r>
    </w:p>
    <w:p w14:paraId="2FB7AF9D" w14:textId="6C743069" w:rsidR="000B2060" w:rsidRDefault="009E72B8" w:rsidP="00CA20B5">
      <w:pPr>
        <w:pStyle w:val="ListParagraph"/>
        <w:numPr>
          <w:ilvl w:val="0"/>
          <w:numId w:val="42"/>
        </w:numPr>
        <w:spacing w:after="12" w:line="267" w:lineRule="auto"/>
        <w:ind w:right="51"/>
      </w:pPr>
      <w:r>
        <w:t xml:space="preserve">Producenten af det genvundne granulat attesterer, at kriterierne i artikel 3 er opfyldt, ved en erklæring i stedet for erklæringen i henhold til artikel 47 i det præsidentielle dekret nr. 445 af 28. december 2000, der er udarbejdet for hvert parti genvundet granulat, som er produceret. Erklæringen skal udarbejdes ved brug af formularen i bilag 3 og sendes til den kompetente </w:t>
      </w:r>
      <w:r>
        <w:lastRenderedPageBreak/>
        <w:t xml:space="preserve">myndighed og det lokale kompetente agentur for miljøbeskyttelse ved brug af en af metoderne omhandlet i artikel 65 i lovdekret nr. 82 af 7. marts 2005. </w:t>
      </w:r>
    </w:p>
    <w:p w14:paraId="34D8EC28" w14:textId="599778F9" w:rsidR="000B2060" w:rsidRDefault="009E72B8" w:rsidP="00CA20B5">
      <w:pPr>
        <w:pStyle w:val="ListParagraph"/>
        <w:numPr>
          <w:ilvl w:val="0"/>
          <w:numId w:val="40"/>
        </w:numPr>
        <w:ind w:right="51"/>
      </w:pPr>
      <w:r>
        <w:t xml:space="preserve">Producenten af det genvundne granulat opbevarer en kopi af den i stk. 1 omhandlede anmeldelse på produktionsanlægget eller dennes hjemsted, herunder i elektronisk form, og stiller den til rådighed for de kontrolmyndigheder, der anmoder herom.  </w:t>
      </w:r>
    </w:p>
    <w:p w14:paraId="00E8975F" w14:textId="26A2EED6" w:rsidR="000B2060" w:rsidRDefault="005211CB" w:rsidP="00CA20B5">
      <w:pPr>
        <w:pStyle w:val="ListParagraph"/>
        <w:numPr>
          <w:ilvl w:val="0"/>
          <w:numId w:val="40"/>
        </w:numPr>
        <w:ind w:right="51"/>
      </w:pPr>
      <w:r>
        <w:t xml:space="preserve">For at opfylde kriterierne i artikel 3 skal producenten af det genvundne granulat i fem år på produktionsanlægget eller på sit vedtægtsmæssige hjemsted opbevare en prøve af genvundet granulat udtaget ved afslutningen af produktionsprocessen for hvert parti genvundet granulat i overensstemmelse med UNI 10802. Opbevaringsmetoden for prøven skal sikre, at det genvundne granulats kemiske og fysiske egenskaber ikke ændres, og at de er egnede til at gentage analyserne.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Heading1"/>
        <w:spacing w:after="120"/>
        <w:ind w:left="11" w:right="62" w:hanging="11"/>
        <w:rPr>
          <w:b w:val="0"/>
        </w:rPr>
      </w:pPr>
      <w:r>
        <w:rPr>
          <w:b w:val="0"/>
        </w:rPr>
        <w:t xml:space="preserve">Artikel 6 </w:t>
      </w:r>
    </w:p>
    <w:p w14:paraId="0ADCBA18" w14:textId="61BFB2AB" w:rsidR="000B2060" w:rsidRPr="008610D3" w:rsidRDefault="009E72B8" w:rsidP="007B53AC">
      <w:pPr>
        <w:pStyle w:val="Heading1"/>
        <w:spacing w:after="120"/>
        <w:ind w:left="11" w:right="62" w:hanging="11"/>
        <w:rPr>
          <w:b w:val="0"/>
          <w:i/>
        </w:rPr>
      </w:pPr>
      <w:r>
        <w:rPr>
          <w:b w:val="0"/>
          <w:i/>
        </w:rPr>
        <w:t xml:space="preserve">Styringssystem  </w:t>
      </w:r>
    </w:p>
    <w:p w14:paraId="0DD1A645" w14:textId="3688D537" w:rsidR="000B2060" w:rsidRPr="00CA20B5" w:rsidRDefault="005211CB" w:rsidP="00CA20B5">
      <w:pPr>
        <w:pStyle w:val="ListParagraph"/>
        <w:numPr>
          <w:ilvl w:val="0"/>
          <w:numId w:val="43"/>
        </w:numPr>
        <w:ind w:right="51"/>
      </w:pPr>
      <w:r>
        <w:t>Producenten af genvundet granulat anvender et kvalitetsstyringssystem i overensstemmelse med standarden UNI EN ISO 9001, der er certificeret af en organisation, der er akkrediteret i overensstemmelse med gældende lovgivning, og som dokumenterer, at kriterierne i denne forordning er opfyldt. Kvalitetshåndbogen skal indeholde operationelle procedurer for kontrol af, om kriterierne i bilag 1 til prøveudtagnings- og egenkontrolplanen er opfyldt.</w:t>
      </w:r>
    </w:p>
    <w:p w14:paraId="71F6D2EA" w14:textId="171C3204" w:rsidR="005211CB" w:rsidRPr="001B60FC" w:rsidRDefault="005211CB" w:rsidP="00CA20B5">
      <w:pPr>
        <w:pStyle w:val="ListParagraph"/>
        <w:numPr>
          <w:ilvl w:val="0"/>
          <w:numId w:val="43"/>
        </w:numPr>
        <w:ind w:right="51"/>
      </w:pPr>
      <w:r>
        <w:t>Bestemmelserne i artikel 5, stk. 3, finder ikke anvendelse på registrerede virksomheder i henhold til Europa-Parlamentets og Rådets forordning (EF) nr. 1221/2009 af 25. november 2009 eller på virksomheder, der er i besiddelse af miljøcertificeringen UNI EN ISO 14001, som er udstedt af et akkrediteret organ i henhold til gældende lovgivning.</w:t>
      </w:r>
    </w:p>
    <w:p w14:paraId="69635672" w14:textId="77777777" w:rsidR="005211CB" w:rsidRDefault="005211CB" w:rsidP="007B53AC">
      <w:pPr>
        <w:pStyle w:val="Heading1"/>
        <w:spacing w:after="120"/>
        <w:ind w:left="11" w:right="62" w:hanging="11"/>
      </w:pPr>
    </w:p>
    <w:p w14:paraId="7461F04E" w14:textId="77777777" w:rsidR="008610D3" w:rsidRPr="001571B3" w:rsidRDefault="009E72B8" w:rsidP="007B53AC">
      <w:pPr>
        <w:pStyle w:val="Heading1"/>
        <w:spacing w:after="120"/>
        <w:ind w:left="11" w:right="62" w:hanging="11"/>
        <w:rPr>
          <w:b w:val="0"/>
        </w:rPr>
      </w:pPr>
      <w:r>
        <w:rPr>
          <w:b w:val="0"/>
        </w:rPr>
        <w:t xml:space="preserve">Artikel 7 </w:t>
      </w:r>
    </w:p>
    <w:p w14:paraId="3EE44B21" w14:textId="4328195D" w:rsidR="000B2060" w:rsidRPr="001571B3" w:rsidRDefault="009E72B8" w:rsidP="007B53AC">
      <w:pPr>
        <w:pStyle w:val="Heading1"/>
        <w:spacing w:after="120"/>
        <w:ind w:left="11" w:right="62" w:hanging="11"/>
        <w:rPr>
          <w:b w:val="0"/>
          <w:i/>
        </w:rPr>
      </w:pPr>
      <w:r>
        <w:rPr>
          <w:b w:val="0"/>
          <w:i/>
        </w:rPr>
        <w:t xml:space="preserve">Overgangsbestemmelser og afsluttende bestemmelser </w:t>
      </w:r>
    </w:p>
    <w:p w14:paraId="77F5A694" w14:textId="21F82AE1" w:rsidR="000B2060" w:rsidRDefault="009E72B8" w:rsidP="00CA20B5">
      <w:pPr>
        <w:pStyle w:val="ListParagraph"/>
        <w:numPr>
          <w:ilvl w:val="0"/>
          <w:numId w:val="44"/>
        </w:numPr>
        <w:ind w:right="51"/>
      </w:pPr>
      <w:r>
        <w:t xml:space="preserve"> For at opfylde kriterierne i denne forordning forelægger producenten senest 180 dage efter denne forordnings ikrafttræden den kompetente myndighed en ajourføring af den meddelelse, der er indgivet i henhold til artikel 216 i lovdekret nr. 152 af 3. april 2006, med angivelse af det maksimale beløb, der kan kræves tilbagebetalt, eller en ansøgning om ajourføring af den tilladelse, der er givet i henhold til kapitel IV, afsnit I, del IV eller afsnit IIIa i del II i lovdekret nr. 152 af 3. april 2006. I forbindelse med forenklede procedurer er de kvantitative grænser, der er fastsat i miljøministerens dekret af 5. februar 1998 i bilag 4, de tekniske standarder i bilag 5 og emissionsgrænseværdierne i bilag 1, underbilag 2, fortsat fastsat. </w:t>
      </w:r>
    </w:p>
    <w:p w14:paraId="26047A06" w14:textId="77777777" w:rsidR="000B2060" w:rsidRDefault="009E72B8" w:rsidP="00CA20B5">
      <w:pPr>
        <w:pStyle w:val="ListParagraph"/>
        <w:numPr>
          <w:ilvl w:val="0"/>
          <w:numId w:val="44"/>
        </w:numPr>
        <w:ind w:right="51"/>
      </w:pPr>
      <w:r>
        <w:t xml:space="preserve">Indtil den omhandlede tilpasning i stk. 1 må materialer, der stammer fra allerede godkendte nyttiggørelsesprocesser anvendes til de specifikke formål omhandlet i artikel 4, hvis de har egenskaber, der opfylder de fastlagte kriterier i artikel 3, og som er certificeret ved en overensstemmelseserklæring i henhold til artikel 5. </w:t>
      </w:r>
    </w:p>
    <w:p w14:paraId="14C9EE35" w14:textId="3E32E2C5" w:rsidR="000B2060" w:rsidRDefault="009E72B8" w:rsidP="00CA20B5">
      <w:pPr>
        <w:pStyle w:val="ListParagraph"/>
        <w:numPr>
          <w:ilvl w:val="0"/>
          <w:numId w:val="44"/>
        </w:numPr>
        <w:ind w:right="51"/>
      </w:pPr>
      <w:r>
        <w:t xml:space="preserve">Bilagene udgør en integreret del af denne forskrift. </w:t>
      </w:r>
    </w:p>
    <w:p w14:paraId="21C4194F" w14:textId="77777777" w:rsidR="000B2060" w:rsidRDefault="009E72B8">
      <w:pPr>
        <w:spacing w:after="16" w:line="259" w:lineRule="auto"/>
        <w:ind w:left="360" w:firstLine="0"/>
        <w:jc w:val="left"/>
      </w:pPr>
      <w:r>
        <w:t xml:space="preserve"> </w:t>
      </w:r>
    </w:p>
    <w:p w14:paraId="7B0BAC0F" w14:textId="77777777" w:rsidR="000B2060" w:rsidRDefault="009E72B8">
      <w:pPr>
        <w:ind w:left="-5" w:right="51"/>
      </w:pPr>
      <w:r>
        <w:t xml:space="preserve">Dette dekret, på hvilket statens segl er påført, tilføjes Den Italienske Republiks officielle samling af retsakter. Alle berørte parter er forpligtet til at overholde og sikre overholdelse af dette dekret. </w:t>
      </w:r>
    </w:p>
    <w:p w14:paraId="415AE58D" w14:textId="00646F3B" w:rsidR="000B2060" w:rsidRDefault="009E72B8" w:rsidP="00A451F2">
      <w:pPr>
        <w:spacing w:after="16" w:line="259" w:lineRule="auto"/>
        <w:ind w:left="360" w:firstLine="0"/>
        <w:jc w:val="left"/>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hAnsi="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3C0EC3D" w14:textId="6523CF27" w:rsidR="007B53AC" w:rsidRPr="000E6789" w:rsidRDefault="00B66567" w:rsidP="00FF2CC9">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t xml:space="preserve">Roberto Cingolani </w:t>
      </w:r>
      <w:r w:rsidR="007B53AC">
        <w:br w:type="page"/>
      </w:r>
    </w:p>
    <w:p w14:paraId="397E37C8" w14:textId="77777777" w:rsidR="000B2060" w:rsidRPr="000E6789" w:rsidRDefault="009E72B8">
      <w:pPr>
        <w:pStyle w:val="Heading1"/>
      </w:pPr>
      <w:r>
        <w:lastRenderedPageBreak/>
        <w:t xml:space="preserve">Bilag 1 (artikel 3) </w:t>
      </w:r>
    </w:p>
    <w:p w14:paraId="3A2ECBFF" w14:textId="77777777" w:rsidR="000B2060" w:rsidRPr="000E6789" w:rsidRDefault="009E72B8">
      <w:pPr>
        <w:spacing w:after="16" w:line="259" w:lineRule="auto"/>
        <w:ind w:left="0" w:firstLine="0"/>
        <w:jc w:val="center"/>
      </w:pPr>
      <w:r>
        <w:t xml:space="preserve"> </w:t>
      </w:r>
    </w:p>
    <w:p w14:paraId="3054D565" w14:textId="77777777" w:rsidR="000B2060" w:rsidRPr="000E6789" w:rsidRDefault="009E72B8">
      <w:pPr>
        <w:spacing w:after="18" w:line="259" w:lineRule="auto"/>
        <w:ind w:left="-5"/>
        <w:jc w:val="left"/>
      </w:pPr>
      <w:r>
        <w:rPr>
          <w:b/>
        </w:rPr>
        <w:t xml:space="preserve">a) Støtteberettiget affald. </w:t>
      </w:r>
    </w:p>
    <w:p w14:paraId="14E32E02" w14:textId="44D47E89" w:rsidR="001A66C5" w:rsidRPr="00E126AE" w:rsidRDefault="001A66C5" w:rsidP="001A66C5">
      <w:pPr>
        <w:spacing w:after="0" w:line="259" w:lineRule="auto"/>
        <w:ind w:left="0" w:firstLine="0"/>
        <w:rPr>
          <w:color w:val="auto"/>
          <w:sz w:val="22"/>
        </w:rPr>
      </w:pPr>
      <w:r>
        <w:rPr>
          <w:color w:val="auto"/>
        </w:rPr>
        <w:t>Kun ikke-farligt bygnings- og nedrivningsaffald, der er angivet i tabel 1, punkt 1, og ikke-farligt inert affald af mineralsk oprindelse, der er opført i tabel 1, punkt 2, må anvendes til fremstilling af genvundet granulat.</w:t>
      </w:r>
    </w:p>
    <w:p w14:paraId="520B0D8E" w14:textId="0360FF1C" w:rsidR="001A66C5" w:rsidRPr="00E126AE" w:rsidRDefault="00D55B0D" w:rsidP="00435FEC">
      <w:pPr>
        <w:spacing w:after="0" w:line="259" w:lineRule="auto"/>
        <w:ind w:left="0" w:firstLine="0"/>
        <w:rPr>
          <w:color w:val="auto"/>
        </w:rPr>
      </w:pPr>
      <w:r>
        <w:rPr>
          <w:color w:val="auto"/>
        </w:rPr>
        <w:t>Affald, der kan anvendes til fremstilling af genvundne granulater, stammer udelukkende fra produkter, der har været underkastet forudgående dekontaminering/rehabilitering med henblik på fjernelse af asbestholdige materialer, PCB-holdige/forurenet udstyr, bituminøse måtter, potentielt farlige belægninger og isoleringsmaterialer og andre materialer, der er forurenet eller indeholder farlige stoffer, jf. beslutning 2000/532/EF og direktiv 2008/98/EF. Det tilladte affald kommer fortrinsvis fra selektivt nedrevne produkter.</w:t>
      </w:r>
    </w:p>
    <w:p w14:paraId="3AB8468F" w14:textId="5C103CE9" w:rsidR="000B2060" w:rsidRPr="00E126AE" w:rsidRDefault="001A66C5" w:rsidP="001A66C5">
      <w:pPr>
        <w:spacing w:after="0" w:line="259" w:lineRule="auto"/>
        <w:ind w:left="0" w:firstLine="0"/>
        <w:rPr>
          <w:color w:val="auto"/>
        </w:rPr>
      </w:pPr>
      <w:r>
        <w:rPr>
          <w:color w:val="auto"/>
        </w:rPr>
        <w:t xml:space="preserve">Affald fra forladte eller nedgravede bygnings- og nedrivningsaktiviteter er ikke berettiget til produktion af genvundne granulater. </w:t>
      </w:r>
    </w:p>
    <w:p w14:paraId="4A77B75D" w14:textId="028FF43C" w:rsidR="000B2060" w:rsidRDefault="009E72B8">
      <w:pPr>
        <w:spacing w:after="0" w:line="259" w:lineRule="auto"/>
        <w:ind w:left="10" w:right="63"/>
        <w:jc w:val="center"/>
      </w:pPr>
      <w:r>
        <w:rPr>
          <w:sz w:val="18"/>
        </w:rPr>
        <w:t xml:space="preserve"> </w:t>
      </w:r>
    </w:p>
    <w:tbl>
      <w:tblPr>
        <w:tblStyle w:val="TableGrid"/>
        <w:tblW w:w="9866" w:type="dxa"/>
        <w:tblInd w:w="-113"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9866"/>
      </w:tblGrid>
      <w:tr w:rsidR="001A66C5" w:rsidRPr="001A66C5" w14:paraId="0D9FF0BB" w14:textId="77777777" w:rsidTr="002C6268">
        <w:trPr>
          <w:trHeight w:val="1188"/>
        </w:trPr>
        <w:tc>
          <w:tcPr>
            <w:tcW w:w="9866" w:type="dxa"/>
          </w:tcPr>
          <w:p w14:paraId="4E851A2E" w14:textId="3C75C696" w:rsidR="000B2060" w:rsidRPr="001A66C5" w:rsidRDefault="009E72B8" w:rsidP="001F73B8">
            <w:pPr>
              <w:spacing w:after="120" w:line="259" w:lineRule="auto"/>
              <w:ind w:left="0" w:firstLine="0"/>
              <w:jc w:val="left"/>
              <w:rPr>
                <w:color w:val="auto"/>
              </w:rPr>
            </w:pPr>
            <w:r>
              <w:rPr>
                <w:color w:val="auto"/>
              </w:rPr>
              <w:t>1.</w:t>
            </w:r>
            <w:r>
              <w:rPr>
                <w:rFonts w:ascii="Arial" w:hAnsi="Arial"/>
                <w:color w:val="auto"/>
              </w:rPr>
              <w:t xml:space="preserve"> </w:t>
            </w:r>
            <w:r>
              <w:rPr>
                <w:b/>
                <w:color w:val="auto"/>
              </w:rPr>
              <w:t xml:space="preserve">Inert affald fra bygnings- og nedrivningsaktiviteter </w:t>
            </w:r>
            <w:r>
              <w:rPr>
                <w:color w:val="auto"/>
              </w:rPr>
              <w:t xml:space="preserve">(kapitel 17 i den europæiske affaldsliste) </w:t>
            </w:r>
          </w:p>
          <w:p w14:paraId="6E6AEF6C" w14:textId="6848904F" w:rsidR="00563958" w:rsidRPr="00563958" w:rsidRDefault="00563958" w:rsidP="00563958">
            <w:pPr>
              <w:spacing w:after="26" w:line="259" w:lineRule="auto"/>
              <w:ind w:left="0" w:firstLine="0"/>
              <w:jc w:val="left"/>
              <w:rPr>
                <w:color w:val="auto"/>
              </w:rPr>
            </w:pPr>
            <w:r>
              <w:rPr>
                <w:color w:val="auto"/>
              </w:rPr>
              <w:t xml:space="preserve">170101 Cement </w:t>
            </w:r>
          </w:p>
          <w:p w14:paraId="176FE4FE" w14:textId="42D519DD" w:rsidR="00563958" w:rsidRPr="00563958" w:rsidRDefault="00563958" w:rsidP="00563958">
            <w:pPr>
              <w:spacing w:after="26" w:line="259" w:lineRule="auto"/>
              <w:ind w:left="0" w:firstLine="0"/>
              <w:jc w:val="left"/>
              <w:rPr>
                <w:color w:val="auto"/>
              </w:rPr>
            </w:pPr>
            <w:r>
              <w:rPr>
                <w:color w:val="auto"/>
              </w:rPr>
              <w:t xml:space="preserve">170102 Mursten </w:t>
            </w:r>
          </w:p>
          <w:p w14:paraId="3AB0A756" w14:textId="044E1419" w:rsidR="00563958" w:rsidRPr="00563958" w:rsidRDefault="00563958" w:rsidP="00563958">
            <w:pPr>
              <w:spacing w:after="26" w:line="259" w:lineRule="auto"/>
              <w:ind w:left="0" w:firstLine="0"/>
              <w:jc w:val="left"/>
              <w:rPr>
                <w:color w:val="auto"/>
              </w:rPr>
            </w:pPr>
            <w:r>
              <w:rPr>
                <w:color w:val="auto"/>
              </w:rPr>
              <w:t xml:space="preserve">170103 Tegl og keramik </w:t>
            </w:r>
          </w:p>
          <w:p w14:paraId="26105786" w14:textId="0427E9EF" w:rsidR="00563958" w:rsidRDefault="00563958" w:rsidP="001F73B8">
            <w:pPr>
              <w:spacing w:after="0" w:line="259" w:lineRule="auto"/>
              <w:ind w:left="708" w:right="60" w:hanging="708"/>
              <w:rPr>
                <w:color w:val="auto"/>
              </w:rPr>
            </w:pPr>
            <w:r>
              <w:rPr>
                <w:color w:val="auto"/>
              </w:rPr>
              <w:t xml:space="preserve">170107 Blandinger eller slagger af cement, mursten, fliser og keramisk materiale, bortset fra affald henhørende under pos. 170106 </w:t>
            </w:r>
          </w:p>
          <w:p w14:paraId="3F15F2E1" w14:textId="77777777" w:rsidR="00563958" w:rsidRPr="00563958" w:rsidRDefault="00563958" w:rsidP="00563958">
            <w:pPr>
              <w:spacing w:after="26" w:line="259" w:lineRule="auto"/>
              <w:ind w:left="0" w:firstLine="0"/>
              <w:jc w:val="left"/>
              <w:rPr>
                <w:color w:val="auto"/>
              </w:rPr>
            </w:pPr>
            <w:r>
              <w:rPr>
                <w:color w:val="auto"/>
              </w:rPr>
              <w:t xml:space="preserve">170302 Bituminøse blandinger, bortset fra affald henhørende under pos. 170301 </w:t>
            </w:r>
          </w:p>
          <w:p w14:paraId="481380BF" w14:textId="77777777" w:rsidR="00563958" w:rsidRPr="00563958" w:rsidRDefault="00563958" w:rsidP="00563958">
            <w:pPr>
              <w:spacing w:after="26" w:line="259" w:lineRule="auto"/>
              <w:ind w:left="0" w:firstLine="0"/>
              <w:jc w:val="left"/>
              <w:rPr>
                <w:color w:val="auto"/>
              </w:rPr>
            </w:pPr>
            <w:r>
              <w:rPr>
                <w:color w:val="auto"/>
              </w:rPr>
              <w:t xml:space="preserve">170504 Jord og sten til udgravning, bortset fra affald henhørende under pos. 170503 </w:t>
            </w:r>
          </w:p>
          <w:p w14:paraId="2F3F0584" w14:textId="77777777" w:rsidR="00563958" w:rsidRPr="00563958" w:rsidRDefault="00563958" w:rsidP="00563958">
            <w:pPr>
              <w:spacing w:after="26" w:line="259" w:lineRule="auto"/>
              <w:ind w:left="0" w:firstLine="0"/>
              <w:jc w:val="left"/>
              <w:rPr>
                <w:color w:val="auto"/>
              </w:rPr>
            </w:pPr>
            <w:r>
              <w:rPr>
                <w:color w:val="auto"/>
              </w:rPr>
              <w:t xml:space="preserve">170508 Knuste sten til jernbaneballast, bortset fra affald henhørende under pos. 170507 </w:t>
            </w:r>
          </w:p>
          <w:p w14:paraId="1FC36289" w14:textId="77777777" w:rsidR="00563958" w:rsidRPr="001A66C5" w:rsidRDefault="00563958" w:rsidP="001F73B8">
            <w:pPr>
              <w:spacing w:after="0" w:line="259" w:lineRule="auto"/>
              <w:ind w:left="699" w:right="60" w:hanging="708"/>
              <w:rPr>
                <w:color w:val="auto"/>
              </w:rPr>
            </w:pPr>
            <w:r>
              <w:rPr>
                <w:color w:val="auto"/>
              </w:rPr>
              <w:t>170904 Blandet bygnings- og nedrivningsaffald, bortset fra affald henhørende under pos. 170901, 170902 og 170903</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Pr>
                <w:b/>
                <w:color w:val="auto"/>
              </w:rPr>
              <w:t>2.</w:t>
            </w:r>
            <w:r>
              <w:rPr>
                <w:rFonts w:ascii="Arial" w:hAnsi="Arial"/>
                <w:b/>
                <w:color w:val="auto"/>
              </w:rPr>
              <w:t xml:space="preserve"> </w:t>
            </w:r>
            <w:r>
              <w:rPr>
                <w:b/>
                <w:color w:val="auto"/>
              </w:rPr>
              <w:t>Andet inert affald af mineralsk oprindelse (</w:t>
            </w:r>
            <w:r>
              <w:rPr>
                <w:color w:val="auto"/>
              </w:rPr>
              <w:t>ikke omfattet af kapitel 17 i den europæiske affaldsliste)</w:t>
            </w:r>
            <w:r>
              <w:rPr>
                <w:b/>
                <w:color w:val="auto"/>
              </w:rPr>
              <w:t xml:space="preserve"> </w:t>
            </w:r>
          </w:p>
          <w:p w14:paraId="44E516DF" w14:textId="77777777" w:rsidR="000B2060" w:rsidRPr="001A66C5" w:rsidRDefault="009E72B8">
            <w:pPr>
              <w:spacing w:after="16" w:line="259" w:lineRule="auto"/>
              <w:ind w:left="0" w:firstLine="0"/>
              <w:jc w:val="left"/>
              <w:rPr>
                <w:color w:val="auto"/>
              </w:rPr>
            </w:pPr>
            <w:r>
              <w:rPr>
                <w:color w:val="auto"/>
              </w:rPr>
              <w:t xml:space="preserve">010408 Affald af grus og knuste sten, bortset fra affald henhørende under pos. 01 04 07 </w:t>
            </w:r>
          </w:p>
          <w:p w14:paraId="23AB3524" w14:textId="09169AA3" w:rsidR="000B2060" w:rsidRPr="001A66C5" w:rsidRDefault="009E72B8">
            <w:pPr>
              <w:spacing w:after="16" w:line="259" w:lineRule="auto"/>
              <w:ind w:left="0" w:firstLine="0"/>
              <w:jc w:val="left"/>
              <w:rPr>
                <w:color w:val="auto"/>
              </w:rPr>
            </w:pPr>
            <w:r>
              <w:rPr>
                <w:color w:val="auto"/>
              </w:rPr>
              <w:t xml:space="preserve">010409 Affald af sand og ler </w:t>
            </w:r>
          </w:p>
          <w:p w14:paraId="7A226E88" w14:textId="77777777" w:rsidR="000B2060" w:rsidRPr="001A66C5" w:rsidRDefault="009E72B8">
            <w:pPr>
              <w:spacing w:after="16" w:line="259" w:lineRule="auto"/>
              <w:ind w:left="0" w:firstLine="0"/>
              <w:jc w:val="left"/>
              <w:rPr>
                <w:color w:val="auto"/>
              </w:rPr>
            </w:pPr>
            <w:r>
              <w:rPr>
                <w:color w:val="auto"/>
              </w:rPr>
              <w:t xml:space="preserve">010410 Støv og lignende affald, bortset fra affald henhørende under pos. 010407 </w:t>
            </w:r>
          </w:p>
          <w:p w14:paraId="15F74A0D" w14:textId="77777777" w:rsidR="000B2060" w:rsidRPr="001A66C5" w:rsidRDefault="009E72B8" w:rsidP="001F73B8">
            <w:pPr>
              <w:spacing w:after="0" w:line="259" w:lineRule="auto"/>
              <w:ind w:left="708" w:right="60" w:hanging="708"/>
              <w:rPr>
                <w:color w:val="auto"/>
              </w:rPr>
            </w:pPr>
            <w:r>
              <w:rPr>
                <w:color w:val="auto"/>
              </w:rPr>
              <w:t xml:space="preserve">010413 Affald fra tilskæring og savning af sten, bortset fra affald henhørende under pos. 010407 </w:t>
            </w:r>
          </w:p>
          <w:p w14:paraId="4AE084E7" w14:textId="18C3375C" w:rsidR="000B2060" w:rsidRPr="001A66C5" w:rsidRDefault="009E72B8">
            <w:pPr>
              <w:spacing w:after="16" w:line="259" w:lineRule="auto"/>
              <w:ind w:left="0" w:firstLine="0"/>
              <w:jc w:val="left"/>
              <w:rPr>
                <w:color w:val="auto"/>
              </w:rPr>
            </w:pPr>
            <w:r>
              <w:rPr>
                <w:color w:val="auto"/>
              </w:rPr>
              <w:t xml:space="preserve">101201 Affald fra råvareblandinger, der ikke er varmebehandlet </w:t>
            </w:r>
          </w:p>
          <w:p w14:paraId="7FE59863" w14:textId="77777777" w:rsidR="000B2060" w:rsidRDefault="009E72B8">
            <w:pPr>
              <w:spacing w:after="0" w:line="259" w:lineRule="auto"/>
              <w:ind w:left="708" w:right="60" w:hanging="708"/>
              <w:rPr>
                <w:color w:val="auto"/>
              </w:rPr>
            </w:pPr>
            <w:r>
              <w:rPr>
                <w:color w:val="auto"/>
              </w:rPr>
              <w:t xml:space="preserve">101206 Affaldsforme, der udelukkende består af flis og affald fra ubrændte glaserede og brændte keramiske produkter eller af bagt terracottaflis og ekspanderet ler, eventuelt belagt med ubrændt glasur i koncentration &lt;10 vægtprocent </w:t>
            </w:r>
          </w:p>
          <w:p w14:paraId="2204493A" w14:textId="77777777" w:rsidR="00563958" w:rsidRPr="00563958" w:rsidRDefault="00563958" w:rsidP="00563958">
            <w:pPr>
              <w:spacing w:after="0" w:line="259" w:lineRule="auto"/>
              <w:ind w:left="708" w:right="60" w:hanging="708"/>
              <w:rPr>
                <w:color w:val="auto"/>
              </w:rPr>
            </w:pPr>
            <w:r>
              <w:rPr>
                <w:color w:val="auto"/>
              </w:rPr>
              <w:t xml:space="preserve">101208 Affald fra keramik, mursten, fliser og byggematerialer (varmebehandlet) </w:t>
            </w:r>
          </w:p>
          <w:p w14:paraId="1979F05E" w14:textId="7C6AE079" w:rsidR="00563958" w:rsidRPr="00563958" w:rsidRDefault="00563958" w:rsidP="00563958">
            <w:pPr>
              <w:spacing w:after="0" w:line="259" w:lineRule="auto"/>
              <w:ind w:left="708" w:right="60" w:hanging="708"/>
              <w:rPr>
                <w:color w:val="auto"/>
              </w:rPr>
            </w:pPr>
            <w:r>
              <w:rPr>
                <w:color w:val="auto"/>
              </w:rPr>
              <w:t xml:space="preserve">101311 Affald fra fremstilling af cementbaserede kompositmaterialer, bortset fra affald henhørende under pos. 101309 og 101310 </w:t>
            </w:r>
          </w:p>
          <w:p w14:paraId="4442198A" w14:textId="43BD1BC2" w:rsidR="00D55B0D" w:rsidRDefault="00563958" w:rsidP="00563958">
            <w:pPr>
              <w:spacing w:after="0" w:line="259" w:lineRule="auto"/>
              <w:ind w:left="708" w:right="60" w:hanging="708"/>
              <w:rPr>
                <w:color w:val="auto"/>
              </w:rPr>
            </w:pPr>
            <w:r>
              <w:rPr>
                <w:color w:val="auto"/>
              </w:rPr>
              <w:t xml:space="preserve">120117 Affald fra sandblæsning, bortset fra affald henhørende under pos. 120116, bestående udelukkende af slibeaffald </w:t>
            </w:r>
          </w:p>
          <w:p w14:paraId="225763E4" w14:textId="46F1C5E7" w:rsidR="00563958" w:rsidRPr="001A66C5" w:rsidRDefault="00563958" w:rsidP="00563958">
            <w:pPr>
              <w:spacing w:after="0" w:line="259" w:lineRule="auto"/>
              <w:ind w:left="708" w:right="60" w:hanging="708"/>
              <w:rPr>
                <w:color w:val="auto"/>
              </w:rPr>
            </w:pPr>
            <w:r>
              <w:rPr>
                <w:color w:val="auto"/>
              </w:rPr>
              <w:t>191209 Mineraler (f.eks. sand, sten)</w:t>
            </w:r>
          </w:p>
        </w:tc>
      </w:tr>
    </w:tbl>
    <w:p w14:paraId="2957BE6E" w14:textId="68A671EE" w:rsidR="000B2060" w:rsidRDefault="001A66C5" w:rsidP="001A66C5">
      <w:pPr>
        <w:spacing w:after="0" w:line="259" w:lineRule="auto"/>
        <w:ind w:left="0" w:firstLine="0"/>
        <w:jc w:val="center"/>
      </w:pPr>
      <w:r>
        <w:rPr>
          <w:sz w:val="18"/>
        </w:rPr>
        <w:t>Tabel 1 – Affald, der er tilladt til fremstilling af genvundne granulater</w:t>
      </w:r>
    </w:p>
    <w:p w14:paraId="3B9434A6" w14:textId="77777777" w:rsidR="007B53AC" w:rsidRDefault="007B53AC">
      <w:pPr>
        <w:spacing w:after="16" w:line="259" w:lineRule="auto"/>
        <w:ind w:left="0" w:firstLine="0"/>
        <w:jc w:val="left"/>
      </w:pPr>
    </w:p>
    <w:p w14:paraId="521D4F41" w14:textId="77777777" w:rsidR="000B2060" w:rsidRDefault="009E72B8">
      <w:pPr>
        <w:spacing w:after="18" w:line="259" w:lineRule="auto"/>
        <w:ind w:left="-5"/>
        <w:jc w:val="left"/>
      </w:pPr>
      <w:r>
        <w:rPr>
          <w:b/>
        </w:rPr>
        <w:lastRenderedPageBreak/>
        <w:t xml:space="preserve">b) Kontrol af indkommende affald.  </w:t>
      </w:r>
    </w:p>
    <w:p w14:paraId="2EC2AED3" w14:textId="77777777" w:rsidR="00E126AE" w:rsidRPr="00E126AE" w:rsidRDefault="00E126AE" w:rsidP="00E126AE">
      <w:pPr>
        <w:spacing w:after="0" w:line="259" w:lineRule="auto"/>
        <w:ind w:left="0" w:firstLine="0"/>
        <w:rPr>
          <w:color w:val="auto"/>
          <w:sz w:val="22"/>
        </w:rPr>
      </w:pPr>
      <w:r>
        <w:rPr>
          <w:color w:val="auto"/>
        </w:rPr>
        <w:t>Affald beregnet til fremstilling af genvundne inerte granulater skal underkastes en kontrol af dokumentationen, der medfølger det indkommende affald, en visuel inspektion og yderligere kontroller, om nødvendigt.</w:t>
      </w:r>
    </w:p>
    <w:p w14:paraId="7DB9A040" w14:textId="281FD861" w:rsidR="00E126AE" w:rsidRPr="00E126AE" w:rsidRDefault="00E126AE" w:rsidP="00E126AE">
      <w:pPr>
        <w:spacing w:after="0" w:line="259" w:lineRule="auto"/>
        <w:ind w:left="0" w:firstLine="0"/>
        <w:rPr>
          <w:color w:val="auto"/>
        </w:rPr>
      </w:pPr>
      <w:r>
        <w:rPr>
          <w:color w:val="auto"/>
        </w:rPr>
        <w:t>Med henblik herpå skal producenten af det genvundne granulat have indført et system til kontrol af modtagelse af affald for at kontrollere, at affaldet svarer til de karakteristika, der er fastsat i denne forordning.</w:t>
      </w:r>
    </w:p>
    <w:p w14:paraId="5545C204" w14:textId="44B7EC22" w:rsidR="00E126AE" w:rsidRPr="00E126AE" w:rsidRDefault="00E126AE" w:rsidP="00E126AE">
      <w:pPr>
        <w:spacing w:after="0" w:line="259" w:lineRule="auto"/>
        <w:ind w:left="0" w:firstLine="0"/>
        <w:rPr>
          <w:color w:val="auto"/>
        </w:rPr>
      </w:pPr>
      <w:r>
        <w:rPr>
          <w:color w:val="auto"/>
        </w:rPr>
        <w:t xml:space="preserve">For virksomheder, der er registreret i overensstemmelse med Europa-Parlamentets og Rådets forordning (EF) nr. 1221/2009 af 25. november 2009, og for virksomheder med miljøcertificering UNI EN ISO 14001, der er udstedt af en organisation, som er akkrediteret i henhold til gældende lovgivning, skal dette system integreres i miljøledelsessystemet. </w:t>
      </w:r>
    </w:p>
    <w:p w14:paraId="7030FC93" w14:textId="77777777" w:rsidR="00E126AE" w:rsidRPr="00E126AE" w:rsidRDefault="00E126AE" w:rsidP="00E126AE">
      <w:pPr>
        <w:spacing w:after="0" w:line="259" w:lineRule="auto"/>
        <w:ind w:left="0" w:firstLine="0"/>
        <w:rPr>
          <w:color w:val="auto"/>
        </w:rPr>
      </w:pPr>
      <w:r>
        <w:rPr>
          <w:color w:val="auto"/>
        </w:rPr>
        <w:t>Systemet skal som minimum sikre overholdelse af følgende forpligtelser og kræve, at der indføres en procedure for forvaltning, sporbarhed og indberetning af konstaterede tilfælde af manglende overholdelse:</w:t>
      </w:r>
    </w:p>
    <w:p w14:paraId="22568D8A" w14:textId="77777777" w:rsidR="00E126AE" w:rsidRPr="00E126AE" w:rsidRDefault="00E126AE" w:rsidP="00E126AE">
      <w:pPr>
        <w:pStyle w:val="ListParagraph"/>
        <w:numPr>
          <w:ilvl w:val="0"/>
          <w:numId w:val="38"/>
        </w:numPr>
        <w:spacing w:after="160" w:line="256" w:lineRule="auto"/>
        <w:rPr>
          <w:color w:val="auto"/>
        </w:rPr>
      </w:pPr>
      <w:r>
        <w:rPr>
          <w:color w:val="auto"/>
        </w:rPr>
        <w:t>undersøgelse af den dokumentation, der ledsager den indkommende affaldsmængde, af personale med et passende uddannelsesniveau</w:t>
      </w:r>
    </w:p>
    <w:p w14:paraId="6D809D9A" w14:textId="77777777" w:rsidR="00E126AE" w:rsidRPr="00E126AE" w:rsidRDefault="00E126AE" w:rsidP="00E126AE">
      <w:pPr>
        <w:pStyle w:val="ListParagraph"/>
        <w:numPr>
          <w:ilvl w:val="0"/>
          <w:numId w:val="38"/>
        </w:numPr>
        <w:spacing w:after="160" w:line="256" w:lineRule="auto"/>
        <w:rPr>
          <w:color w:val="auto"/>
        </w:rPr>
      </w:pPr>
      <w:r>
        <w:rPr>
          <w:color w:val="auto"/>
        </w:rPr>
        <w:t>visuel inspektion af den indkommende affaldsmængde</w:t>
      </w:r>
    </w:p>
    <w:p w14:paraId="7A2B1F2B" w14:textId="77777777" w:rsidR="00E126AE" w:rsidRPr="00E126AE" w:rsidRDefault="00E126AE" w:rsidP="00E126AE">
      <w:pPr>
        <w:pStyle w:val="ListParagraph"/>
        <w:numPr>
          <w:ilvl w:val="0"/>
          <w:numId w:val="38"/>
        </w:numPr>
        <w:spacing w:after="160" w:line="256" w:lineRule="auto"/>
        <w:rPr>
          <w:color w:val="auto"/>
        </w:rPr>
      </w:pPr>
      <w:r>
        <w:rPr>
          <w:color w:val="auto"/>
        </w:rPr>
        <w:t>modtagelse af sådant affald kun, hvis undersøgelsen af den ledsagende dokumentation og den visuelle inspektion er vellykket under kontrol af personale med årlig uddannelse og genopfriskningskurser for at sortere affaldet og fjerne og holde fremmed materiale adskilt</w:t>
      </w:r>
    </w:p>
    <w:p w14:paraId="6357A922" w14:textId="77777777" w:rsidR="00E126AE" w:rsidRPr="00E126AE" w:rsidRDefault="00E126AE" w:rsidP="00E126AE">
      <w:pPr>
        <w:pStyle w:val="ListParagraph"/>
        <w:numPr>
          <w:ilvl w:val="0"/>
          <w:numId w:val="38"/>
        </w:numPr>
        <w:spacing w:after="160" w:line="256" w:lineRule="auto"/>
        <w:rPr>
          <w:color w:val="auto"/>
        </w:rPr>
      </w:pPr>
      <w:r>
        <w:rPr>
          <w:color w:val="auto"/>
        </w:rPr>
        <w:t>vejning og registrering af data for indkommende affaldsmængde</w:t>
      </w:r>
    </w:p>
    <w:p w14:paraId="35006893" w14:textId="77777777" w:rsidR="00E126AE" w:rsidRPr="00E126AE" w:rsidRDefault="00E126AE" w:rsidP="00E126AE">
      <w:pPr>
        <w:pStyle w:val="ListParagraph"/>
        <w:numPr>
          <w:ilvl w:val="0"/>
          <w:numId w:val="38"/>
        </w:numPr>
        <w:spacing w:after="160" w:line="256" w:lineRule="auto"/>
        <w:rPr>
          <w:color w:val="auto"/>
        </w:rPr>
      </w:pPr>
      <w:r>
        <w:rPr>
          <w:color w:val="auto"/>
        </w:rPr>
        <w:t>særskilt oplagring af affald, der ikke opfylder kriterierne i denne forordning, på et særligt område</w:t>
      </w:r>
    </w:p>
    <w:p w14:paraId="6BB8A677" w14:textId="4F152540" w:rsidR="00E126AE" w:rsidRPr="00E126AE" w:rsidRDefault="00E126AE" w:rsidP="00E126AE">
      <w:pPr>
        <w:pStyle w:val="ListParagraph"/>
        <w:numPr>
          <w:ilvl w:val="0"/>
          <w:numId w:val="38"/>
        </w:numPr>
        <w:spacing w:after="160" w:line="256" w:lineRule="auto"/>
        <w:rPr>
          <w:color w:val="auto"/>
        </w:rPr>
      </w:pPr>
      <w:r>
        <w:rPr>
          <w:color w:val="auto"/>
        </w:rPr>
        <w:t>anbringelse i reserven af affald, der opfylder kravene, jf. tabel l i dette bilag, på det område, der udelukkende er forbeholdt det, og som er struktureret på en sådan måde, at det forhindres, at affald, herunder utilsigtet blanding, blandes med andre typer affald, der ikke er tilladt</w:t>
      </w:r>
    </w:p>
    <w:p w14:paraId="25D725FB" w14:textId="77777777" w:rsidR="00E126AE" w:rsidRPr="00E126AE" w:rsidRDefault="00E126AE" w:rsidP="00E126AE">
      <w:pPr>
        <w:pStyle w:val="ListParagraph"/>
        <w:numPr>
          <w:ilvl w:val="0"/>
          <w:numId w:val="38"/>
        </w:numPr>
        <w:spacing w:after="160" w:line="256" w:lineRule="auto"/>
        <w:rPr>
          <w:color w:val="auto"/>
        </w:rPr>
      </w:pPr>
      <w:r>
        <w:rPr>
          <w:color w:val="auto"/>
        </w:rPr>
        <w:t>håndtering af affald, der sendes til produktion af genvundet granulat foretaget af personale med årlig uddannelse og genopfriskningskurser for at forhindre forurening af affaldet med andet affald eller fremmed materiale</w:t>
      </w:r>
    </w:p>
    <w:p w14:paraId="1AF69951" w14:textId="49D8E6AC" w:rsidR="000B2060" w:rsidRPr="00E126AE" w:rsidRDefault="00E126AE" w:rsidP="00E126AE">
      <w:pPr>
        <w:pStyle w:val="ListParagraph"/>
        <w:numPr>
          <w:ilvl w:val="0"/>
          <w:numId w:val="38"/>
        </w:numPr>
        <w:spacing w:after="160" w:line="256" w:lineRule="auto"/>
        <w:rPr>
          <w:color w:val="auto"/>
        </w:rPr>
      </w:pPr>
      <w:r>
        <w:rPr>
          <w:color w:val="auto"/>
        </w:rPr>
        <w:t xml:space="preserve">foretage supplerende kontrol, herunder analytisk kontrol, på grundlag af stikprøver, eller når analysen af dokumentationen og/eller den visuelle inspektion viser, at dette er nødvendigt. </w:t>
      </w:r>
    </w:p>
    <w:p w14:paraId="0164859B" w14:textId="77777777" w:rsidR="000B2060" w:rsidRDefault="009E72B8">
      <w:pPr>
        <w:spacing w:after="18" w:line="259" w:lineRule="auto"/>
        <w:ind w:left="-5"/>
        <w:jc w:val="left"/>
      </w:pPr>
      <w:r>
        <w:rPr>
          <w:b/>
        </w:rPr>
        <w:t xml:space="preserve">c) Minimumsfremstillingsproces og oplagring hos producenten </w:t>
      </w:r>
    </w:p>
    <w:p w14:paraId="0866423C" w14:textId="77777777" w:rsidR="000B2060" w:rsidRDefault="009E72B8">
      <w:pPr>
        <w:spacing w:after="35" w:line="267" w:lineRule="auto"/>
        <w:ind w:left="-5" w:right="49"/>
      </w:pPr>
      <w:r>
        <w:t xml:space="preserve">Behandlingen og genvindingen af "inert affald fra bygnings- og nedrivningsaktiviteter" og "andet inert affald af mineralsk oprindelse" som defineret i artikel 2, litra a) og b), med henblik på fremstilling af de genvundne granulater finder sted ved hjælp af mekaniske og teknologisk forbundne trin, som f.eks.: </w:t>
      </w:r>
    </w:p>
    <w:p w14:paraId="5607B0BE" w14:textId="77777777" w:rsidR="000B2060" w:rsidRDefault="009E72B8">
      <w:pPr>
        <w:numPr>
          <w:ilvl w:val="0"/>
          <w:numId w:val="6"/>
        </w:numPr>
        <w:spacing w:after="44"/>
        <w:ind w:right="51" w:hanging="708"/>
      </w:pPr>
      <w:r>
        <w:t xml:space="preserve">formaling  </w:t>
      </w:r>
    </w:p>
    <w:p w14:paraId="0014502B" w14:textId="77777777" w:rsidR="000B2060" w:rsidRDefault="009E72B8">
      <w:pPr>
        <w:numPr>
          <w:ilvl w:val="0"/>
          <w:numId w:val="6"/>
        </w:numPr>
        <w:spacing w:after="46"/>
        <w:ind w:right="51" w:hanging="708"/>
      </w:pPr>
      <w:r>
        <w:t xml:space="preserve">sigtning  </w:t>
      </w:r>
    </w:p>
    <w:p w14:paraId="2654230A" w14:textId="77777777" w:rsidR="000B2060" w:rsidRDefault="009E72B8">
      <w:pPr>
        <w:numPr>
          <w:ilvl w:val="0"/>
          <w:numId w:val="6"/>
        </w:numPr>
        <w:spacing w:after="44"/>
        <w:ind w:right="51" w:hanging="708"/>
      </w:pPr>
      <w:r>
        <w:t xml:space="preserve">granulometrisk udvælgelse </w:t>
      </w:r>
    </w:p>
    <w:p w14:paraId="04D110ED" w14:textId="77777777" w:rsidR="000B2060" w:rsidRDefault="009E72B8">
      <w:pPr>
        <w:numPr>
          <w:ilvl w:val="0"/>
          <w:numId w:val="6"/>
        </w:numPr>
        <w:ind w:right="51" w:hanging="708"/>
      </w:pPr>
      <w:r>
        <w:t xml:space="preserve">adskillelse af metaldelen og uønskede dele.  </w:t>
      </w:r>
    </w:p>
    <w:p w14:paraId="6383107D" w14:textId="77777777" w:rsidR="000B2060" w:rsidRDefault="009E72B8">
      <w:pPr>
        <w:ind w:left="-5" w:right="51"/>
      </w:pPr>
      <w:r>
        <w:t xml:space="preserve">Genvindingsprocessen, afhængigt af materialets art, gennemføres ved, at alle eller kun nogle af de nævnte trin eller andre mekaniske processer, der gør det muligt at opfylde kriterierne i dette dekret, er afsluttet. </w:t>
      </w:r>
    </w:p>
    <w:p w14:paraId="0F8FFEA4" w14:textId="6463D22A" w:rsidR="00FC1B37" w:rsidRDefault="00FC1B37" w:rsidP="00FC1B37">
      <w:pPr>
        <w:spacing w:after="19" w:line="259" w:lineRule="auto"/>
        <w:ind w:left="0" w:firstLine="0"/>
      </w:pPr>
      <w:r>
        <w:t>Under kontrolfasen for de genvundne granulater skal oplagring og håndtering hos producenten tilrettelægges på en sådan måde, at de enkelte produktionspartier ikke blandes.</w:t>
      </w:r>
    </w:p>
    <w:p w14:paraId="57AFE5D5" w14:textId="2228A33C" w:rsidR="000B2060" w:rsidRDefault="00FC1B37" w:rsidP="00FC1B37">
      <w:pPr>
        <w:spacing w:after="19" w:line="259" w:lineRule="auto"/>
        <w:ind w:left="0" w:firstLine="0"/>
      </w:pPr>
      <w:r>
        <w:lastRenderedPageBreak/>
        <w:t xml:space="preserve">I afventning af transport til det sted, hvor det vil blive anvendt, oplagres og håndteres de genvundne granulater i det anlæg, hvor de blev produceret, og i de oplagringsområder, der anvendes til dette formål. Dette berører ikke alle gældende bestemmelser vedrørende sikkerhed og forebyggelse på arbejdspladsen og de specifikke autorisationsbestemmelser. </w:t>
      </w:r>
    </w:p>
    <w:p w14:paraId="1210F1E0" w14:textId="77777777" w:rsidR="000B2060" w:rsidRDefault="009E72B8">
      <w:pPr>
        <w:spacing w:after="0" w:line="259" w:lineRule="auto"/>
        <w:ind w:left="0" w:firstLine="0"/>
        <w:jc w:val="left"/>
      </w:pPr>
      <w:r>
        <w:rPr>
          <w:b/>
        </w:rPr>
        <w:t xml:space="preserve"> </w:t>
      </w:r>
    </w:p>
    <w:p w14:paraId="2F1BDB85" w14:textId="77777777" w:rsidR="000B2060" w:rsidRDefault="009E72B8">
      <w:pPr>
        <w:numPr>
          <w:ilvl w:val="0"/>
          <w:numId w:val="7"/>
        </w:numPr>
        <w:spacing w:after="53" w:line="259" w:lineRule="auto"/>
        <w:ind w:hanging="274"/>
        <w:jc w:val="left"/>
      </w:pPr>
      <w:r>
        <w:rPr>
          <w:b/>
        </w:rPr>
        <w:t xml:space="preserve">Kvalitetskrav til det genvundne granulat </w:t>
      </w:r>
    </w:p>
    <w:p w14:paraId="5AC1392F" w14:textId="77777777" w:rsidR="000B2060" w:rsidRDefault="009E72B8">
      <w:pPr>
        <w:tabs>
          <w:tab w:val="center" w:pos="2519"/>
        </w:tabs>
        <w:spacing w:after="23" w:line="259" w:lineRule="auto"/>
        <w:ind w:left="-15" w:firstLine="0"/>
        <w:jc w:val="left"/>
      </w:pPr>
      <w:r>
        <w:rPr>
          <w:b/>
        </w:rPr>
        <w:t xml:space="preserve">d.1) Kontrol af det genvundne granulat  </w:t>
      </w:r>
    </w:p>
    <w:p w14:paraId="121A2F5D" w14:textId="4189B06B" w:rsidR="008817D3" w:rsidRDefault="008817D3" w:rsidP="008817D3">
      <w:pPr>
        <w:ind w:left="-5" w:right="51"/>
        <w:rPr>
          <w:color w:val="auto"/>
        </w:rPr>
      </w:pPr>
      <w:r>
        <w:rPr>
          <w:color w:val="auto"/>
        </w:rPr>
        <w:t xml:space="preserve">For hvert parti genvundet granulat, der produceres, skal det sikres, at parametrene i tabel 2 overholdes. </w:t>
      </w:r>
    </w:p>
    <w:p w14:paraId="5A41C855" w14:textId="77777777" w:rsidR="00F75776" w:rsidRPr="001E2424" w:rsidRDefault="00F75776" w:rsidP="008817D3">
      <w:pPr>
        <w:ind w:left="-5" w:right="51"/>
        <w:rPr>
          <w:color w:val="auto"/>
        </w:rPr>
      </w:pPr>
    </w:p>
    <w:tbl>
      <w:tblPr>
        <w:tblStyle w:val="TableGrid"/>
        <w:tblW w:w="68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231"/>
        <w:gridCol w:w="2282"/>
        <w:gridCol w:w="2336"/>
      </w:tblGrid>
      <w:tr w:rsidR="008817D3" w:rsidRPr="00FD253E" w14:paraId="77338EB7" w14:textId="77777777" w:rsidTr="00A141D1">
        <w:trPr>
          <w:trHeight w:val="772"/>
        </w:trPr>
        <w:tc>
          <w:tcPr>
            <w:tcW w:w="2240"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Pr>
                <w:sz w:val="22"/>
              </w:rPr>
              <w:t xml:space="preserve"> </w:t>
            </w:r>
            <w:r>
              <w:rPr>
                <w:b/>
                <w:color w:val="auto"/>
                <w:sz w:val="22"/>
              </w:rPr>
              <w:t xml:space="preserve">Parametre </w:t>
            </w:r>
          </w:p>
        </w:tc>
        <w:tc>
          <w:tcPr>
            <w:tcW w:w="237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Pr>
                <w:b/>
                <w:color w:val="auto"/>
                <w:sz w:val="22"/>
              </w:rPr>
              <w:t xml:space="preserve">Måleenhed </w:t>
            </w:r>
          </w:p>
        </w:tc>
        <w:tc>
          <w:tcPr>
            <w:tcW w:w="2230" w:type="dxa"/>
            <w:vAlign w:val="center"/>
          </w:tcPr>
          <w:p w14:paraId="1D6ED7D5" w14:textId="77777777" w:rsidR="00D17D7F" w:rsidRPr="00FD253E" w:rsidRDefault="00D17D7F" w:rsidP="004F3D24">
            <w:pPr>
              <w:spacing w:after="0" w:line="259" w:lineRule="auto"/>
              <w:ind w:left="28" w:firstLine="0"/>
              <w:rPr>
                <w:color w:val="auto"/>
                <w:sz w:val="22"/>
              </w:rPr>
            </w:pPr>
            <w:r>
              <w:rPr>
                <w:b/>
                <w:color w:val="auto"/>
                <w:sz w:val="22"/>
              </w:rPr>
              <w:t xml:space="preserve">Grænsekoncentrationer </w:t>
            </w:r>
          </w:p>
        </w:tc>
      </w:tr>
      <w:tr w:rsidR="008817D3" w:rsidRPr="00FD253E" w14:paraId="1A15B09F" w14:textId="77777777" w:rsidTr="00A141D1">
        <w:trPr>
          <w:trHeight w:val="648"/>
        </w:trPr>
        <w:tc>
          <w:tcPr>
            <w:tcW w:w="2240"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Pr>
                <w:color w:val="auto"/>
                <w:sz w:val="22"/>
              </w:rPr>
              <w:t xml:space="preserve">Asbest </w:t>
            </w:r>
          </w:p>
        </w:tc>
        <w:tc>
          <w:tcPr>
            <w:tcW w:w="2379" w:type="dxa"/>
            <w:vAlign w:val="center"/>
          </w:tcPr>
          <w:p w14:paraId="0F57861E" w14:textId="1197CB2B" w:rsidR="00D17D7F" w:rsidRPr="00FD253E" w:rsidRDefault="00EE7699" w:rsidP="004F3D24">
            <w:pPr>
              <w:spacing w:after="0" w:line="259" w:lineRule="auto"/>
              <w:ind w:left="0" w:firstLine="0"/>
              <w:jc w:val="center"/>
              <w:rPr>
                <w:color w:val="auto"/>
                <w:sz w:val="22"/>
              </w:rPr>
            </w:pPr>
            <w:r>
              <w:rPr>
                <w:color w:val="auto"/>
                <w:sz w:val="22"/>
              </w:rPr>
              <w:t xml:space="preserve">mg/kg udtrykt i tørstof </w:t>
            </w:r>
          </w:p>
        </w:tc>
        <w:tc>
          <w:tcPr>
            <w:tcW w:w="2230"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Pr>
                <w:color w:val="auto"/>
                <w:sz w:val="22"/>
              </w:rPr>
              <w:t xml:space="preserve">100(*) </w:t>
            </w:r>
          </w:p>
        </w:tc>
      </w:tr>
      <w:tr w:rsidR="000A5B7E" w:rsidRPr="00FD253E" w14:paraId="69CBB325" w14:textId="77777777" w:rsidTr="00A141D1">
        <w:trPr>
          <w:trHeight w:val="362"/>
        </w:trPr>
        <w:tc>
          <w:tcPr>
            <w:tcW w:w="2240" w:type="dxa"/>
            <w:vAlign w:val="center"/>
          </w:tcPr>
          <w:p w14:paraId="0DE8F35D" w14:textId="5FD9E2DF" w:rsidR="00453851" w:rsidRDefault="000A5B7E" w:rsidP="000A5B7E">
            <w:pPr>
              <w:spacing w:after="0" w:line="259" w:lineRule="auto"/>
              <w:ind w:left="0" w:right="63" w:firstLine="0"/>
              <w:jc w:val="center"/>
              <w:rPr>
                <w:sz w:val="22"/>
              </w:rPr>
            </w:pPr>
            <w:r>
              <w:rPr>
                <w:sz w:val="22"/>
              </w:rPr>
              <w:t>(AROMATISKE</w:t>
            </w:r>
          </w:p>
          <w:p w14:paraId="0C5152BF" w14:textId="4CBD1C06" w:rsidR="000A5B7E" w:rsidRPr="00FD253E" w:rsidRDefault="000A5B7E" w:rsidP="000A5B7E">
            <w:pPr>
              <w:spacing w:after="0" w:line="259" w:lineRule="auto"/>
              <w:ind w:left="0" w:right="63" w:firstLine="0"/>
              <w:jc w:val="center"/>
              <w:rPr>
                <w:color w:val="auto"/>
                <w:sz w:val="22"/>
              </w:rPr>
            </w:pPr>
            <w:r>
              <w:rPr>
                <w:sz w:val="22"/>
              </w:rPr>
              <w:t xml:space="preserve">KULBRINTER) </w:t>
            </w:r>
          </w:p>
        </w:tc>
        <w:tc>
          <w:tcPr>
            <w:tcW w:w="2379" w:type="dxa"/>
            <w:vAlign w:val="center"/>
          </w:tcPr>
          <w:p w14:paraId="26E02542" w14:textId="1C3E8A2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A141D1">
        <w:trPr>
          <w:trHeight w:val="362"/>
        </w:trPr>
        <w:tc>
          <w:tcPr>
            <w:tcW w:w="2240"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Benzen</w:t>
            </w:r>
          </w:p>
        </w:tc>
        <w:tc>
          <w:tcPr>
            <w:tcW w:w="2379" w:type="dxa"/>
            <w:vAlign w:val="center"/>
          </w:tcPr>
          <w:p w14:paraId="32DDBE77" w14:textId="1DDBB7E5" w:rsidR="00453851" w:rsidRPr="00FD253E" w:rsidRDefault="00A141D1" w:rsidP="000A5B7E">
            <w:pPr>
              <w:spacing w:after="0" w:line="259" w:lineRule="auto"/>
              <w:ind w:left="0" w:firstLine="0"/>
              <w:jc w:val="center"/>
              <w:rPr>
                <w:sz w:val="22"/>
              </w:rPr>
            </w:pPr>
            <w:r>
              <w:rPr>
                <w:color w:val="auto"/>
                <w:sz w:val="22"/>
              </w:rPr>
              <w:t>mg/kg udtrykt i tørstof</w:t>
            </w:r>
          </w:p>
        </w:tc>
        <w:tc>
          <w:tcPr>
            <w:tcW w:w="2230"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A141D1">
        <w:trPr>
          <w:trHeight w:val="648"/>
        </w:trPr>
        <w:tc>
          <w:tcPr>
            <w:tcW w:w="2240" w:type="dxa"/>
            <w:vAlign w:val="center"/>
          </w:tcPr>
          <w:p w14:paraId="5B358963" w14:textId="2647D011" w:rsidR="000A5B7E" w:rsidRPr="00FD253E" w:rsidRDefault="000A5B7E" w:rsidP="000A5B7E">
            <w:pPr>
              <w:spacing w:after="0" w:line="259" w:lineRule="auto"/>
              <w:ind w:left="0" w:right="63" w:firstLine="0"/>
              <w:jc w:val="center"/>
              <w:rPr>
                <w:color w:val="auto"/>
                <w:sz w:val="22"/>
              </w:rPr>
            </w:pPr>
            <w:r>
              <w:rPr>
                <w:sz w:val="22"/>
              </w:rPr>
              <w:t xml:space="preserve">Ethylbenzen </w:t>
            </w:r>
          </w:p>
        </w:tc>
        <w:tc>
          <w:tcPr>
            <w:tcW w:w="2379" w:type="dxa"/>
            <w:vAlign w:val="center"/>
          </w:tcPr>
          <w:p w14:paraId="2FE475DB" w14:textId="6C80A9BB" w:rsidR="000A5B7E" w:rsidRPr="00FD253E" w:rsidRDefault="000A5B7E" w:rsidP="000A5B7E">
            <w:pPr>
              <w:spacing w:after="0" w:line="259" w:lineRule="auto"/>
              <w:ind w:left="0" w:firstLine="0"/>
              <w:jc w:val="center"/>
              <w:rPr>
                <w:color w:val="auto"/>
                <w:sz w:val="22"/>
              </w:rPr>
            </w:pPr>
            <w:r>
              <w:rPr>
                <w:color w:val="auto"/>
                <w:sz w:val="22"/>
              </w:rPr>
              <w:t>mg/kg udtrykt i tørstof</w:t>
            </w:r>
          </w:p>
        </w:tc>
        <w:tc>
          <w:tcPr>
            <w:tcW w:w="2230"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08402ECD" w14:textId="77777777" w:rsidTr="00A141D1">
        <w:trPr>
          <w:trHeight w:val="648"/>
        </w:trPr>
        <w:tc>
          <w:tcPr>
            <w:tcW w:w="2240"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Pr>
                <w:sz w:val="22"/>
              </w:rPr>
              <w:t xml:space="preserve">Styren </w:t>
            </w:r>
          </w:p>
        </w:tc>
        <w:tc>
          <w:tcPr>
            <w:tcW w:w="2379" w:type="dxa"/>
            <w:vAlign w:val="center"/>
          </w:tcPr>
          <w:p w14:paraId="6D0140C5" w14:textId="3B212A97" w:rsidR="000A5B7E" w:rsidRPr="00FD253E" w:rsidRDefault="000A5B7E" w:rsidP="000A5B7E">
            <w:pPr>
              <w:spacing w:after="0" w:line="259" w:lineRule="auto"/>
              <w:ind w:left="0" w:firstLine="0"/>
              <w:jc w:val="center"/>
              <w:rPr>
                <w:color w:val="auto"/>
                <w:sz w:val="22"/>
              </w:rPr>
            </w:pPr>
            <w:r>
              <w:rPr>
                <w:color w:val="auto"/>
                <w:sz w:val="22"/>
              </w:rPr>
              <w:t>mg/kg udtrykt i tørstof</w:t>
            </w:r>
          </w:p>
        </w:tc>
        <w:tc>
          <w:tcPr>
            <w:tcW w:w="2230"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D43BA32" w14:textId="77777777" w:rsidTr="00A141D1">
        <w:trPr>
          <w:trHeight w:val="648"/>
        </w:trPr>
        <w:tc>
          <w:tcPr>
            <w:tcW w:w="2240"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Pr>
                <w:sz w:val="22"/>
              </w:rPr>
              <w:t xml:space="preserve">Toluen </w:t>
            </w:r>
          </w:p>
        </w:tc>
        <w:tc>
          <w:tcPr>
            <w:tcW w:w="2379" w:type="dxa"/>
            <w:vAlign w:val="center"/>
          </w:tcPr>
          <w:p w14:paraId="4DB54A17" w14:textId="22CD7E5B" w:rsidR="000A5B7E" w:rsidRPr="00FD253E" w:rsidRDefault="000A5B7E" w:rsidP="000A5B7E">
            <w:pPr>
              <w:spacing w:after="0" w:line="259" w:lineRule="auto"/>
              <w:ind w:left="0" w:firstLine="0"/>
              <w:jc w:val="center"/>
              <w:rPr>
                <w:color w:val="auto"/>
                <w:sz w:val="22"/>
              </w:rPr>
            </w:pPr>
            <w:r>
              <w:rPr>
                <w:color w:val="auto"/>
                <w:sz w:val="22"/>
              </w:rPr>
              <w:t>mg/kg udtrykt i tørstof</w:t>
            </w:r>
          </w:p>
        </w:tc>
        <w:tc>
          <w:tcPr>
            <w:tcW w:w="2230"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770B0EE3" w14:textId="77777777" w:rsidTr="00A141D1">
        <w:trPr>
          <w:trHeight w:val="648"/>
        </w:trPr>
        <w:tc>
          <w:tcPr>
            <w:tcW w:w="2240"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Pr>
                <w:sz w:val="22"/>
              </w:rPr>
              <w:t xml:space="preserve">Xylen </w:t>
            </w:r>
          </w:p>
        </w:tc>
        <w:tc>
          <w:tcPr>
            <w:tcW w:w="2379" w:type="dxa"/>
            <w:vAlign w:val="center"/>
          </w:tcPr>
          <w:p w14:paraId="2315E973" w14:textId="711E2B4A" w:rsidR="000A5B7E" w:rsidRPr="00FD253E" w:rsidRDefault="000A5B7E" w:rsidP="000A5B7E">
            <w:pPr>
              <w:spacing w:after="0" w:line="259" w:lineRule="auto"/>
              <w:ind w:left="0" w:firstLine="0"/>
              <w:jc w:val="center"/>
              <w:rPr>
                <w:color w:val="auto"/>
                <w:sz w:val="22"/>
              </w:rPr>
            </w:pPr>
            <w:r>
              <w:rPr>
                <w:color w:val="auto"/>
                <w:sz w:val="22"/>
              </w:rPr>
              <w:t>mg/kg udtrykt i tørstof</w:t>
            </w:r>
          </w:p>
        </w:tc>
        <w:tc>
          <w:tcPr>
            <w:tcW w:w="2230"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4530D94" w14:textId="77777777" w:rsidTr="00A141D1">
        <w:trPr>
          <w:trHeight w:val="648"/>
        </w:trPr>
        <w:tc>
          <w:tcPr>
            <w:tcW w:w="2240"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Pr>
                <w:sz w:val="22"/>
              </w:rPr>
              <w:t xml:space="preserve">Organiske aromatiske tilsætningsstoffer (20-23) </w:t>
            </w:r>
          </w:p>
        </w:tc>
        <w:tc>
          <w:tcPr>
            <w:tcW w:w="2379" w:type="dxa"/>
            <w:vAlign w:val="center"/>
          </w:tcPr>
          <w:p w14:paraId="248E0F02" w14:textId="2F5FE143" w:rsidR="000A5B7E" w:rsidRPr="00FD253E" w:rsidRDefault="000A5B7E" w:rsidP="000A5B7E">
            <w:pPr>
              <w:spacing w:after="0" w:line="259" w:lineRule="auto"/>
              <w:ind w:left="0" w:firstLine="0"/>
              <w:jc w:val="center"/>
              <w:rPr>
                <w:color w:val="auto"/>
                <w:sz w:val="22"/>
              </w:rPr>
            </w:pPr>
            <w:r>
              <w:rPr>
                <w:color w:val="auto"/>
                <w:sz w:val="22"/>
              </w:rPr>
              <w:t>mg/kg udtrykt i tørstof</w:t>
            </w:r>
          </w:p>
        </w:tc>
        <w:tc>
          <w:tcPr>
            <w:tcW w:w="2230"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Pr>
                <w:sz w:val="22"/>
              </w:rPr>
              <w:t xml:space="preserve">1 </w:t>
            </w:r>
          </w:p>
        </w:tc>
      </w:tr>
      <w:tr w:rsidR="000A5B7E" w:rsidRPr="00FD253E" w14:paraId="6ECD05A3" w14:textId="77777777" w:rsidTr="00A141D1">
        <w:trPr>
          <w:trHeight w:val="648"/>
        </w:trPr>
        <w:tc>
          <w:tcPr>
            <w:tcW w:w="2240"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Pr>
                <w:sz w:val="22"/>
              </w:rPr>
              <w:t xml:space="preserve">(POLYCYKLISKE AROMATISKE KULBRINTER) </w:t>
            </w:r>
          </w:p>
        </w:tc>
        <w:tc>
          <w:tcPr>
            <w:tcW w:w="2379" w:type="dxa"/>
            <w:vAlign w:val="center"/>
          </w:tcPr>
          <w:p w14:paraId="651F3CAC" w14:textId="68D7D6C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A141D1">
        <w:trPr>
          <w:trHeight w:val="648"/>
        </w:trPr>
        <w:tc>
          <w:tcPr>
            <w:tcW w:w="2240" w:type="dxa"/>
            <w:vAlign w:val="center"/>
          </w:tcPr>
          <w:p w14:paraId="2CAC2AFF" w14:textId="3B589E77" w:rsidR="000A5B7E" w:rsidRPr="00FD253E" w:rsidRDefault="000A5B7E" w:rsidP="000A5B7E">
            <w:pPr>
              <w:spacing w:after="0" w:line="259" w:lineRule="auto"/>
              <w:ind w:left="0" w:right="63" w:firstLine="0"/>
              <w:jc w:val="center"/>
              <w:rPr>
                <w:color w:val="auto"/>
                <w:sz w:val="22"/>
              </w:rPr>
            </w:pPr>
            <w:r>
              <w:rPr>
                <w:sz w:val="22"/>
              </w:rPr>
              <w:t xml:space="preserve">Benzo(a)anthracen </w:t>
            </w:r>
          </w:p>
        </w:tc>
        <w:tc>
          <w:tcPr>
            <w:tcW w:w="2379" w:type="dxa"/>
            <w:vAlign w:val="center"/>
          </w:tcPr>
          <w:p w14:paraId="63FA4D61" w14:textId="64DF0DEC" w:rsidR="000A5B7E" w:rsidRPr="00FD253E" w:rsidRDefault="000A5B7E" w:rsidP="000A5B7E">
            <w:pPr>
              <w:spacing w:after="0" w:line="259" w:lineRule="auto"/>
              <w:ind w:left="0" w:firstLine="0"/>
              <w:jc w:val="center"/>
              <w:rPr>
                <w:color w:val="auto"/>
                <w:sz w:val="22"/>
              </w:rPr>
            </w:pPr>
            <w:r>
              <w:rPr>
                <w:color w:val="auto"/>
                <w:sz w:val="22"/>
              </w:rPr>
              <w:t>mg/kg udtrykt i tørstof</w:t>
            </w:r>
          </w:p>
        </w:tc>
        <w:tc>
          <w:tcPr>
            <w:tcW w:w="2230"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181DF00" w14:textId="77777777" w:rsidTr="00A141D1">
        <w:trPr>
          <w:trHeight w:val="648"/>
        </w:trPr>
        <w:tc>
          <w:tcPr>
            <w:tcW w:w="2240" w:type="dxa"/>
            <w:vAlign w:val="center"/>
          </w:tcPr>
          <w:p w14:paraId="772B1971" w14:textId="697A8FF1" w:rsidR="000A5B7E" w:rsidRPr="00FD253E" w:rsidRDefault="000A5B7E" w:rsidP="000A5B7E">
            <w:pPr>
              <w:spacing w:after="0" w:line="259" w:lineRule="auto"/>
              <w:ind w:left="0" w:right="63" w:firstLine="0"/>
              <w:jc w:val="center"/>
              <w:rPr>
                <w:color w:val="auto"/>
                <w:sz w:val="22"/>
              </w:rPr>
            </w:pPr>
            <w:r>
              <w:rPr>
                <w:sz w:val="22"/>
              </w:rPr>
              <w:t xml:space="preserve">Benzo(a)pyren </w:t>
            </w:r>
          </w:p>
        </w:tc>
        <w:tc>
          <w:tcPr>
            <w:tcW w:w="2379" w:type="dxa"/>
            <w:vAlign w:val="center"/>
          </w:tcPr>
          <w:p w14:paraId="4B7C0DB2" w14:textId="5AA5EB52" w:rsidR="000A5B7E" w:rsidRPr="00FD253E" w:rsidRDefault="000A5B7E" w:rsidP="000A5B7E">
            <w:pPr>
              <w:spacing w:after="0" w:line="259" w:lineRule="auto"/>
              <w:ind w:left="0" w:firstLine="0"/>
              <w:jc w:val="center"/>
              <w:rPr>
                <w:color w:val="auto"/>
                <w:sz w:val="22"/>
              </w:rPr>
            </w:pPr>
            <w:r>
              <w:rPr>
                <w:color w:val="auto"/>
                <w:sz w:val="22"/>
              </w:rPr>
              <w:t>mg/kg udtrykt i tørstof</w:t>
            </w:r>
          </w:p>
        </w:tc>
        <w:tc>
          <w:tcPr>
            <w:tcW w:w="2230"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5D06674A" w14:textId="77777777" w:rsidTr="00A141D1">
        <w:trPr>
          <w:trHeight w:val="648"/>
        </w:trPr>
        <w:tc>
          <w:tcPr>
            <w:tcW w:w="2240" w:type="dxa"/>
            <w:vAlign w:val="center"/>
          </w:tcPr>
          <w:p w14:paraId="602C184F" w14:textId="438FB41F" w:rsidR="000A5B7E" w:rsidRPr="00FD253E" w:rsidRDefault="000A5B7E" w:rsidP="000A5B7E">
            <w:pPr>
              <w:spacing w:after="0" w:line="259" w:lineRule="auto"/>
              <w:ind w:left="0" w:right="63" w:firstLine="0"/>
              <w:jc w:val="center"/>
              <w:rPr>
                <w:color w:val="auto"/>
                <w:sz w:val="22"/>
              </w:rPr>
            </w:pPr>
            <w:r>
              <w:rPr>
                <w:sz w:val="22"/>
              </w:rPr>
              <w:t xml:space="preserve">Benzo(b)fluoranthen </w:t>
            </w:r>
          </w:p>
        </w:tc>
        <w:tc>
          <w:tcPr>
            <w:tcW w:w="2379" w:type="dxa"/>
            <w:vAlign w:val="center"/>
          </w:tcPr>
          <w:p w14:paraId="16AD6B3D" w14:textId="3AD57243" w:rsidR="000A5B7E" w:rsidRPr="00FD253E" w:rsidRDefault="000A5B7E" w:rsidP="000A5B7E">
            <w:pPr>
              <w:spacing w:after="0" w:line="259" w:lineRule="auto"/>
              <w:ind w:left="0" w:firstLine="0"/>
              <w:jc w:val="center"/>
              <w:rPr>
                <w:color w:val="auto"/>
                <w:sz w:val="22"/>
              </w:rPr>
            </w:pPr>
            <w:r>
              <w:rPr>
                <w:color w:val="auto"/>
                <w:sz w:val="22"/>
              </w:rPr>
              <w:t>mg/kg udtrykt i tørstof</w:t>
            </w:r>
          </w:p>
        </w:tc>
        <w:tc>
          <w:tcPr>
            <w:tcW w:w="2230"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393142EA" w14:textId="77777777" w:rsidTr="00A141D1">
        <w:trPr>
          <w:trHeight w:val="648"/>
        </w:trPr>
        <w:tc>
          <w:tcPr>
            <w:tcW w:w="2240" w:type="dxa"/>
            <w:vAlign w:val="center"/>
          </w:tcPr>
          <w:p w14:paraId="15B76666" w14:textId="7A70FD6E" w:rsidR="000A5B7E" w:rsidRPr="00FD253E" w:rsidRDefault="000A5B7E" w:rsidP="000A5B7E">
            <w:pPr>
              <w:spacing w:after="0" w:line="259" w:lineRule="auto"/>
              <w:ind w:left="0" w:right="63" w:firstLine="0"/>
              <w:jc w:val="center"/>
              <w:rPr>
                <w:color w:val="auto"/>
                <w:sz w:val="22"/>
              </w:rPr>
            </w:pPr>
            <w:r>
              <w:rPr>
                <w:sz w:val="22"/>
              </w:rPr>
              <w:t xml:space="preserve">Benzo(k)fluoranthen </w:t>
            </w:r>
          </w:p>
        </w:tc>
        <w:tc>
          <w:tcPr>
            <w:tcW w:w="2379" w:type="dxa"/>
            <w:vAlign w:val="center"/>
          </w:tcPr>
          <w:p w14:paraId="37E01A1E" w14:textId="5DD6BE32" w:rsidR="000A5B7E" w:rsidRPr="00FD253E" w:rsidRDefault="000A5B7E" w:rsidP="000A5B7E">
            <w:pPr>
              <w:spacing w:after="0" w:line="259" w:lineRule="auto"/>
              <w:ind w:left="0" w:firstLine="0"/>
              <w:jc w:val="center"/>
              <w:rPr>
                <w:color w:val="auto"/>
                <w:sz w:val="22"/>
              </w:rPr>
            </w:pPr>
            <w:r>
              <w:rPr>
                <w:color w:val="auto"/>
                <w:sz w:val="22"/>
              </w:rPr>
              <w:t>mg/kg udtrykt i tørstof</w:t>
            </w:r>
          </w:p>
        </w:tc>
        <w:tc>
          <w:tcPr>
            <w:tcW w:w="2230"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9722EC1" w14:textId="77777777" w:rsidTr="00A141D1">
        <w:trPr>
          <w:trHeight w:val="648"/>
        </w:trPr>
        <w:tc>
          <w:tcPr>
            <w:tcW w:w="2240" w:type="dxa"/>
            <w:vAlign w:val="center"/>
          </w:tcPr>
          <w:p w14:paraId="0EEB3F11" w14:textId="039D92CB" w:rsidR="000A5B7E" w:rsidRPr="00FD253E" w:rsidRDefault="000A5B7E" w:rsidP="00E15E5B">
            <w:pPr>
              <w:spacing w:after="0" w:line="259" w:lineRule="auto"/>
              <w:ind w:left="0" w:right="63" w:firstLine="0"/>
              <w:jc w:val="center"/>
              <w:rPr>
                <w:color w:val="auto"/>
                <w:sz w:val="22"/>
              </w:rPr>
            </w:pPr>
            <w:r>
              <w:rPr>
                <w:sz w:val="22"/>
              </w:rPr>
              <w:t>Benzo(ghi)perylen</w:t>
            </w:r>
          </w:p>
        </w:tc>
        <w:tc>
          <w:tcPr>
            <w:tcW w:w="2379" w:type="dxa"/>
            <w:vAlign w:val="center"/>
          </w:tcPr>
          <w:p w14:paraId="71DF360E" w14:textId="3BF0D22D" w:rsidR="000A5B7E" w:rsidRPr="00FD253E" w:rsidRDefault="000A5B7E" w:rsidP="000A5B7E">
            <w:pPr>
              <w:spacing w:after="0" w:line="259" w:lineRule="auto"/>
              <w:ind w:left="0" w:firstLine="0"/>
              <w:jc w:val="center"/>
              <w:rPr>
                <w:color w:val="auto"/>
                <w:sz w:val="22"/>
              </w:rPr>
            </w:pPr>
            <w:r>
              <w:rPr>
                <w:color w:val="auto"/>
                <w:sz w:val="22"/>
              </w:rPr>
              <w:t>mg/kg udtrykt i tørstof</w:t>
            </w:r>
          </w:p>
        </w:tc>
        <w:tc>
          <w:tcPr>
            <w:tcW w:w="2230"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5597BF8" w14:textId="77777777" w:rsidTr="00A141D1">
        <w:trPr>
          <w:trHeight w:val="648"/>
        </w:trPr>
        <w:tc>
          <w:tcPr>
            <w:tcW w:w="2240" w:type="dxa"/>
            <w:vAlign w:val="center"/>
          </w:tcPr>
          <w:p w14:paraId="493A3FCF" w14:textId="0FF4BD1A" w:rsidR="000A5B7E" w:rsidRPr="00FD253E" w:rsidRDefault="000A5B7E" w:rsidP="000A5B7E">
            <w:pPr>
              <w:spacing w:after="0" w:line="259" w:lineRule="auto"/>
              <w:ind w:left="0" w:right="63" w:firstLine="0"/>
              <w:jc w:val="center"/>
              <w:rPr>
                <w:color w:val="auto"/>
                <w:sz w:val="22"/>
              </w:rPr>
            </w:pPr>
            <w:r>
              <w:rPr>
                <w:sz w:val="22"/>
              </w:rPr>
              <w:t xml:space="preserve">Chrysen </w:t>
            </w:r>
          </w:p>
        </w:tc>
        <w:tc>
          <w:tcPr>
            <w:tcW w:w="2379" w:type="dxa"/>
            <w:vAlign w:val="center"/>
          </w:tcPr>
          <w:p w14:paraId="5AAEB4D9" w14:textId="27105AFE" w:rsidR="000A5B7E" w:rsidRPr="00FD253E" w:rsidRDefault="000A5B7E" w:rsidP="000A5B7E">
            <w:pPr>
              <w:spacing w:after="0" w:line="259" w:lineRule="auto"/>
              <w:ind w:left="0" w:firstLine="0"/>
              <w:jc w:val="center"/>
              <w:rPr>
                <w:color w:val="auto"/>
                <w:sz w:val="22"/>
              </w:rPr>
            </w:pPr>
            <w:r>
              <w:rPr>
                <w:color w:val="auto"/>
                <w:sz w:val="22"/>
              </w:rPr>
              <w:t>mg/kg udtrykt i tørstof</w:t>
            </w:r>
          </w:p>
        </w:tc>
        <w:tc>
          <w:tcPr>
            <w:tcW w:w="2230"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Pr>
                <w:sz w:val="22"/>
              </w:rPr>
              <w:t xml:space="preserve">5 </w:t>
            </w:r>
          </w:p>
        </w:tc>
      </w:tr>
      <w:tr w:rsidR="000A5B7E" w:rsidRPr="00FD253E" w14:paraId="7004C326" w14:textId="77777777" w:rsidTr="00A141D1">
        <w:trPr>
          <w:trHeight w:val="648"/>
        </w:trPr>
        <w:tc>
          <w:tcPr>
            <w:tcW w:w="2240" w:type="dxa"/>
            <w:vAlign w:val="center"/>
          </w:tcPr>
          <w:p w14:paraId="4B16BC4D" w14:textId="22C611E6" w:rsidR="000A5B7E" w:rsidRPr="00FD253E" w:rsidRDefault="000A5B7E" w:rsidP="000A5B7E">
            <w:pPr>
              <w:spacing w:after="0" w:line="259" w:lineRule="auto"/>
              <w:ind w:left="0" w:right="63" w:firstLine="0"/>
              <w:jc w:val="center"/>
              <w:rPr>
                <w:color w:val="auto"/>
                <w:sz w:val="22"/>
              </w:rPr>
            </w:pPr>
            <w:r>
              <w:rPr>
                <w:sz w:val="22"/>
              </w:rPr>
              <w:lastRenderedPageBreak/>
              <w:t xml:space="preserve">Dibenzo(a,e)pyren </w:t>
            </w:r>
          </w:p>
        </w:tc>
        <w:tc>
          <w:tcPr>
            <w:tcW w:w="2379" w:type="dxa"/>
            <w:vAlign w:val="center"/>
          </w:tcPr>
          <w:p w14:paraId="4242A4DF" w14:textId="23729C65" w:rsidR="000A5B7E" w:rsidRPr="00FD253E" w:rsidRDefault="000A5B7E" w:rsidP="000A5B7E">
            <w:pPr>
              <w:spacing w:after="0" w:line="259" w:lineRule="auto"/>
              <w:ind w:left="0" w:firstLine="0"/>
              <w:jc w:val="center"/>
              <w:rPr>
                <w:color w:val="auto"/>
                <w:sz w:val="22"/>
              </w:rPr>
            </w:pPr>
            <w:r>
              <w:rPr>
                <w:color w:val="auto"/>
                <w:sz w:val="22"/>
              </w:rPr>
              <w:t>mg/kg udtrykt i tørstof</w:t>
            </w:r>
          </w:p>
        </w:tc>
        <w:tc>
          <w:tcPr>
            <w:tcW w:w="2230"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6B1E6D2A" w14:textId="77777777" w:rsidTr="00A141D1">
        <w:trPr>
          <w:trHeight w:val="648"/>
        </w:trPr>
        <w:tc>
          <w:tcPr>
            <w:tcW w:w="2240" w:type="dxa"/>
            <w:vAlign w:val="center"/>
          </w:tcPr>
          <w:p w14:paraId="55A39A82" w14:textId="32721EC7" w:rsidR="000A5B7E" w:rsidRPr="00FD253E" w:rsidRDefault="000A5B7E" w:rsidP="000A5B7E">
            <w:pPr>
              <w:spacing w:after="0" w:line="259" w:lineRule="auto"/>
              <w:ind w:left="0" w:right="63" w:firstLine="0"/>
              <w:jc w:val="center"/>
              <w:rPr>
                <w:color w:val="auto"/>
                <w:sz w:val="22"/>
              </w:rPr>
            </w:pPr>
            <w:r>
              <w:rPr>
                <w:sz w:val="22"/>
              </w:rPr>
              <w:t xml:space="preserve">Dibenzo(a,l)pyren </w:t>
            </w:r>
          </w:p>
        </w:tc>
        <w:tc>
          <w:tcPr>
            <w:tcW w:w="2379" w:type="dxa"/>
            <w:vAlign w:val="center"/>
          </w:tcPr>
          <w:p w14:paraId="006B52C2" w14:textId="0812EC39" w:rsidR="000A5B7E" w:rsidRPr="00FD253E" w:rsidRDefault="000A5B7E" w:rsidP="000A5B7E">
            <w:pPr>
              <w:spacing w:after="0" w:line="259" w:lineRule="auto"/>
              <w:ind w:left="0" w:firstLine="0"/>
              <w:jc w:val="center"/>
              <w:rPr>
                <w:color w:val="auto"/>
                <w:sz w:val="22"/>
              </w:rPr>
            </w:pPr>
            <w:r>
              <w:rPr>
                <w:color w:val="auto"/>
                <w:sz w:val="22"/>
              </w:rPr>
              <w:t>mg/kg udtrykt i tørstof</w:t>
            </w:r>
          </w:p>
        </w:tc>
        <w:tc>
          <w:tcPr>
            <w:tcW w:w="2230"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B682E92" w14:textId="77777777" w:rsidTr="00A141D1">
        <w:trPr>
          <w:trHeight w:val="648"/>
        </w:trPr>
        <w:tc>
          <w:tcPr>
            <w:tcW w:w="2240" w:type="dxa"/>
            <w:vAlign w:val="center"/>
          </w:tcPr>
          <w:p w14:paraId="09BC171D" w14:textId="0BC8E050" w:rsidR="000A5B7E" w:rsidRPr="00FD253E" w:rsidRDefault="000A5B7E" w:rsidP="000A5B7E">
            <w:pPr>
              <w:spacing w:after="0" w:line="259" w:lineRule="auto"/>
              <w:ind w:left="0" w:right="63" w:firstLine="0"/>
              <w:jc w:val="center"/>
              <w:rPr>
                <w:color w:val="auto"/>
                <w:sz w:val="22"/>
              </w:rPr>
            </w:pPr>
            <w:r>
              <w:rPr>
                <w:sz w:val="22"/>
              </w:rPr>
              <w:t xml:space="preserve">Dibenzo(a,i)pyren </w:t>
            </w:r>
          </w:p>
        </w:tc>
        <w:tc>
          <w:tcPr>
            <w:tcW w:w="2379" w:type="dxa"/>
            <w:vAlign w:val="center"/>
          </w:tcPr>
          <w:p w14:paraId="0FCF5DDF" w14:textId="7EE2E5FF" w:rsidR="000A5B7E" w:rsidRPr="00FD253E" w:rsidRDefault="000A5B7E" w:rsidP="000A5B7E">
            <w:pPr>
              <w:spacing w:after="0" w:line="259" w:lineRule="auto"/>
              <w:ind w:left="0" w:firstLine="0"/>
              <w:jc w:val="center"/>
              <w:rPr>
                <w:color w:val="auto"/>
                <w:sz w:val="22"/>
              </w:rPr>
            </w:pPr>
            <w:r>
              <w:rPr>
                <w:color w:val="auto"/>
                <w:sz w:val="22"/>
              </w:rPr>
              <w:t>mg/kg udtrykt i tørstof</w:t>
            </w:r>
          </w:p>
        </w:tc>
        <w:tc>
          <w:tcPr>
            <w:tcW w:w="2230"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138D6A9C" w14:textId="77777777" w:rsidTr="00A141D1">
        <w:trPr>
          <w:trHeight w:val="648"/>
        </w:trPr>
        <w:tc>
          <w:tcPr>
            <w:tcW w:w="2240" w:type="dxa"/>
            <w:vAlign w:val="center"/>
          </w:tcPr>
          <w:p w14:paraId="2F9D5212" w14:textId="4C6DE300" w:rsidR="000A5B7E" w:rsidRPr="00FD253E" w:rsidRDefault="000A5B7E" w:rsidP="000A5B7E">
            <w:pPr>
              <w:spacing w:after="0" w:line="259" w:lineRule="auto"/>
              <w:ind w:left="0" w:right="63" w:firstLine="0"/>
              <w:jc w:val="center"/>
              <w:rPr>
                <w:color w:val="auto"/>
                <w:sz w:val="22"/>
              </w:rPr>
            </w:pPr>
            <w:r>
              <w:rPr>
                <w:sz w:val="22"/>
              </w:rPr>
              <w:t xml:space="preserve">Dibenzo(a,h)pyren </w:t>
            </w:r>
          </w:p>
        </w:tc>
        <w:tc>
          <w:tcPr>
            <w:tcW w:w="2379" w:type="dxa"/>
            <w:vAlign w:val="center"/>
          </w:tcPr>
          <w:p w14:paraId="41624DC3" w14:textId="3F5904A7" w:rsidR="000A5B7E" w:rsidRPr="00FD253E" w:rsidRDefault="00070ADA" w:rsidP="000A5B7E">
            <w:pPr>
              <w:spacing w:after="0" w:line="259" w:lineRule="auto"/>
              <w:ind w:left="0" w:firstLine="0"/>
              <w:jc w:val="center"/>
              <w:rPr>
                <w:color w:val="auto"/>
                <w:sz w:val="22"/>
              </w:rPr>
            </w:pPr>
            <w:r>
              <w:rPr>
                <w:color w:val="auto"/>
                <w:sz w:val="22"/>
                <w:lang w:val="en-US"/>
              </w:rPr>
              <w:t>m</w:t>
            </w:r>
            <w:r>
              <w:rPr>
                <w:color w:val="auto"/>
                <w:sz w:val="22"/>
              </w:rPr>
              <w:t>g/kg udtrykt i tørstof</w:t>
            </w:r>
          </w:p>
        </w:tc>
        <w:tc>
          <w:tcPr>
            <w:tcW w:w="2230"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453851" w:rsidRPr="00FD253E" w14:paraId="676B7CE9" w14:textId="77777777" w:rsidTr="00A141D1">
        <w:trPr>
          <w:trHeight w:val="648"/>
        </w:trPr>
        <w:tc>
          <w:tcPr>
            <w:tcW w:w="2240"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r>
              <w:rPr>
                <w:sz w:val="22"/>
              </w:rPr>
              <w:t>Dibenzo(a,h)anthracen</w:t>
            </w:r>
          </w:p>
        </w:tc>
        <w:tc>
          <w:tcPr>
            <w:tcW w:w="2379" w:type="dxa"/>
            <w:vAlign w:val="center"/>
          </w:tcPr>
          <w:p w14:paraId="42798929" w14:textId="54430591" w:rsidR="00453851" w:rsidRPr="00FD253E" w:rsidRDefault="00070ADA" w:rsidP="000A5B7E">
            <w:pPr>
              <w:spacing w:after="0" w:line="259" w:lineRule="auto"/>
              <w:ind w:left="0" w:firstLine="0"/>
              <w:jc w:val="center"/>
              <w:rPr>
                <w:color w:val="auto"/>
                <w:sz w:val="22"/>
              </w:rPr>
            </w:pPr>
            <w:r>
              <w:rPr>
                <w:color w:val="auto"/>
                <w:sz w:val="22"/>
              </w:rPr>
              <w:t>mg/kg udtrykt i tørstof</w:t>
            </w:r>
          </w:p>
        </w:tc>
        <w:tc>
          <w:tcPr>
            <w:tcW w:w="2230"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A141D1">
        <w:trPr>
          <w:trHeight w:val="648"/>
        </w:trPr>
        <w:tc>
          <w:tcPr>
            <w:tcW w:w="2240"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r>
              <w:rPr>
                <w:sz w:val="22"/>
              </w:rPr>
              <w:t>Indopyren</w:t>
            </w:r>
          </w:p>
        </w:tc>
        <w:tc>
          <w:tcPr>
            <w:tcW w:w="2379" w:type="dxa"/>
            <w:vAlign w:val="center"/>
          </w:tcPr>
          <w:p w14:paraId="0361AC22" w14:textId="7FE358E9" w:rsidR="00453851" w:rsidRPr="00FD253E" w:rsidRDefault="00070ADA" w:rsidP="000A5B7E">
            <w:pPr>
              <w:spacing w:after="0" w:line="259" w:lineRule="auto"/>
              <w:ind w:left="0" w:firstLine="0"/>
              <w:jc w:val="center"/>
              <w:rPr>
                <w:color w:val="auto"/>
                <w:sz w:val="22"/>
              </w:rPr>
            </w:pPr>
            <w:r>
              <w:rPr>
                <w:color w:val="auto"/>
                <w:sz w:val="22"/>
              </w:rPr>
              <w:t>mg/kg udtrykt i tørstof</w:t>
            </w:r>
          </w:p>
        </w:tc>
        <w:tc>
          <w:tcPr>
            <w:tcW w:w="2230"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A141D1">
        <w:trPr>
          <w:trHeight w:val="648"/>
        </w:trPr>
        <w:tc>
          <w:tcPr>
            <w:tcW w:w="2240" w:type="dxa"/>
            <w:vAlign w:val="center"/>
          </w:tcPr>
          <w:p w14:paraId="7205FC89" w14:textId="7C0E86E2" w:rsidR="00453851" w:rsidRDefault="00453851" w:rsidP="000A5B7E">
            <w:pPr>
              <w:spacing w:after="0" w:line="259" w:lineRule="auto"/>
              <w:ind w:left="0" w:right="63" w:firstLine="0"/>
              <w:jc w:val="center"/>
              <w:rPr>
                <w:sz w:val="22"/>
              </w:rPr>
            </w:pPr>
            <w:r>
              <w:rPr>
                <w:sz w:val="22"/>
              </w:rPr>
              <w:t>Pyren</w:t>
            </w:r>
          </w:p>
        </w:tc>
        <w:tc>
          <w:tcPr>
            <w:tcW w:w="2379" w:type="dxa"/>
            <w:vAlign w:val="center"/>
          </w:tcPr>
          <w:p w14:paraId="6AB60582" w14:textId="69811FDE" w:rsidR="00453851" w:rsidRPr="00FD253E" w:rsidRDefault="00070ADA" w:rsidP="000A5B7E">
            <w:pPr>
              <w:spacing w:after="0" w:line="259" w:lineRule="auto"/>
              <w:ind w:left="0" w:firstLine="0"/>
              <w:jc w:val="center"/>
              <w:rPr>
                <w:color w:val="auto"/>
                <w:sz w:val="22"/>
              </w:rPr>
            </w:pPr>
            <w:r>
              <w:rPr>
                <w:color w:val="auto"/>
                <w:sz w:val="22"/>
              </w:rPr>
              <w:t>mg/kg udtrykt i tørstof</w:t>
            </w:r>
          </w:p>
        </w:tc>
        <w:tc>
          <w:tcPr>
            <w:tcW w:w="2230"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A141D1">
        <w:trPr>
          <w:trHeight w:val="648"/>
        </w:trPr>
        <w:tc>
          <w:tcPr>
            <w:tcW w:w="2240"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Pr>
                <w:sz w:val="22"/>
              </w:rPr>
              <w:t xml:space="preserve">Polycykliske aromatiske tilsætningsstoffer (25-34) </w:t>
            </w:r>
          </w:p>
        </w:tc>
        <w:tc>
          <w:tcPr>
            <w:tcW w:w="2379" w:type="dxa"/>
            <w:vAlign w:val="center"/>
          </w:tcPr>
          <w:p w14:paraId="3A6A23A7" w14:textId="4AC09ACE" w:rsidR="000A5B7E" w:rsidRPr="00FD253E" w:rsidRDefault="000A5B7E" w:rsidP="000A5B7E">
            <w:pPr>
              <w:spacing w:after="0" w:line="259" w:lineRule="auto"/>
              <w:ind w:left="0" w:firstLine="0"/>
              <w:jc w:val="center"/>
              <w:rPr>
                <w:color w:val="auto"/>
                <w:sz w:val="22"/>
              </w:rPr>
            </w:pPr>
            <w:r>
              <w:rPr>
                <w:color w:val="auto"/>
                <w:sz w:val="22"/>
              </w:rPr>
              <w:t>mg/kg udtrykt i tørstof</w:t>
            </w:r>
          </w:p>
        </w:tc>
        <w:tc>
          <w:tcPr>
            <w:tcW w:w="2230"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Pr>
                <w:sz w:val="22"/>
              </w:rPr>
              <w:t xml:space="preserve">10 </w:t>
            </w:r>
          </w:p>
        </w:tc>
      </w:tr>
      <w:tr w:rsidR="000A5B7E" w:rsidRPr="00FD253E" w14:paraId="6849F989" w14:textId="77777777" w:rsidTr="00A141D1">
        <w:trPr>
          <w:trHeight w:val="672"/>
        </w:trPr>
        <w:tc>
          <w:tcPr>
            <w:tcW w:w="2240"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Pr>
                <w:color w:val="auto"/>
                <w:sz w:val="22"/>
              </w:rPr>
              <w:t xml:space="preserve">Phenol </w:t>
            </w:r>
          </w:p>
        </w:tc>
        <w:tc>
          <w:tcPr>
            <w:tcW w:w="2379" w:type="dxa"/>
            <w:vAlign w:val="center"/>
          </w:tcPr>
          <w:p w14:paraId="52525889" w14:textId="7C7E682E" w:rsidR="000A5B7E" w:rsidRPr="00FD253E" w:rsidRDefault="000A5B7E" w:rsidP="000A5B7E">
            <w:pPr>
              <w:spacing w:after="0" w:line="259" w:lineRule="auto"/>
              <w:ind w:left="0" w:firstLine="0"/>
              <w:jc w:val="center"/>
              <w:rPr>
                <w:color w:val="auto"/>
                <w:sz w:val="22"/>
              </w:rPr>
            </w:pPr>
            <w:r>
              <w:rPr>
                <w:color w:val="auto"/>
                <w:sz w:val="22"/>
              </w:rPr>
              <w:t xml:space="preserve">mg/kg udtrykt i tørstof </w:t>
            </w:r>
          </w:p>
        </w:tc>
        <w:tc>
          <w:tcPr>
            <w:tcW w:w="2230"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1 </w:t>
            </w:r>
          </w:p>
        </w:tc>
      </w:tr>
      <w:tr w:rsidR="000A5B7E" w:rsidRPr="00FD253E" w14:paraId="3FDF4CA6" w14:textId="77777777" w:rsidTr="00A141D1">
        <w:trPr>
          <w:trHeight w:val="672"/>
        </w:trPr>
        <w:tc>
          <w:tcPr>
            <w:tcW w:w="2240"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Pr>
                <w:color w:val="auto"/>
                <w:sz w:val="22"/>
              </w:rPr>
              <w:t xml:space="preserve">PCB </w:t>
            </w:r>
          </w:p>
        </w:tc>
        <w:tc>
          <w:tcPr>
            <w:tcW w:w="2379" w:type="dxa"/>
            <w:vAlign w:val="center"/>
          </w:tcPr>
          <w:p w14:paraId="348B307E" w14:textId="3C8D1A1E" w:rsidR="000A5B7E" w:rsidRPr="00FD253E" w:rsidRDefault="000A5B7E" w:rsidP="000A5B7E">
            <w:pPr>
              <w:spacing w:after="0" w:line="259" w:lineRule="auto"/>
              <w:ind w:left="0" w:firstLine="0"/>
              <w:jc w:val="center"/>
              <w:rPr>
                <w:color w:val="auto"/>
                <w:sz w:val="22"/>
              </w:rPr>
            </w:pPr>
            <w:r>
              <w:rPr>
                <w:color w:val="auto"/>
                <w:sz w:val="22"/>
              </w:rPr>
              <w:t xml:space="preserve">mg/kg udtrykt i tørstof </w:t>
            </w:r>
          </w:p>
        </w:tc>
        <w:tc>
          <w:tcPr>
            <w:tcW w:w="2230"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Pr>
                <w:color w:val="auto"/>
                <w:sz w:val="22"/>
              </w:rPr>
              <w:t xml:space="preserve">0,06 </w:t>
            </w:r>
          </w:p>
        </w:tc>
      </w:tr>
      <w:tr w:rsidR="000A5B7E" w:rsidRPr="00FD253E" w14:paraId="19B24143" w14:textId="77777777" w:rsidTr="00A141D1">
        <w:trPr>
          <w:trHeight w:val="672"/>
        </w:trPr>
        <w:tc>
          <w:tcPr>
            <w:tcW w:w="2240"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Pr>
                <w:color w:val="auto"/>
                <w:sz w:val="22"/>
              </w:rPr>
              <w:t xml:space="preserve">C&gt;12 </w:t>
            </w:r>
          </w:p>
        </w:tc>
        <w:tc>
          <w:tcPr>
            <w:tcW w:w="2379" w:type="dxa"/>
            <w:vAlign w:val="center"/>
          </w:tcPr>
          <w:p w14:paraId="46AF1CAA" w14:textId="1F64F323" w:rsidR="000A5B7E" w:rsidRPr="00FD253E" w:rsidRDefault="000A5B7E" w:rsidP="000A5B7E">
            <w:pPr>
              <w:spacing w:after="0" w:line="259" w:lineRule="auto"/>
              <w:ind w:left="0" w:firstLine="0"/>
              <w:jc w:val="center"/>
              <w:rPr>
                <w:color w:val="auto"/>
                <w:sz w:val="22"/>
              </w:rPr>
            </w:pPr>
            <w:r>
              <w:rPr>
                <w:color w:val="auto"/>
                <w:sz w:val="22"/>
              </w:rPr>
              <w:t xml:space="preserve">mg/kg udtrykt i tørstof </w:t>
            </w:r>
          </w:p>
        </w:tc>
        <w:tc>
          <w:tcPr>
            <w:tcW w:w="2230"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50 </w:t>
            </w:r>
          </w:p>
        </w:tc>
      </w:tr>
      <w:tr w:rsidR="000A5B7E" w:rsidRPr="00FD253E" w14:paraId="5DF320E2" w14:textId="77777777" w:rsidTr="00A141D1">
        <w:trPr>
          <w:trHeight w:val="672"/>
        </w:trPr>
        <w:tc>
          <w:tcPr>
            <w:tcW w:w="2240"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Pr>
                <w:color w:val="auto"/>
                <w:sz w:val="22"/>
              </w:rPr>
              <w:t xml:space="preserve">Cr VI </w:t>
            </w:r>
          </w:p>
        </w:tc>
        <w:tc>
          <w:tcPr>
            <w:tcW w:w="2379" w:type="dxa"/>
            <w:vAlign w:val="center"/>
          </w:tcPr>
          <w:p w14:paraId="19072EBF" w14:textId="18C3D538" w:rsidR="000A5B7E" w:rsidRPr="00FD253E" w:rsidRDefault="000A5B7E" w:rsidP="000A5B7E">
            <w:pPr>
              <w:spacing w:after="0" w:line="259" w:lineRule="auto"/>
              <w:ind w:left="0" w:firstLine="0"/>
              <w:jc w:val="center"/>
              <w:rPr>
                <w:color w:val="auto"/>
                <w:sz w:val="22"/>
              </w:rPr>
            </w:pPr>
            <w:r>
              <w:rPr>
                <w:color w:val="auto"/>
                <w:sz w:val="22"/>
              </w:rPr>
              <w:t xml:space="preserve">mg/kg udtrykt i tørstof </w:t>
            </w:r>
          </w:p>
        </w:tc>
        <w:tc>
          <w:tcPr>
            <w:tcW w:w="2230"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2 </w:t>
            </w:r>
          </w:p>
        </w:tc>
      </w:tr>
      <w:tr w:rsidR="000A5B7E" w:rsidRPr="00FD253E" w14:paraId="38F919ED" w14:textId="77777777" w:rsidTr="00A141D1">
        <w:trPr>
          <w:trHeight w:val="382"/>
        </w:trPr>
        <w:tc>
          <w:tcPr>
            <w:tcW w:w="2240" w:type="dxa"/>
            <w:vAlign w:val="center"/>
          </w:tcPr>
          <w:p w14:paraId="53415E89" w14:textId="4ABA58B9" w:rsidR="000A5B7E" w:rsidRPr="00FD253E" w:rsidRDefault="000A5B7E" w:rsidP="000A5B7E">
            <w:pPr>
              <w:spacing w:after="0" w:line="259" w:lineRule="auto"/>
              <w:ind w:left="49" w:firstLine="0"/>
              <w:jc w:val="center"/>
              <w:rPr>
                <w:color w:val="auto"/>
                <w:sz w:val="22"/>
              </w:rPr>
            </w:pPr>
            <w:r>
              <w:rPr>
                <w:color w:val="auto"/>
                <w:sz w:val="22"/>
              </w:rPr>
              <w:t xml:space="preserve">Flydende materialer </w:t>
            </w:r>
            <w:r>
              <w:rPr>
                <w:i/>
                <w:color w:val="auto"/>
                <w:sz w:val="22"/>
              </w:rPr>
              <w:t>(**)</w:t>
            </w:r>
          </w:p>
        </w:tc>
        <w:tc>
          <w:tcPr>
            <w:tcW w:w="237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Pr>
                <w:color w:val="auto"/>
                <w:sz w:val="22"/>
              </w:rPr>
              <w:t>cm</w:t>
            </w:r>
            <w:r>
              <w:rPr>
                <w:color w:val="auto"/>
                <w:sz w:val="22"/>
                <w:vertAlign w:val="superscript"/>
              </w:rPr>
              <w:t>3</w:t>
            </w:r>
            <w:r>
              <w:rPr>
                <w:color w:val="auto"/>
                <w:sz w:val="22"/>
              </w:rPr>
              <w:t xml:space="preserve">/kg </w:t>
            </w:r>
          </w:p>
        </w:tc>
        <w:tc>
          <w:tcPr>
            <w:tcW w:w="2230"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&lt;5 </w:t>
            </w:r>
          </w:p>
        </w:tc>
      </w:tr>
      <w:tr w:rsidR="000A5B7E" w:rsidRPr="00FD253E" w14:paraId="608A5E6D" w14:textId="77777777" w:rsidTr="00A141D1">
        <w:trPr>
          <w:trHeight w:val="381"/>
        </w:trPr>
        <w:tc>
          <w:tcPr>
            <w:tcW w:w="2240"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Pr>
                <w:color w:val="auto"/>
                <w:sz w:val="22"/>
              </w:rPr>
              <w:t xml:space="preserve">Fremmede dele </w:t>
            </w:r>
            <w:r>
              <w:rPr>
                <w:i/>
                <w:color w:val="auto"/>
                <w:sz w:val="22"/>
              </w:rPr>
              <w:t>(**)</w:t>
            </w:r>
          </w:p>
        </w:tc>
        <w:tc>
          <w:tcPr>
            <w:tcW w:w="237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Pr>
                <w:color w:val="auto"/>
                <w:sz w:val="22"/>
              </w:rPr>
              <w:t xml:space="preserve">i vægtprocent </w:t>
            </w:r>
          </w:p>
        </w:tc>
        <w:tc>
          <w:tcPr>
            <w:tcW w:w="2230"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Pr>
                <w:color w:val="auto"/>
                <w:sz w:val="22"/>
              </w:rPr>
              <w:t xml:space="preserve">&lt;1% </w:t>
            </w:r>
          </w:p>
        </w:tc>
      </w:tr>
    </w:tbl>
    <w:p w14:paraId="37556506" w14:textId="2E2B0C23" w:rsidR="00D630D6" w:rsidRPr="00B6618B" w:rsidRDefault="00B6618B" w:rsidP="00B6618B">
      <w:pPr>
        <w:spacing w:line="267" w:lineRule="auto"/>
        <w:ind w:right="62"/>
        <w:jc w:val="left"/>
        <w:rPr>
          <w:sz w:val="18"/>
          <w:szCs w:val="18"/>
        </w:rPr>
      </w:pPr>
      <w:r>
        <w:rPr>
          <w:sz w:val="18"/>
        </w:rPr>
        <w:t xml:space="preserve">            Tabel 2 – Parametre, der skal undersøges, og grænseværdier</w:t>
      </w:r>
    </w:p>
    <w:p w14:paraId="62116075" w14:textId="77777777" w:rsidR="00D630D6" w:rsidRDefault="00D630D6" w:rsidP="00D630D6">
      <w:pPr>
        <w:spacing w:line="267" w:lineRule="auto"/>
        <w:ind w:right="62"/>
        <w:jc w:val="center"/>
      </w:pPr>
    </w:p>
    <w:p w14:paraId="6EE890F6" w14:textId="50AD2C9A" w:rsidR="00D630D6" w:rsidRPr="0012657B" w:rsidRDefault="00D630D6" w:rsidP="00D630D6">
      <w:pPr>
        <w:spacing w:after="0" w:line="289" w:lineRule="auto"/>
        <w:ind w:left="0" w:right="63" w:firstLine="0"/>
        <w:rPr>
          <w:i/>
          <w:color w:val="auto"/>
          <w:sz w:val="22"/>
        </w:rPr>
      </w:pPr>
      <w:r>
        <w:rPr>
          <w:i/>
          <w:color w:val="auto"/>
          <w:sz w:val="22"/>
        </w:rPr>
        <w:t xml:space="preserve">(*) Svarende til detektionsgrænsen for den analytiske teknik (mikroskopi og/eller lignende hvad angår detektion). Under alle omstændigheder anvendes den officielt anerkendte metode for hele det nationale område, som gør det muligt at påvise lavere koncentrationsværdier. </w:t>
      </w:r>
    </w:p>
    <w:p w14:paraId="1E04A610" w14:textId="538319D6" w:rsidR="002078AA" w:rsidRPr="0012657B" w:rsidRDefault="002078AA" w:rsidP="002078AA">
      <w:pPr>
        <w:spacing w:after="0" w:line="289" w:lineRule="auto"/>
        <w:ind w:left="0" w:right="63" w:firstLine="0"/>
        <w:rPr>
          <w:color w:val="auto"/>
          <w:sz w:val="22"/>
        </w:rPr>
      </w:pPr>
      <w:r>
        <w:rPr>
          <w:i/>
          <w:color w:val="auto"/>
          <w:sz w:val="22"/>
        </w:rPr>
        <w:t>(**) Hvis det ikke er defineret i gældende tekniske standarder</w:t>
      </w:r>
    </w:p>
    <w:p w14:paraId="7D51FFC6" w14:textId="47EFD5AA" w:rsidR="00F1673E" w:rsidRDefault="00F1673E">
      <w:pPr>
        <w:tabs>
          <w:tab w:val="center" w:pos="2878"/>
        </w:tabs>
        <w:spacing w:after="23" w:line="259" w:lineRule="auto"/>
        <w:ind w:left="-15" w:firstLine="0"/>
        <w:jc w:val="left"/>
        <w:rPr>
          <w:b/>
        </w:rPr>
      </w:pPr>
    </w:p>
    <w:p w14:paraId="56E4C501" w14:textId="2166A6EF" w:rsidR="00F433CF" w:rsidRDefault="00F433CF">
      <w:pPr>
        <w:tabs>
          <w:tab w:val="center" w:pos="2878"/>
        </w:tabs>
        <w:spacing w:after="23" w:line="259" w:lineRule="auto"/>
        <w:ind w:left="-15" w:firstLine="0"/>
        <w:jc w:val="left"/>
        <w:rPr>
          <w:b/>
        </w:rPr>
      </w:pPr>
    </w:p>
    <w:p w14:paraId="7A1EE40E" w14:textId="77777777" w:rsidR="00F433CF" w:rsidRDefault="00F433CF">
      <w:pPr>
        <w:tabs>
          <w:tab w:val="center" w:pos="2878"/>
        </w:tabs>
        <w:spacing w:after="23" w:line="259" w:lineRule="auto"/>
        <w:ind w:left="-15" w:firstLine="0"/>
        <w:jc w:val="left"/>
        <w:rPr>
          <w:b/>
        </w:rPr>
      </w:pPr>
    </w:p>
    <w:p w14:paraId="3AA9217C" w14:textId="4DCE47DD" w:rsidR="000B2060" w:rsidRDefault="009E72B8">
      <w:pPr>
        <w:tabs>
          <w:tab w:val="center" w:pos="2878"/>
        </w:tabs>
        <w:spacing w:after="23" w:line="259" w:lineRule="auto"/>
        <w:ind w:left="-15" w:firstLine="0"/>
        <w:jc w:val="left"/>
      </w:pPr>
      <w:r>
        <w:rPr>
          <w:b/>
        </w:rPr>
        <w:t>d.2)</w:t>
      </w:r>
      <w:r>
        <w:rPr>
          <w:b/>
        </w:rPr>
        <w:tab/>
        <w:t xml:space="preserve">Frigivelsestest på det genvundne aggregat.  </w:t>
      </w:r>
    </w:p>
    <w:p w14:paraId="05765F60" w14:textId="50B4051B" w:rsidR="000B2060" w:rsidRPr="00751073" w:rsidRDefault="009E72B8" w:rsidP="005F0151">
      <w:pPr>
        <w:ind w:left="-5" w:right="51"/>
        <w:rPr>
          <w:color w:val="auto"/>
        </w:rPr>
      </w:pPr>
      <w:r>
        <w:rPr>
          <w:color w:val="auto"/>
        </w:rPr>
        <w:t>Hvert parti genvundne granulater, der fremstilles, bortset fra dem, der er bestemt til emballering af beton som omhandlet i UNI EN 12620 med resistensklasse Rck/leq ≥ 15 MPa, skal underkastes frigivelsestesten for at vurdere, om grænseværdierne for parametrene i tabel 3 er overholdt.</w:t>
      </w:r>
      <w:r>
        <w:rPr>
          <w:b/>
          <w:color w:val="auto"/>
        </w:rPr>
        <w:t xml:space="preserve"> </w:t>
      </w:r>
      <w:r>
        <w:rPr>
          <w:color w:val="auto"/>
        </w:rPr>
        <w:t xml:space="preserve"> </w:t>
      </w:r>
    </w:p>
    <w:p w14:paraId="2935AABC" w14:textId="77777777" w:rsidR="000B2060" w:rsidRDefault="009E72B8">
      <w:pPr>
        <w:ind w:left="-5" w:right="51"/>
      </w:pPr>
      <w:r>
        <w:lastRenderedPageBreak/>
        <w:t xml:space="preserve">Bilag A til UNI 10802-standarden og metoden i henhold til UNI EN 12457-2-standarden anvendes til at bestemme frigivelsestesten.  </w:t>
      </w:r>
    </w:p>
    <w:p w14:paraId="0AE3C55E" w14:textId="77777777" w:rsidR="000B2060" w:rsidRDefault="009E72B8">
      <w:pPr>
        <w:ind w:left="-5" w:right="51"/>
      </w:pPr>
      <w:r>
        <w:t xml:space="preserve">Kun i tilfælde, hvor den prøve, der skal analyseres, har en meget fin kornstørrelse, bør der anvendes en ultracentrifuge (20000 G) i mindst 10 minutter uden at fortsætte med det naturlige sedimenteringstrin.  </w:t>
      </w:r>
    </w:p>
    <w:p w14:paraId="5F175D2C" w14:textId="77777777" w:rsidR="000B2060" w:rsidRDefault="009E72B8">
      <w:pPr>
        <w:ind w:left="-5" w:right="51"/>
      </w:pPr>
      <w:r>
        <w:t xml:space="preserve">Først efter dette trin kan det efterfølgende filtreringstrin udføres i overensstemmelse med punkt 5.2.2 i UNI EN 12457-2 trin.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Pr>
                <w:b/>
                <w:sz w:val="22"/>
              </w:rPr>
              <w:t xml:space="preserve">Parametre </w:t>
            </w:r>
          </w:p>
        </w:tc>
        <w:tc>
          <w:tcPr>
            <w:tcW w:w="2152" w:type="dxa"/>
          </w:tcPr>
          <w:p w14:paraId="1271A79F" w14:textId="77777777" w:rsidR="000B2060" w:rsidRPr="0012657B" w:rsidRDefault="009E72B8">
            <w:pPr>
              <w:spacing w:after="0" w:line="259" w:lineRule="auto"/>
              <w:ind w:left="0" w:right="2" w:firstLine="0"/>
              <w:jc w:val="center"/>
              <w:rPr>
                <w:sz w:val="22"/>
              </w:rPr>
            </w:pPr>
            <w:r>
              <w:rPr>
                <w:b/>
                <w:sz w:val="22"/>
              </w:rPr>
              <w:t xml:space="preserve">Måleenhed </w:t>
            </w:r>
          </w:p>
        </w:tc>
        <w:tc>
          <w:tcPr>
            <w:tcW w:w="3045" w:type="dxa"/>
          </w:tcPr>
          <w:p w14:paraId="2D3845DF" w14:textId="77777777" w:rsidR="000B2060" w:rsidRPr="0012657B" w:rsidRDefault="009E72B8">
            <w:pPr>
              <w:spacing w:after="0" w:line="259" w:lineRule="auto"/>
              <w:ind w:left="5" w:firstLine="0"/>
              <w:jc w:val="center"/>
              <w:rPr>
                <w:sz w:val="22"/>
              </w:rPr>
            </w:pPr>
            <w:r>
              <w:rPr>
                <w:b/>
                <w:sz w:val="22"/>
              </w:rPr>
              <w:t xml:space="preserve">Grænsekoncentrationer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Pr>
                <w:sz w:val="22"/>
              </w:rPr>
              <w:t xml:space="preserve">Nitrat </w:t>
            </w:r>
          </w:p>
        </w:tc>
        <w:tc>
          <w:tcPr>
            <w:tcW w:w="2152" w:type="dxa"/>
          </w:tcPr>
          <w:p w14:paraId="43E6F3EB"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Pr>
                <w:sz w:val="22"/>
              </w:rPr>
              <w:t xml:space="preserve">Fluorid </w:t>
            </w:r>
          </w:p>
        </w:tc>
        <w:tc>
          <w:tcPr>
            <w:tcW w:w="2152" w:type="dxa"/>
          </w:tcPr>
          <w:p w14:paraId="1C981944"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Pr>
                <w:sz w:val="22"/>
              </w:rPr>
              <w:t xml:space="preserve">Cyanider </w:t>
            </w:r>
          </w:p>
        </w:tc>
        <w:tc>
          <w:tcPr>
            <w:tcW w:w="2152" w:type="dxa"/>
          </w:tcPr>
          <w:p w14:paraId="7EF626B2"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44376463"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Pr>
                <w:sz w:val="22"/>
              </w:rPr>
              <w:t xml:space="preserve">Barium </w:t>
            </w:r>
          </w:p>
        </w:tc>
        <w:tc>
          <w:tcPr>
            <w:tcW w:w="2152" w:type="dxa"/>
          </w:tcPr>
          <w:p w14:paraId="41127EFF"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Pr>
                <w:sz w:val="22"/>
              </w:rPr>
              <w:t xml:space="preserve">Kobber </w:t>
            </w:r>
          </w:p>
        </w:tc>
        <w:tc>
          <w:tcPr>
            <w:tcW w:w="2152" w:type="dxa"/>
          </w:tcPr>
          <w:p w14:paraId="1320BEB7"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Pr>
                <w:sz w:val="22"/>
              </w:rPr>
              <w:t xml:space="preserve">Zink </w:t>
            </w:r>
          </w:p>
        </w:tc>
        <w:tc>
          <w:tcPr>
            <w:tcW w:w="2152" w:type="dxa"/>
          </w:tcPr>
          <w:p w14:paraId="003F802C"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Pr>
                <w:sz w:val="22"/>
              </w:rPr>
              <w:t xml:space="preserve">Beryllium </w:t>
            </w:r>
          </w:p>
        </w:tc>
        <w:tc>
          <w:tcPr>
            <w:tcW w:w="2152" w:type="dxa"/>
          </w:tcPr>
          <w:p w14:paraId="2348BF23"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38D963BA"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Pr>
                <w:sz w:val="22"/>
              </w:rPr>
              <w:t xml:space="preserve">Kobolt </w:t>
            </w:r>
          </w:p>
        </w:tc>
        <w:tc>
          <w:tcPr>
            <w:tcW w:w="2152" w:type="dxa"/>
          </w:tcPr>
          <w:p w14:paraId="4031F4E5"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578CC84A"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Pr>
                <w:sz w:val="22"/>
              </w:rPr>
              <w:t xml:space="preserve">Nikkel </w:t>
            </w:r>
          </w:p>
        </w:tc>
        <w:tc>
          <w:tcPr>
            <w:tcW w:w="2152" w:type="dxa"/>
          </w:tcPr>
          <w:p w14:paraId="26E050F1"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068E0346"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Pr>
                <w:sz w:val="22"/>
              </w:rPr>
              <w:t xml:space="preserve">Vanadium </w:t>
            </w:r>
          </w:p>
        </w:tc>
        <w:tc>
          <w:tcPr>
            <w:tcW w:w="2152" w:type="dxa"/>
          </w:tcPr>
          <w:p w14:paraId="7EC04566"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31334E0B"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Pr>
                <w:sz w:val="22"/>
              </w:rPr>
              <w:t xml:space="preserve">Arsen </w:t>
            </w:r>
          </w:p>
        </w:tc>
        <w:tc>
          <w:tcPr>
            <w:tcW w:w="2152" w:type="dxa"/>
          </w:tcPr>
          <w:p w14:paraId="4D807DD6"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55686B6F"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Pr>
                <w:sz w:val="22"/>
              </w:rPr>
              <w:t xml:space="preserve">Cadmium </w:t>
            </w:r>
          </w:p>
        </w:tc>
        <w:tc>
          <w:tcPr>
            <w:tcW w:w="2152" w:type="dxa"/>
          </w:tcPr>
          <w:p w14:paraId="2405D85B"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0F49E6E4" w14:textId="77777777" w:rsidR="000B2060" w:rsidRPr="0012657B" w:rsidRDefault="009E72B8">
            <w:pPr>
              <w:spacing w:after="0" w:line="259" w:lineRule="auto"/>
              <w:ind w:left="5" w:firstLine="0"/>
              <w:jc w:val="center"/>
              <w:rPr>
                <w:sz w:val="22"/>
              </w:rPr>
            </w:pPr>
            <w:r>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Pr>
                <w:sz w:val="22"/>
              </w:rPr>
              <w:t xml:space="preserve">Chrom i alt </w:t>
            </w:r>
          </w:p>
        </w:tc>
        <w:tc>
          <w:tcPr>
            <w:tcW w:w="2152" w:type="dxa"/>
          </w:tcPr>
          <w:p w14:paraId="22C61E2D"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25807679"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Pr>
                <w:sz w:val="22"/>
              </w:rPr>
              <w:t xml:space="preserve">Bly </w:t>
            </w:r>
          </w:p>
        </w:tc>
        <w:tc>
          <w:tcPr>
            <w:tcW w:w="2152" w:type="dxa"/>
          </w:tcPr>
          <w:p w14:paraId="6220EDA7"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2449FCE1"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Pr>
                <w:sz w:val="22"/>
              </w:rPr>
              <w:t xml:space="preserve">Selen </w:t>
            </w:r>
          </w:p>
        </w:tc>
        <w:tc>
          <w:tcPr>
            <w:tcW w:w="2152" w:type="dxa"/>
          </w:tcPr>
          <w:p w14:paraId="291CC444"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4FA22B6F"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Pr>
                <w:sz w:val="22"/>
              </w:rPr>
              <w:t xml:space="preserve">Kviksølv </w:t>
            </w:r>
          </w:p>
        </w:tc>
        <w:tc>
          <w:tcPr>
            <w:tcW w:w="2152" w:type="dxa"/>
          </w:tcPr>
          <w:p w14:paraId="6CC2289B"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6F9CC415"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Pr>
                <w:sz w:val="22"/>
              </w:rPr>
              <w:t xml:space="preserve">COD </w:t>
            </w:r>
          </w:p>
        </w:tc>
        <w:tc>
          <w:tcPr>
            <w:tcW w:w="2152" w:type="dxa"/>
          </w:tcPr>
          <w:p w14:paraId="3771D45D"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Pr>
                <w:sz w:val="22"/>
              </w:rPr>
              <w:t xml:space="preserve">Sulfater </w:t>
            </w:r>
          </w:p>
        </w:tc>
        <w:tc>
          <w:tcPr>
            <w:tcW w:w="2152" w:type="dxa"/>
          </w:tcPr>
          <w:p w14:paraId="18EF2905"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Pr>
                <w:sz w:val="22"/>
              </w:rPr>
              <w:t xml:space="preserve">Klorider </w:t>
            </w:r>
          </w:p>
        </w:tc>
        <w:tc>
          <w:tcPr>
            <w:tcW w:w="2152" w:type="dxa"/>
          </w:tcPr>
          <w:p w14:paraId="0DF5C426"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Pr>
                <w:sz w:val="22"/>
              </w:rPr>
              <w:t xml:space="preserve">pH  </w:t>
            </w:r>
          </w:p>
        </w:tc>
        <w:tc>
          <w:tcPr>
            <w:tcW w:w="2152" w:type="dxa"/>
          </w:tcPr>
          <w:p w14:paraId="346DD7F1" w14:textId="77777777" w:rsidR="000B2060" w:rsidRPr="0012657B" w:rsidRDefault="009E72B8">
            <w:pPr>
              <w:spacing w:after="0" w:line="259" w:lineRule="auto"/>
              <w:ind w:left="56" w:firstLine="0"/>
              <w:jc w:val="center"/>
              <w:rPr>
                <w:sz w:val="22"/>
              </w:rPr>
            </w:pPr>
            <w:r>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Tabel 3 — Analytter, der skal undersøges, og grænseværdier. </w:t>
      </w:r>
    </w:p>
    <w:p w14:paraId="7112D065" w14:textId="77777777" w:rsidR="000B2060" w:rsidRDefault="009E72B8">
      <w:pPr>
        <w:spacing w:after="16" w:line="259" w:lineRule="auto"/>
        <w:ind w:left="0" w:firstLine="0"/>
        <w:jc w:val="center"/>
      </w:pPr>
      <w:r>
        <w:t xml:space="preserve"> </w:t>
      </w:r>
    </w:p>
    <w:p w14:paraId="7B08611C" w14:textId="77A45346" w:rsidR="000B2060" w:rsidRDefault="009E72B8" w:rsidP="000A5B7E">
      <w:pPr>
        <w:spacing w:after="16" w:line="259" w:lineRule="auto"/>
        <w:ind w:left="0" w:firstLine="0"/>
        <w:jc w:val="center"/>
      </w:pPr>
      <w:r>
        <w:t xml:space="preserve">  </w:t>
      </w:r>
    </w:p>
    <w:p w14:paraId="0B826CAE" w14:textId="77777777" w:rsidR="000B2060" w:rsidRDefault="009E72B8">
      <w:pPr>
        <w:spacing w:after="18" w:line="259" w:lineRule="auto"/>
        <w:ind w:left="-5"/>
        <w:jc w:val="left"/>
      </w:pPr>
      <w:r>
        <w:rPr>
          <w:b/>
        </w:rPr>
        <w:t xml:space="preserve">e) Tekniske referencestandarder for EF-certificering af det genvundne granulat. </w:t>
      </w:r>
    </w:p>
    <w:p w14:paraId="25900C48" w14:textId="2534B946" w:rsidR="000B2060" w:rsidRDefault="009E72B8">
      <w:pPr>
        <w:spacing w:after="12" w:line="267" w:lineRule="auto"/>
        <w:ind w:left="-5" w:right="49"/>
      </w:pPr>
      <w:r>
        <w:t xml:space="preserve">Tabel 4 indeholder de tekniske referencestandarder for tildeling af CE-mærkningen til det genvundne granulat. </w:t>
      </w:r>
    </w:p>
    <w:p w14:paraId="2233DB0F" w14:textId="77777777" w:rsidR="000B2060" w:rsidRDefault="009E72B8">
      <w:pPr>
        <w:spacing w:after="0" w:line="259" w:lineRule="auto"/>
        <w:ind w:left="0" w:firstLine="0"/>
        <w:jc w:val="left"/>
      </w:pPr>
      <w:r>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pPr>
              <w:spacing w:after="0" w:line="259" w:lineRule="auto"/>
              <w:ind w:left="1" w:firstLine="0"/>
              <w:jc w:val="center"/>
            </w:pPr>
            <w:r>
              <w:rPr>
                <w:b/>
                <w:sz w:val="22"/>
              </w:rPr>
              <w:lastRenderedPageBreak/>
              <w:t xml:space="preserve">Standard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pPr>
              <w:spacing w:after="0" w:line="259" w:lineRule="auto"/>
              <w:ind w:left="0" w:right="1" w:firstLine="0"/>
              <w:jc w:val="center"/>
            </w:pPr>
            <w:r>
              <w:rPr>
                <w:b/>
                <w:sz w:val="22"/>
              </w:rPr>
              <w:t xml:space="preserve">Titel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pPr>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pPr>
              <w:spacing w:after="0" w:line="259" w:lineRule="auto"/>
              <w:ind w:left="0" w:firstLine="0"/>
              <w:jc w:val="center"/>
            </w:pPr>
            <w:r>
              <w:rPr>
                <w:sz w:val="22"/>
              </w:rPr>
              <w:t xml:space="preserve">Granulater til ulegerede materialer og legeringer med hydrauliske bindemidler til anvendelse i anlægs- og vejanlæg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pPr>
              <w:spacing w:after="0" w:line="259" w:lineRule="auto"/>
              <w:ind w:left="1" w:firstLine="0"/>
              <w:jc w:val="center"/>
            </w:pPr>
            <w:r>
              <w:rPr>
                <w:sz w:val="22"/>
              </w:rPr>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pPr>
              <w:spacing w:after="0" w:line="259" w:lineRule="auto"/>
              <w:ind w:left="0" w:right="4" w:firstLine="0"/>
              <w:jc w:val="center"/>
            </w:pPr>
            <w:r>
              <w:rPr>
                <w:sz w:val="22"/>
              </w:rPr>
              <w:t xml:space="preserve">Tilslag til beton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pPr>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pPr>
              <w:spacing w:after="0" w:line="259" w:lineRule="auto"/>
              <w:ind w:left="0" w:firstLine="0"/>
              <w:jc w:val="center"/>
            </w:pPr>
            <w:r>
              <w:rPr>
                <w:sz w:val="22"/>
              </w:rPr>
              <w:t xml:space="preserve">Tilslag til mørtel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pPr>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pPr>
              <w:spacing w:after="0" w:line="259" w:lineRule="auto"/>
              <w:ind w:left="0" w:firstLine="0"/>
              <w:jc w:val="center"/>
            </w:pPr>
            <w:r>
              <w:rPr>
                <w:sz w:val="22"/>
              </w:rPr>
              <w:t xml:space="preserve">Tilslag til bituminøse blandinger og overfladebehandling af veje, lufthavne og andre trafikerede områder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pPr>
              <w:spacing w:after="0" w:line="259" w:lineRule="auto"/>
              <w:ind w:left="1" w:firstLine="0"/>
              <w:jc w:val="center"/>
            </w:pPr>
            <w:r>
              <w:rPr>
                <w:sz w:val="22"/>
              </w:rPr>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pPr>
              <w:spacing w:after="0" w:line="259" w:lineRule="auto"/>
              <w:ind w:left="0" w:right="2" w:firstLine="0"/>
              <w:jc w:val="center"/>
            </w:pPr>
            <w:r>
              <w:rPr>
                <w:sz w:val="22"/>
              </w:rPr>
              <w:t xml:space="preserve">Lette tilslag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pPr>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pPr>
              <w:spacing w:after="0" w:line="259" w:lineRule="auto"/>
              <w:ind w:left="0" w:right="1" w:firstLine="0"/>
              <w:jc w:val="center"/>
            </w:pPr>
            <w:r>
              <w:rPr>
                <w:sz w:val="22"/>
              </w:rPr>
              <w:t xml:space="preserve">Tilslag til jernbaneballast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pPr>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pPr>
              <w:spacing w:after="0" w:line="259" w:lineRule="auto"/>
              <w:ind w:left="0" w:right="1" w:firstLine="0"/>
              <w:jc w:val="center"/>
            </w:pPr>
            <w:r>
              <w:rPr>
                <w:sz w:val="22"/>
              </w:rPr>
              <w:t xml:space="preserve">Tilslag til beskyttelsesarbejder (vandbygningssten) – Specifikationer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Tabel 4 – Tekniske standarder til EF-certificering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Pr>
          <w:b/>
        </w:rPr>
        <w:br w:type="page"/>
      </w:r>
    </w:p>
    <w:p w14:paraId="70462072" w14:textId="77777777" w:rsidR="000B2060" w:rsidRDefault="009E72B8">
      <w:pPr>
        <w:pStyle w:val="Heading1"/>
        <w:ind w:right="65"/>
      </w:pPr>
      <w:r>
        <w:lastRenderedPageBreak/>
        <w:t xml:space="preserve">Bilag 2 (artikel 4)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De genvundne granulater anvendes i overensstemmelse med standarderne for teknisk anvendelse i tabel 5 til: </w:t>
      </w:r>
    </w:p>
    <w:p w14:paraId="3C7300BE" w14:textId="77777777" w:rsidR="00D55B0D" w:rsidRDefault="00D55B0D" w:rsidP="00D55B0D">
      <w:pPr>
        <w:numPr>
          <w:ilvl w:val="0"/>
          <w:numId w:val="8"/>
        </w:numPr>
        <w:ind w:right="51" w:hanging="282"/>
      </w:pPr>
      <w:r>
        <w:t>opførelse af dæmninger i anlægsjordarbejde</w:t>
      </w:r>
    </w:p>
    <w:p w14:paraId="22F0545D" w14:textId="77777777" w:rsidR="00D55B0D" w:rsidRDefault="00D55B0D" w:rsidP="00D55B0D">
      <w:pPr>
        <w:numPr>
          <w:ilvl w:val="0"/>
          <w:numId w:val="8"/>
        </w:numPr>
        <w:ind w:right="51" w:hanging="282"/>
      </w:pPr>
      <w:r>
        <w:t>opførelse af bundlag for veje, jernbaner, lufthavne og civile og industrielle forgårde</w:t>
      </w:r>
    </w:p>
    <w:p w14:paraId="78E1375E" w14:textId="77777777" w:rsidR="00D55B0D" w:rsidRDefault="00D55B0D" w:rsidP="00D55B0D">
      <w:pPr>
        <w:numPr>
          <w:ilvl w:val="0"/>
          <w:numId w:val="8"/>
        </w:numPr>
        <w:ind w:right="51" w:hanging="282"/>
      </w:pPr>
      <w:r>
        <w:t>opførelse af fundamenter for transportinfrastruktur og civile og industrielle forgårde</w:t>
      </w:r>
    </w:p>
    <w:p w14:paraId="73160B34" w14:textId="77777777" w:rsidR="00D55B0D" w:rsidRDefault="00D55B0D" w:rsidP="00D55B0D">
      <w:pPr>
        <w:numPr>
          <w:ilvl w:val="0"/>
          <w:numId w:val="8"/>
        </w:numPr>
        <w:ind w:right="51" w:hanging="282"/>
      </w:pPr>
      <w:r>
        <w:t>realisering af miljømæssige nyttiggørelser, påfyldning og opfyldning</w:t>
      </w:r>
    </w:p>
    <w:p w14:paraId="2FB8C60C" w14:textId="77777777" w:rsidR="00D55B0D" w:rsidRDefault="00D55B0D" w:rsidP="00D55B0D">
      <w:pPr>
        <w:numPr>
          <w:ilvl w:val="0"/>
          <w:numId w:val="8"/>
        </w:numPr>
        <w:ind w:right="51" w:hanging="282"/>
      </w:pPr>
      <w:r>
        <w:t>skabelse af supplerende lag med kapillærbrydende, frostbeskyttende, drænende funktioner osv.</w:t>
      </w:r>
    </w:p>
    <w:p w14:paraId="5E929373" w14:textId="77777777" w:rsidR="00D55B0D" w:rsidRDefault="00D55B0D" w:rsidP="00D55B0D">
      <w:pPr>
        <w:numPr>
          <w:ilvl w:val="0"/>
          <w:numId w:val="8"/>
        </w:numPr>
        <w:ind w:right="51" w:hanging="282"/>
      </w:pPr>
      <w:r>
        <w:t>emballering af beton og blandinger legeret med hydrauliske bindemidler (cementblandinger, betonblandinger osv.).</w:t>
      </w:r>
    </w:p>
    <w:p w14:paraId="34A920B7" w14:textId="25DB438E" w:rsidR="000B2060" w:rsidRDefault="000B2060">
      <w:pPr>
        <w:spacing w:after="0" w:line="259" w:lineRule="auto"/>
        <w:ind w:left="0" w:firstLine="0"/>
        <w:jc w:val="left"/>
      </w:pPr>
    </w:p>
    <w:tbl>
      <w:tblPr>
        <w:tblStyle w:val="TableGrid"/>
        <w:tblW w:w="10213" w:type="dxa"/>
        <w:tblInd w:w="-431" w:type="dxa"/>
        <w:tblCellMar>
          <w:top w:w="58" w:type="dxa"/>
          <w:left w:w="223" w:type="dxa"/>
          <w:right w:w="115" w:type="dxa"/>
        </w:tblCellMar>
        <w:tblLook w:val="04A0" w:firstRow="1" w:lastRow="0" w:firstColumn="1" w:lastColumn="0" w:noHBand="0" w:noVBand="1"/>
      </w:tblPr>
      <w:tblGrid>
        <w:gridCol w:w="4133"/>
        <w:gridCol w:w="2715"/>
        <w:gridCol w:w="3365"/>
      </w:tblGrid>
      <w:tr w:rsidR="000B2060" w14:paraId="05074170" w14:textId="77777777" w:rsidTr="00FF2CC9">
        <w:trPr>
          <w:trHeight w:val="883"/>
        </w:trPr>
        <w:tc>
          <w:tcPr>
            <w:tcW w:w="4133"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Anvendelse </w:t>
            </w:r>
          </w:p>
        </w:tc>
        <w:tc>
          <w:tcPr>
            <w:tcW w:w="2715"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 xml:space="preserve">Overensstemmelse med europæiske harmoniserede standarder/præstation </w:t>
            </w:r>
          </w:p>
        </w:tc>
        <w:tc>
          <w:tcPr>
            <w:tcW w:w="3365"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Tekniske kapaciteter </w:t>
            </w:r>
          </w:p>
        </w:tc>
      </w:tr>
      <w:tr w:rsidR="000B2060" w14:paraId="487C5BF0" w14:textId="77777777" w:rsidTr="00FF2CC9">
        <w:trPr>
          <w:trHeight w:val="590"/>
        </w:trPr>
        <w:tc>
          <w:tcPr>
            <w:tcW w:w="4133"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pPr>
              <w:spacing w:after="0" w:line="259" w:lineRule="auto"/>
              <w:ind w:left="967" w:hanging="648"/>
              <w:jc w:val="left"/>
            </w:pPr>
            <w:r>
              <w:rPr>
                <w:sz w:val="22"/>
              </w:rPr>
              <w:t xml:space="preserve">Fyld, opfyldning, morfologiske restaureringer </w:t>
            </w:r>
          </w:p>
        </w:tc>
        <w:tc>
          <w:tcPr>
            <w:tcW w:w="2715"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Skema 4a </w:t>
            </w:r>
          </w:p>
        </w:tc>
      </w:tr>
      <w:tr w:rsidR="000B2060" w14:paraId="1A31165C" w14:textId="77777777" w:rsidTr="00FF2CC9">
        <w:trPr>
          <w:trHeight w:val="593"/>
        </w:trPr>
        <w:tc>
          <w:tcPr>
            <w:tcW w:w="4133"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Dæmning </w:t>
            </w:r>
          </w:p>
        </w:tc>
        <w:tc>
          <w:tcPr>
            <w:tcW w:w="2715"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Skema 4a </w:t>
            </w:r>
          </w:p>
        </w:tc>
      </w:tr>
      <w:tr w:rsidR="000B2060" w14:paraId="67F846B1" w14:textId="77777777" w:rsidTr="00FF2CC9">
        <w:trPr>
          <w:trHeight w:val="590"/>
        </w:trPr>
        <w:tc>
          <w:tcPr>
            <w:tcW w:w="4133"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Ulegerede blandinger, kapillærbrydende lag, fundament, base </w:t>
            </w:r>
          </w:p>
        </w:tc>
        <w:tc>
          <w:tcPr>
            <w:tcW w:w="2715"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3365"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Skema 4b </w:t>
            </w:r>
          </w:p>
        </w:tc>
      </w:tr>
      <w:tr w:rsidR="000B2060" w14:paraId="22B0A1AE" w14:textId="77777777" w:rsidTr="00FF2CC9">
        <w:trPr>
          <w:trHeight w:val="884"/>
        </w:trPr>
        <w:tc>
          <w:tcPr>
            <w:tcW w:w="4133"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Fremstilling af blandinger legeret med hydrauliske bindemidler (cementblandinger, betonblandinger osv.) </w:t>
            </w:r>
          </w:p>
        </w:tc>
        <w:tc>
          <w:tcPr>
            <w:tcW w:w="2715"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rsidTr="00FF2CC9">
        <w:trPr>
          <w:trHeight w:val="2921"/>
        </w:trPr>
        <w:tc>
          <w:tcPr>
            <w:tcW w:w="4133"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pPr>
              <w:spacing w:after="0" w:line="259" w:lineRule="auto"/>
              <w:ind w:left="854" w:right="926" w:firstLine="130"/>
              <w:jc w:val="left"/>
            </w:pPr>
            <w:r>
              <w:rPr>
                <w:sz w:val="22"/>
              </w:rPr>
              <w:t xml:space="preserve">Fremstilling af beton </w:t>
            </w:r>
          </w:p>
        </w:tc>
        <w:tc>
          <w:tcPr>
            <w:tcW w:w="2715"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3365"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Skema 1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Bilag A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Skema 4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Bilag E </w:t>
            </w:r>
          </w:p>
          <w:p w14:paraId="1A14DB3D" w14:textId="77777777" w:rsidR="000B2060" w:rsidRDefault="009E72B8">
            <w:pPr>
              <w:spacing w:after="14" w:line="259" w:lineRule="auto"/>
              <w:ind w:left="0" w:right="221" w:firstLine="0"/>
              <w:jc w:val="center"/>
            </w:pPr>
            <w:r>
              <w:rPr>
                <w:sz w:val="22"/>
              </w:rPr>
              <w:t xml:space="preserve">Ministerielt dekret af 17. januar 2018 </w:t>
            </w:r>
          </w:p>
          <w:p w14:paraId="2D2B7699" w14:textId="77777777" w:rsidR="000B2060" w:rsidRDefault="009E72B8">
            <w:pPr>
              <w:spacing w:after="0" w:line="259" w:lineRule="auto"/>
              <w:ind w:left="0" w:right="223" w:firstLine="0"/>
              <w:jc w:val="center"/>
            </w:pPr>
            <w:r>
              <w:rPr>
                <w:sz w:val="22"/>
              </w:rPr>
              <w:t xml:space="preserve">NTC: Tabel 11.2.III </w:t>
            </w:r>
          </w:p>
        </w:tc>
      </w:tr>
    </w:tbl>
    <w:p w14:paraId="1B0D5020" w14:textId="134EABAA" w:rsidR="000B2060" w:rsidRDefault="009E72B8">
      <w:pPr>
        <w:spacing w:after="24" w:line="253" w:lineRule="auto"/>
        <w:ind w:left="4820" w:right="2444" w:hanging="2393"/>
        <w:jc w:val="left"/>
      </w:pPr>
      <w:r>
        <w:rPr>
          <w:sz w:val="18"/>
        </w:rPr>
        <w:t xml:space="preserve">Tabel 5 – Standarder for teknisk anvendelse af det genvundne granulat </w:t>
      </w:r>
      <w:r>
        <w:t xml:space="preserve"> </w:t>
      </w:r>
    </w:p>
    <w:p w14:paraId="14D42672" w14:textId="77777777" w:rsidR="00D17D7F" w:rsidRDefault="00D17D7F" w:rsidP="00D17D7F">
      <w:pPr>
        <w:ind w:left="-5" w:right="51"/>
      </w:pPr>
    </w:p>
    <w:p w14:paraId="68C7A01B" w14:textId="1B9C9237" w:rsidR="000B2060" w:rsidRDefault="009E72B8">
      <w:pPr>
        <w:ind w:left="-5" w:right="51"/>
      </w:pPr>
      <w:r>
        <w:t xml:space="preserve">For alle anvendelser, bortset fra dem, der er omhandlet i litra d), skal CE-mærkningen anvendes i henhold til Europa-Parlamentets og Rådets forordning (EU) nr. 305/2011 af 9. marts 2011.  </w:t>
      </w:r>
    </w:p>
    <w:p w14:paraId="24B2FD2B" w14:textId="3BDE4F41" w:rsidR="001E2424" w:rsidRDefault="00B90036" w:rsidP="00B90036">
      <w:pPr>
        <w:ind w:left="-5" w:right="51"/>
        <w:rPr>
          <w:color w:val="auto"/>
        </w:rPr>
      </w:pPr>
      <w:r>
        <w:rPr>
          <w:color w:val="auto"/>
        </w:rPr>
        <w:t xml:space="preserve">Jordanvendelser må ikke udgøre en potentiel kilde til forurening af jord, undergrund og grundvand. </w:t>
      </w:r>
    </w:p>
    <w:p w14:paraId="4C8081AB" w14:textId="64063D22" w:rsidR="001E2424" w:rsidRDefault="00605A70" w:rsidP="00FF2CC9">
      <w:pPr>
        <w:ind w:left="-5" w:right="51"/>
        <w:rPr>
          <w:color w:val="auto"/>
        </w:rPr>
      </w:pPr>
      <w:r>
        <w:rPr>
          <w:color w:val="auto"/>
        </w:rPr>
        <w:t>For de anvendelser, der er omhandlet i punkt 1, litra f), skal grænseværdierne i punkt 47 i bilag XVII til forordning (EF) nr. 1907/2006 for tilstedeværelsen af Cr VI i cement og cementholdige blandinger overholdes.</w:t>
      </w:r>
      <w:r w:rsidR="001E2424">
        <w:br w:type="page"/>
      </w:r>
    </w:p>
    <w:p w14:paraId="7B8EBBB4" w14:textId="599EC0B8" w:rsidR="000B2060" w:rsidRDefault="009E72B8">
      <w:pPr>
        <w:pStyle w:val="Heading1"/>
        <w:ind w:right="64"/>
      </w:pPr>
      <w:r>
        <w:lastRenderedPageBreak/>
        <w:t xml:space="preserve">Bilag 3 Overensstemmelseserklæring (artikel 5)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OVERENSSTEMMELSESERKLÆRING (DoC)</w:t>
      </w:r>
      <w:r>
        <w:rPr>
          <w:b/>
        </w:rPr>
        <w:t xml:space="preserve">  </w:t>
      </w:r>
    </w:p>
    <w:p w14:paraId="3B572F20" w14:textId="77777777" w:rsidR="000B2060" w:rsidRPr="00CA20B5" w:rsidRDefault="009E72B8">
      <w:pPr>
        <w:spacing w:after="18" w:line="259" w:lineRule="auto"/>
        <w:ind w:left="10" w:right="69"/>
        <w:jc w:val="center"/>
        <w:rPr>
          <w:color w:val="auto"/>
        </w:rPr>
      </w:pPr>
      <w:r>
        <w:t>ERKLÆRING I STEDET FOR EN BEEDIGET ERKLÆRING</w:t>
      </w:r>
      <w:r>
        <w:rPr>
          <w:color w:val="auto"/>
        </w:rPr>
        <w:t xml:space="preserve"> </w:t>
      </w:r>
    </w:p>
    <w:p w14:paraId="013C2F6D" w14:textId="60C550CC" w:rsidR="000B2060" w:rsidRDefault="009E72B8" w:rsidP="00EA0449">
      <w:pPr>
        <w:spacing w:after="18" w:line="259" w:lineRule="auto"/>
        <w:ind w:left="10" w:right="58"/>
        <w:jc w:val="center"/>
      </w:pPr>
      <w:r>
        <w:t>I HENHOLD TIL</w:t>
      </w:r>
      <w:r>
        <w:rPr>
          <w:color w:val="auto"/>
        </w:rPr>
        <w:t xml:space="preserve"> OG I OVEREMSSTEMMELSE MED ARTIKEL 5 I DEKRETET FRA MIN</w:t>
      </w:r>
      <w:r>
        <w:t>ISTEREN FOR ØKOLOGISK OMSTILLING, NR. [•] AF [•] [•] [202•] OFFENTLIGGJORT I [•]</w:t>
      </w:r>
    </w:p>
    <w:p w14:paraId="7CF40EA8" w14:textId="77777777" w:rsidR="000B2060" w:rsidRDefault="009E72B8">
      <w:pPr>
        <w:spacing w:after="17" w:line="259" w:lineRule="auto"/>
        <w:ind w:left="10" w:right="62"/>
        <w:jc w:val="center"/>
      </w:pPr>
      <w:r>
        <w:t xml:space="preserve">(Artikel 47 og 38 i præsidentielt dekret nr. 445 af 28. december 2000)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Erklæring nummer </w:t>
            </w:r>
          </w:p>
          <w:p w14:paraId="50F66536" w14:textId="77777777" w:rsidR="000B2060" w:rsidRDefault="009E72B8">
            <w:pPr>
              <w:spacing w:after="0" w:line="259" w:lineRule="auto"/>
              <w:ind w:left="0" w:firstLine="0"/>
              <w:jc w:val="left"/>
            </w:pPr>
            <w:r>
              <w:t xml:space="preserve">(partinummer)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År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 xml:space="preserve">(åååå)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(BEMÆRK: Erklæringens nummer gemmes i stigende rækkefølge)</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Pr>
                <w:b/>
                <w:color w:val="auto"/>
              </w:rPr>
              <w:t xml:space="preserve">Detaljer for producenten af genvundne granulater i henhold til artikel 2, stk. 1, litra f), i dekret </w:t>
            </w:r>
            <w:r>
              <w:rPr>
                <w:color w:val="auto"/>
              </w:rPr>
              <w:t>[</w:t>
            </w:r>
            <w:r>
              <w:rPr>
                <w:rFonts w:ascii="Segoe UI Symbol" w:hAnsi="Segoe UI Symbol"/>
                <w:color w:val="auto"/>
              </w:rPr>
              <w:t>•</w:t>
            </w:r>
            <w:r>
              <w:rPr>
                <w:color w:val="auto"/>
              </w:rPr>
              <w:t xml:space="preserve">]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Pr>
                <w:color w:val="auto"/>
              </w:rPr>
              <w:t xml:space="preserve">Virksomhedens navn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Pr>
                <w:color w:val="auto"/>
              </w:rPr>
              <w:t xml:space="preserve">Skatte-/momsnummer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Pr>
                <w:color w:val="auto"/>
              </w:rPr>
              <w:t xml:space="preserve">Registrering i selskabsregistret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Pr>
                <w:color w:val="auto"/>
              </w:rPr>
              <w:t xml:space="preserve">Adresse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Pr>
                <w:color w:val="auto"/>
              </w:rPr>
              <w:t xml:space="preserve">Husnummer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Pr>
                <w:color w:val="auto"/>
              </w:rPr>
              <w:t xml:space="preserve">Postnummer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Pr>
                <w:color w:val="auto"/>
              </w:rPr>
              <w:t xml:space="preserve">By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Pr>
                <w:color w:val="auto"/>
              </w:rPr>
              <w:t xml:space="preserve">Provins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Pr>
                <w:color w:val="auto"/>
              </w:rPr>
              <w:t xml:space="preserve">Produktionsfacilitet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Pr>
                <w:color w:val="auto"/>
              </w:rPr>
              <w:t xml:space="preserve">Adresse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Pr>
                <w:color w:val="auto"/>
              </w:rPr>
              <w:t xml:space="preserve">Husnummer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Pr>
                <w:color w:val="auto"/>
              </w:rPr>
              <w:t xml:space="preserve">Postnummer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Pr>
                <w:color w:val="auto"/>
              </w:rPr>
              <w:t xml:space="preserve">By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Pr>
                <w:color w:val="auto"/>
              </w:rPr>
              <w:t xml:space="preserve">Provins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Pr>
                <w:color w:val="auto"/>
              </w:rPr>
              <w:t xml:space="preserve">Bemyndiget/udstedende organ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Pr>
                <w:color w:val="auto"/>
              </w:rPr>
              <w:t xml:space="preserve">Udstedt den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Heading1"/>
        <w:spacing w:after="37"/>
        <w:ind w:right="64"/>
      </w:pPr>
      <w:r>
        <w:t xml:space="preserve">Ovennævnte fabrikant erklærer, at </w:t>
      </w:r>
    </w:p>
    <w:p w14:paraId="5A7DFBB1" w14:textId="4188EACE" w:rsidR="000B2060" w:rsidRDefault="009E72B8">
      <w:pPr>
        <w:numPr>
          <w:ilvl w:val="0"/>
          <w:numId w:val="9"/>
        </w:numPr>
        <w:spacing w:after="0" w:line="259" w:lineRule="auto"/>
        <w:ind w:right="51" w:hanging="360"/>
      </w:pPr>
      <w:r>
        <w:t xml:space="preserve">partiet genvundet granulat repræsenteres af følgende mængde i </w:t>
      </w:r>
      <w:r>
        <w:rPr>
          <w:color w:val="auto"/>
        </w:rPr>
        <w:t>volumen</w:t>
      </w:r>
      <w:r>
        <w:t xml:space="preserve">: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t>(</w:t>
      </w:r>
      <w:r>
        <w:rPr>
          <w:i/>
        </w:rPr>
        <w:t xml:space="preserve">BEMÆRK: </w:t>
      </w:r>
      <w:r>
        <w:rPr>
          <w:i/>
          <w:color w:val="auto"/>
        </w:rPr>
        <w:t>angiv kubikmeter i tal og bogstaver</w:t>
      </w:r>
      <w:r>
        <w:rPr>
          <w:color w:val="auto"/>
        </w:rPr>
        <w:t xml:space="preserve">) </w:t>
      </w:r>
    </w:p>
    <w:p w14:paraId="381D82F8" w14:textId="12A3AC51" w:rsidR="000B2060" w:rsidRDefault="009E72B8">
      <w:pPr>
        <w:numPr>
          <w:ilvl w:val="0"/>
          <w:numId w:val="9"/>
        </w:numPr>
        <w:spacing w:after="33" w:line="267" w:lineRule="auto"/>
        <w:ind w:right="51" w:hanging="360"/>
      </w:pPr>
      <w:r>
        <w:t xml:space="preserve">ovennævnte mængde genvundne granulater opfylder kriterierne i artikel 3 i dekret nr. [•] fra ministeren for økologisk omstilling af [•] [•] [202•] offentliggjort i [•] </w:t>
      </w:r>
    </w:p>
    <w:p w14:paraId="5F363D2F" w14:textId="77777777" w:rsidR="000B2060" w:rsidRDefault="009E72B8">
      <w:pPr>
        <w:numPr>
          <w:ilvl w:val="0"/>
          <w:numId w:val="9"/>
        </w:numPr>
        <w:ind w:right="51" w:hanging="360"/>
      </w:pPr>
      <w:r>
        <w:t xml:space="preserve">ovenstående parti genvundet inert granulat har egenskaber, der er beskrevet mere detaljeret i den følgende tabel 1.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22273CC0" w14:textId="5652472C" w:rsidR="00670BBC" w:rsidRDefault="00670BBC" w:rsidP="00575D8B">
      <w:pPr>
        <w:spacing w:after="16" w:line="259" w:lineRule="auto"/>
        <w:ind w:left="0" w:firstLine="0"/>
        <w:jc w:val="left"/>
      </w:pPr>
    </w:p>
    <w:p w14:paraId="2D815062" w14:textId="54F57A92" w:rsidR="00670BBC" w:rsidRDefault="00670BBC" w:rsidP="00575D8B">
      <w:pPr>
        <w:spacing w:after="16" w:line="259" w:lineRule="auto"/>
        <w:ind w:left="0" w:firstLine="0"/>
        <w:jc w:val="left"/>
      </w:pPr>
    </w:p>
    <w:p w14:paraId="686C0B01" w14:textId="13EF08A5"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t xml:space="preserve"> </w:t>
      </w:r>
    </w:p>
    <w:p w14:paraId="452AD00D" w14:textId="77777777" w:rsidR="00EA0449" w:rsidRDefault="00EA0449">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t xml:space="preserve">Tabel 1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8"/>
        <w:gridCol w:w="5423"/>
        <w:gridCol w:w="3368"/>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Karakteristika for det genvundne granulat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Tekniske referencestandarder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Særlige formål (bilag 2)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hAnsi="Wingdings"/>
                <w:color w:val="00B050"/>
                <w:sz w:val="16"/>
              </w:rPr>
              <w:t></w:t>
            </w:r>
            <w:r>
              <w:rPr>
                <w:rFonts w:ascii="Arial" w:hAnsi="Arial"/>
                <w:color w:val="00B050"/>
                <w:sz w:val="16"/>
              </w:rPr>
              <w:t xml:space="preserve"> </w:t>
            </w:r>
            <w:r>
              <w:t xml:space="preserve">UNI EN 13242: Granulater til ulegerede materialer og legeringer med hydrauliske bindemidler til anvendelse i anlægs- og vejbyggeri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a) </w:t>
            </w:r>
          </w:p>
          <w:p w14:paraId="094EDDB3" w14:textId="77777777" w:rsidR="000B2060" w:rsidRDefault="009E72B8">
            <w:pPr>
              <w:numPr>
                <w:ilvl w:val="0"/>
                <w:numId w:val="11"/>
              </w:numPr>
              <w:spacing w:after="30" w:line="259" w:lineRule="auto"/>
              <w:ind w:hanging="245"/>
              <w:jc w:val="left"/>
            </w:pPr>
            <w:r>
              <w:t xml:space="preserve">b) </w:t>
            </w:r>
          </w:p>
          <w:p w14:paraId="319BE097" w14:textId="77777777" w:rsidR="000B2060" w:rsidRDefault="009E72B8">
            <w:pPr>
              <w:numPr>
                <w:ilvl w:val="0"/>
                <w:numId w:val="11"/>
              </w:numPr>
              <w:spacing w:after="27" w:line="259" w:lineRule="auto"/>
              <w:ind w:hanging="245"/>
              <w:jc w:val="left"/>
            </w:pPr>
            <w:r>
              <w:t xml:space="preserve">c) </w:t>
            </w:r>
          </w:p>
          <w:p w14:paraId="4403BC0D" w14:textId="77777777" w:rsidR="000B2060" w:rsidRDefault="009E72B8">
            <w:pPr>
              <w:numPr>
                <w:ilvl w:val="0"/>
                <w:numId w:val="11"/>
              </w:numPr>
              <w:spacing w:after="28" w:line="259" w:lineRule="auto"/>
              <w:ind w:hanging="245"/>
              <w:jc w:val="left"/>
            </w:pPr>
            <w:r>
              <w:t xml:space="preserve">d) </w:t>
            </w:r>
          </w:p>
          <w:p w14:paraId="5E52053B" w14:textId="77777777" w:rsidR="000B2060" w:rsidRDefault="009E72B8">
            <w:pPr>
              <w:numPr>
                <w:ilvl w:val="0"/>
                <w:numId w:val="11"/>
              </w:numPr>
              <w:spacing w:after="27" w:line="259" w:lineRule="auto"/>
              <w:ind w:hanging="245"/>
              <w:jc w:val="left"/>
            </w:pPr>
            <w:r>
              <w:t xml:space="preserve">e) </w:t>
            </w:r>
          </w:p>
          <w:p w14:paraId="0B9F7F5B" w14:textId="77777777" w:rsidR="000B2060" w:rsidRDefault="009E72B8">
            <w:pPr>
              <w:numPr>
                <w:ilvl w:val="0"/>
                <w:numId w:val="11"/>
              </w:numPr>
              <w:spacing w:after="0" w:line="259" w:lineRule="auto"/>
              <w:ind w:hanging="245"/>
              <w:jc w:val="left"/>
            </w:pPr>
            <w:r>
              <w:t xml:space="preserve">f)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14227:1 Blandinger legeret med hydrauliske bindemidler – Specifikationer – Del 1: Blandinger i granulatform, der er bundet med cement til vejbaser og bundlag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a) </w:t>
            </w:r>
          </w:p>
          <w:p w14:paraId="44371012" w14:textId="77777777" w:rsidR="000B2060" w:rsidRDefault="009E72B8">
            <w:pPr>
              <w:numPr>
                <w:ilvl w:val="0"/>
                <w:numId w:val="12"/>
              </w:numPr>
              <w:spacing w:after="27" w:line="259" w:lineRule="auto"/>
              <w:ind w:hanging="245"/>
              <w:jc w:val="left"/>
            </w:pPr>
            <w:r>
              <w:t xml:space="preserve">b) </w:t>
            </w:r>
          </w:p>
          <w:p w14:paraId="0F70526A" w14:textId="77777777" w:rsidR="000B2060" w:rsidRDefault="009E72B8">
            <w:pPr>
              <w:numPr>
                <w:ilvl w:val="0"/>
                <w:numId w:val="12"/>
              </w:numPr>
              <w:spacing w:after="27" w:line="259" w:lineRule="auto"/>
              <w:ind w:hanging="245"/>
              <w:jc w:val="left"/>
            </w:pPr>
            <w:r>
              <w:t xml:space="preserve">c) </w:t>
            </w:r>
          </w:p>
          <w:p w14:paraId="6316781C" w14:textId="77777777" w:rsidR="000B2060" w:rsidRDefault="009E72B8">
            <w:pPr>
              <w:numPr>
                <w:ilvl w:val="0"/>
                <w:numId w:val="12"/>
              </w:numPr>
              <w:spacing w:after="30" w:line="259" w:lineRule="auto"/>
              <w:ind w:hanging="245"/>
              <w:jc w:val="left"/>
            </w:pPr>
            <w:r>
              <w:t xml:space="preserve">d) </w:t>
            </w:r>
          </w:p>
          <w:p w14:paraId="700AAE93" w14:textId="77777777" w:rsidR="000B2060" w:rsidRDefault="009E72B8">
            <w:pPr>
              <w:numPr>
                <w:ilvl w:val="0"/>
                <w:numId w:val="12"/>
              </w:numPr>
              <w:spacing w:after="27" w:line="259" w:lineRule="auto"/>
              <w:ind w:hanging="245"/>
              <w:jc w:val="left"/>
            </w:pPr>
            <w:r>
              <w:t xml:space="preserve">e) </w:t>
            </w:r>
          </w:p>
          <w:p w14:paraId="64D82686" w14:textId="77777777" w:rsidR="000B2060" w:rsidRDefault="009E72B8">
            <w:pPr>
              <w:numPr>
                <w:ilvl w:val="0"/>
                <w:numId w:val="12"/>
              </w:numPr>
              <w:spacing w:after="0" w:line="259" w:lineRule="auto"/>
              <w:ind w:hanging="245"/>
              <w:jc w:val="left"/>
            </w:pPr>
            <w:r>
              <w:t xml:space="preserve">f)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12620: Tilslag til beton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a) </w:t>
            </w:r>
          </w:p>
          <w:p w14:paraId="085129DF" w14:textId="77777777" w:rsidR="000B2060" w:rsidRDefault="009E72B8">
            <w:pPr>
              <w:numPr>
                <w:ilvl w:val="0"/>
                <w:numId w:val="13"/>
              </w:numPr>
              <w:spacing w:after="30" w:line="259" w:lineRule="auto"/>
              <w:ind w:hanging="245"/>
              <w:jc w:val="left"/>
            </w:pPr>
            <w:r>
              <w:t xml:space="preserve">b) </w:t>
            </w:r>
          </w:p>
          <w:p w14:paraId="2CC0098F" w14:textId="77777777" w:rsidR="000B2060" w:rsidRDefault="009E72B8">
            <w:pPr>
              <w:numPr>
                <w:ilvl w:val="0"/>
                <w:numId w:val="13"/>
              </w:numPr>
              <w:spacing w:after="28" w:line="259" w:lineRule="auto"/>
              <w:ind w:hanging="245"/>
              <w:jc w:val="left"/>
            </w:pPr>
            <w:r>
              <w:t xml:space="preserve">c) </w:t>
            </w:r>
          </w:p>
          <w:p w14:paraId="5E3B799B" w14:textId="77777777" w:rsidR="000B2060" w:rsidRDefault="009E72B8">
            <w:pPr>
              <w:numPr>
                <w:ilvl w:val="0"/>
                <w:numId w:val="13"/>
              </w:numPr>
              <w:spacing w:after="27" w:line="259" w:lineRule="auto"/>
              <w:ind w:hanging="245"/>
              <w:jc w:val="left"/>
            </w:pPr>
            <w:r>
              <w:t xml:space="preserve">d) </w:t>
            </w:r>
          </w:p>
          <w:p w14:paraId="2AB5142A" w14:textId="77777777" w:rsidR="000B2060" w:rsidRDefault="009E72B8">
            <w:pPr>
              <w:numPr>
                <w:ilvl w:val="0"/>
                <w:numId w:val="13"/>
              </w:numPr>
              <w:spacing w:after="27" w:line="259" w:lineRule="auto"/>
              <w:ind w:hanging="245"/>
              <w:jc w:val="left"/>
            </w:pPr>
            <w:r>
              <w:t xml:space="preserve">e) </w:t>
            </w:r>
          </w:p>
          <w:p w14:paraId="7FD35576" w14:textId="77777777" w:rsidR="000B2060" w:rsidRDefault="009E72B8">
            <w:pPr>
              <w:numPr>
                <w:ilvl w:val="0"/>
                <w:numId w:val="13"/>
              </w:numPr>
              <w:spacing w:after="0" w:line="259" w:lineRule="auto"/>
              <w:ind w:hanging="245"/>
              <w:jc w:val="left"/>
            </w:pPr>
            <w:r>
              <w:t xml:space="preserve">f)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Pr="000E6789"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13139: Tilslag til mørtel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a) </w:t>
            </w:r>
          </w:p>
          <w:p w14:paraId="4A39C06E" w14:textId="77777777" w:rsidR="000B2060" w:rsidRDefault="009E72B8">
            <w:pPr>
              <w:numPr>
                <w:ilvl w:val="0"/>
                <w:numId w:val="14"/>
              </w:numPr>
              <w:spacing w:after="27" w:line="259" w:lineRule="auto"/>
              <w:ind w:hanging="245"/>
              <w:jc w:val="left"/>
            </w:pPr>
            <w:r>
              <w:t xml:space="preserve">b) </w:t>
            </w:r>
          </w:p>
          <w:p w14:paraId="249823BD" w14:textId="77777777" w:rsidR="000B2060" w:rsidRDefault="009E72B8">
            <w:pPr>
              <w:numPr>
                <w:ilvl w:val="0"/>
                <w:numId w:val="14"/>
              </w:numPr>
              <w:spacing w:after="30" w:line="259" w:lineRule="auto"/>
              <w:ind w:hanging="245"/>
              <w:jc w:val="left"/>
            </w:pPr>
            <w:r>
              <w:t xml:space="preserve">c) </w:t>
            </w:r>
          </w:p>
          <w:p w14:paraId="7B9FD316" w14:textId="77777777" w:rsidR="000B2060" w:rsidRDefault="009E72B8">
            <w:pPr>
              <w:numPr>
                <w:ilvl w:val="0"/>
                <w:numId w:val="14"/>
              </w:numPr>
              <w:spacing w:after="27" w:line="259" w:lineRule="auto"/>
              <w:ind w:hanging="245"/>
              <w:jc w:val="left"/>
            </w:pPr>
            <w:r>
              <w:t xml:space="preserve">d) </w:t>
            </w:r>
          </w:p>
          <w:p w14:paraId="3D71F37F" w14:textId="77777777" w:rsidR="000B2060" w:rsidRDefault="009E72B8">
            <w:pPr>
              <w:numPr>
                <w:ilvl w:val="0"/>
                <w:numId w:val="14"/>
              </w:numPr>
              <w:spacing w:after="27" w:line="259" w:lineRule="auto"/>
              <w:ind w:hanging="245"/>
              <w:jc w:val="left"/>
            </w:pPr>
            <w:r>
              <w:t xml:space="preserve">e) </w:t>
            </w:r>
          </w:p>
          <w:p w14:paraId="57971664" w14:textId="77777777" w:rsidR="000B2060" w:rsidRDefault="009E72B8">
            <w:pPr>
              <w:numPr>
                <w:ilvl w:val="0"/>
                <w:numId w:val="14"/>
              </w:numPr>
              <w:spacing w:after="0" w:line="259" w:lineRule="auto"/>
              <w:ind w:hanging="245"/>
              <w:jc w:val="left"/>
            </w:pPr>
            <w:r>
              <w:t xml:space="preserve">f)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13043: Tilslag til bituminøse blandinger og overfladebehandling af veje, lufthavne og andre trafikerede områder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a) </w:t>
            </w:r>
          </w:p>
          <w:p w14:paraId="14A8B54B" w14:textId="77777777" w:rsidR="000B2060" w:rsidRDefault="009E72B8">
            <w:pPr>
              <w:numPr>
                <w:ilvl w:val="0"/>
                <w:numId w:val="15"/>
              </w:numPr>
              <w:spacing w:after="28" w:line="259" w:lineRule="auto"/>
              <w:ind w:hanging="245"/>
              <w:jc w:val="left"/>
            </w:pPr>
            <w:r>
              <w:t xml:space="preserve">b) </w:t>
            </w:r>
          </w:p>
          <w:p w14:paraId="273FABBB" w14:textId="77777777" w:rsidR="000B2060" w:rsidRDefault="009E72B8">
            <w:pPr>
              <w:numPr>
                <w:ilvl w:val="0"/>
                <w:numId w:val="15"/>
              </w:numPr>
              <w:spacing w:after="27" w:line="259" w:lineRule="auto"/>
              <w:ind w:hanging="245"/>
              <w:jc w:val="left"/>
            </w:pPr>
            <w:r>
              <w:t xml:space="preserve">c) </w:t>
            </w:r>
          </w:p>
          <w:p w14:paraId="50ABE239" w14:textId="77777777" w:rsidR="000B2060" w:rsidRDefault="009E72B8">
            <w:pPr>
              <w:numPr>
                <w:ilvl w:val="0"/>
                <w:numId w:val="15"/>
              </w:numPr>
              <w:spacing w:after="27" w:line="259" w:lineRule="auto"/>
              <w:ind w:hanging="245"/>
              <w:jc w:val="left"/>
            </w:pPr>
            <w:r>
              <w:t xml:space="preserve">d) </w:t>
            </w:r>
          </w:p>
          <w:p w14:paraId="6D1294DF" w14:textId="77777777" w:rsidR="000B2060" w:rsidRDefault="009E72B8">
            <w:pPr>
              <w:numPr>
                <w:ilvl w:val="0"/>
                <w:numId w:val="15"/>
              </w:numPr>
              <w:spacing w:after="29" w:line="259" w:lineRule="auto"/>
              <w:ind w:hanging="245"/>
              <w:jc w:val="left"/>
            </w:pPr>
            <w:r>
              <w:t xml:space="preserve">e) </w:t>
            </w:r>
          </w:p>
          <w:p w14:paraId="7CE62BFD" w14:textId="77777777" w:rsidR="000B2060" w:rsidRDefault="009E72B8">
            <w:pPr>
              <w:numPr>
                <w:ilvl w:val="0"/>
                <w:numId w:val="15"/>
              </w:numPr>
              <w:spacing w:after="0" w:line="259" w:lineRule="auto"/>
              <w:ind w:hanging="245"/>
              <w:jc w:val="left"/>
            </w:pPr>
            <w:r>
              <w:t xml:space="preserve">f)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hAnsi="Wingdings"/>
                <w:color w:val="00B050"/>
                <w:sz w:val="16"/>
              </w:rPr>
              <w:lastRenderedPageBreak/>
              <w:t></w:t>
            </w:r>
            <w:r>
              <w:rPr>
                <w:rFonts w:ascii="Arial" w:hAnsi="Arial"/>
                <w:color w:val="00B050"/>
                <w:sz w:val="16"/>
              </w:rPr>
              <w:t xml:space="preserve"> </w:t>
            </w:r>
            <w:r>
              <w:t xml:space="preserve">UNI EN 13055: Lette tilslag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a) </w:t>
            </w:r>
          </w:p>
          <w:p w14:paraId="30E238A0" w14:textId="77777777" w:rsidR="000B2060" w:rsidRDefault="009E72B8">
            <w:pPr>
              <w:numPr>
                <w:ilvl w:val="0"/>
                <w:numId w:val="16"/>
              </w:numPr>
              <w:spacing w:after="30" w:line="259" w:lineRule="auto"/>
              <w:ind w:hanging="245"/>
              <w:jc w:val="left"/>
            </w:pPr>
            <w:r>
              <w:t xml:space="preserve">b) </w:t>
            </w:r>
          </w:p>
          <w:p w14:paraId="71A32225" w14:textId="77777777" w:rsidR="000B2060" w:rsidRDefault="009E72B8">
            <w:pPr>
              <w:numPr>
                <w:ilvl w:val="0"/>
                <w:numId w:val="16"/>
              </w:numPr>
              <w:spacing w:after="27" w:line="259" w:lineRule="auto"/>
              <w:ind w:hanging="245"/>
              <w:jc w:val="left"/>
            </w:pPr>
            <w:r>
              <w:t xml:space="preserve">c) </w:t>
            </w:r>
          </w:p>
          <w:p w14:paraId="1A61E559" w14:textId="77777777" w:rsidR="000B2060" w:rsidRDefault="009E72B8">
            <w:pPr>
              <w:numPr>
                <w:ilvl w:val="0"/>
                <w:numId w:val="16"/>
              </w:numPr>
              <w:spacing w:after="27" w:line="259" w:lineRule="auto"/>
              <w:ind w:hanging="245"/>
              <w:jc w:val="left"/>
            </w:pPr>
            <w:r>
              <w:t xml:space="preserve">d) </w:t>
            </w:r>
          </w:p>
          <w:p w14:paraId="38A83D35" w14:textId="77777777" w:rsidR="000B2060" w:rsidRDefault="009E72B8">
            <w:pPr>
              <w:numPr>
                <w:ilvl w:val="0"/>
                <w:numId w:val="16"/>
              </w:numPr>
              <w:spacing w:after="27" w:line="259" w:lineRule="auto"/>
              <w:ind w:hanging="245"/>
              <w:jc w:val="left"/>
            </w:pPr>
            <w:r>
              <w:t xml:space="preserve">e) </w:t>
            </w:r>
          </w:p>
          <w:p w14:paraId="2940E4BC" w14:textId="77777777" w:rsidR="000B2060" w:rsidRDefault="009E72B8">
            <w:pPr>
              <w:numPr>
                <w:ilvl w:val="0"/>
                <w:numId w:val="16"/>
              </w:numPr>
              <w:spacing w:after="0" w:line="259" w:lineRule="auto"/>
              <w:ind w:hanging="245"/>
              <w:jc w:val="left"/>
            </w:pPr>
            <w:r>
              <w:t xml:space="preserve">f)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Tilslag til jernbaneballast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a) </w:t>
            </w:r>
          </w:p>
          <w:p w14:paraId="482EDB46" w14:textId="77777777" w:rsidR="000B2060" w:rsidRDefault="009E72B8">
            <w:pPr>
              <w:numPr>
                <w:ilvl w:val="0"/>
                <w:numId w:val="17"/>
              </w:numPr>
              <w:spacing w:after="27" w:line="259" w:lineRule="auto"/>
              <w:ind w:hanging="245"/>
              <w:jc w:val="left"/>
            </w:pPr>
            <w:r>
              <w:t xml:space="preserve">b) </w:t>
            </w:r>
          </w:p>
          <w:p w14:paraId="489EE8F7" w14:textId="77777777" w:rsidR="000B2060" w:rsidRDefault="009E72B8">
            <w:pPr>
              <w:numPr>
                <w:ilvl w:val="0"/>
                <w:numId w:val="17"/>
              </w:numPr>
              <w:spacing w:after="30" w:line="259" w:lineRule="auto"/>
              <w:ind w:hanging="245"/>
              <w:jc w:val="left"/>
            </w:pPr>
            <w:r>
              <w:t xml:space="preserve">c) </w:t>
            </w:r>
          </w:p>
          <w:p w14:paraId="135C3216" w14:textId="77777777" w:rsidR="000B2060" w:rsidRDefault="009E72B8">
            <w:pPr>
              <w:numPr>
                <w:ilvl w:val="0"/>
                <w:numId w:val="17"/>
              </w:numPr>
              <w:spacing w:after="27" w:line="259" w:lineRule="auto"/>
              <w:ind w:hanging="245"/>
              <w:jc w:val="left"/>
            </w:pPr>
            <w:r>
              <w:t xml:space="preserve">d) </w:t>
            </w:r>
          </w:p>
          <w:p w14:paraId="52FA2E1D" w14:textId="77777777" w:rsidR="000B2060" w:rsidRDefault="009E72B8">
            <w:pPr>
              <w:numPr>
                <w:ilvl w:val="0"/>
                <w:numId w:val="17"/>
              </w:numPr>
              <w:spacing w:after="27" w:line="259" w:lineRule="auto"/>
              <w:ind w:hanging="245"/>
              <w:jc w:val="left"/>
            </w:pPr>
            <w:r>
              <w:t xml:space="preserve">e) </w:t>
            </w:r>
          </w:p>
          <w:p w14:paraId="62C7EA3F" w14:textId="77777777" w:rsidR="000B2060" w:rsidRDefault="009E72B8">
            <w:pPr>
              <w:numPr>
                <w:ilvl w:val="0"/>
                <w:numId w:val="17"/>
              </w:numPr>
              <w:spacing w:after="0" w:line="259" w:lineRule="auto"/>
              <w:ind w:hanging="245"/>
              <w:jc w:val="left"/>
            </w:pPr>
            <w:r>
              <w:t xml:space="preserve">f)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 xml:space="preserve">UNI EN 13383:1 Tilslag til beskyttelsesarbejder (armeringssten) – Specifikationer.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a) </w:t>
            </w:r>
          </w:p>
          <w:p w14:paraId="0253FE6A" w14:textId="77777777" w:rsidR="000B2060" w:rsidRDefault="009E72B8">
            <w:pPr>
              <w:numPr>
                <w:ilvl w:val="0"/>
                <w:numId w:val="18"/>
              </w:numPr>
              <w:spacing w:after="27" w:line="259" w:lineRule="auto"/>
              <w:ind w:hanging="245"/>
              <w:jc w:val="left"/>
            </w:pPr>
            <w:r>
              <w:t xml:space="preserve">b) </w:t>
            </w:r>
          </w:p>
          <w:p w14:paraId="6B53E75F" w14:textId="77777777" w:rsidR="000B2060" w:rsidRDefault="009E72B8">
            <w:pPr>
              <w:numPr>
                <w:ilvl w:val="0"/>
                <w:numId w:val="18"/>
              </w:numPr>
              <w:spacing w:after="27" w:line="259" w:lineRule="auto"/>
              <w:ind w:hanging="245"/>
              <w:jc w:val="left"/>
            </w:pPr>
            <w:r>
              <w:t xml:space="preserve">c) </w:t>
            </w:r>
          </w:p>
          <w:p w14:paraId="0CE01091" w14:textId="77777777" w:rsidR="000B2060" w:rsidRDefault="009E72B8">
            <w:pPr>
              <w:numPr>
                <w:ilvl w:val="0"/>
                <w:numId w:val="18"/>
              </w:numPr>
              <w:spacing w:after="27" w:line="259" w:lineRule="auto"/>
              <w:ind w:hanging="245"/>
              <w:jc w:val="left"/>
            </w:pPr>
            <w:r>
              <w:t xml:space="preserve">d) </w:t>
            </w:r>
          </w:p>
          <w:p w14:paraId="0AE84832" w14:textId="77777777" w:rsidR="000B2060" w:rsidRDefault="009E72B8">
            <w:pPr>
              <w:numPr>
                <w:ilvl w:val="0"/>
                <w:numId w:val="18"/>
              </w:numPr>
              <w:spacing w:after="29" w:line="259" w:lineRule="auto"/>
              <w:ind w:hanging="245"/>
              <w:jc w:val="left"/>
            </w:pPr>
            <w:r>
              <w:t xml:space="preserve">e) </w:t>
            </w:r>
          </w:p>
          <w:p w14:paraId="0C265E83" w14:textId="77777777" w:rsidR="000B2060" w:rsidRDefault="009E72B8">
            <w:pPr>
              <w:numPr>
                <w:ilvl w:val="0"/>
                <w:numId w:val="18"/>
              </w:numPr>
              <w:spacing w:after="0" w:line="259" w:lineRule="auto"/>
              <w:ind w:hanging="245"/>
              <w:jc w:val="left"/>
            </w:pPr>
            <w:r>
              <w:t xml:space="preserve">f)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Endelig anfører producenten, at: </w:t>
      </w:r>
    </w:p>
    <w:p w14:paraId="0F0B2894" w14:textId="77777777" w:rsidR="000B2060" w:rsidRDefault="009E72B8">
      <w:pPr>
        <w:numPr>
          <w:ilvl w:val="0"/>
          <w:numId w:val="9"/>
        </w:numPr>
        <w:ind w:right="51" w:hanging="360"/>
      </w:pPr>
      <w:r>
        <w:t xml:space="preserve">vedkommende er bekendt med de strafferetlige sanktioner for afgivelse af urigtige eller unøjagtige angivelser i officielle dokumenter og til det deraf følgende tab af ydelser i henhold til artikel 75 og 76 i </w:t>
      </w:r>
    </w:p>
    <w:p w14:paraId="3A205EC1" w14:textId="77777777" w:rsidR="000B2060" w:rsidRDefault="009E72B8">
      <w:pPr>
        <w:spacing w:after="36"/>
        <w:ind w:left="798" w:right="51"/>
      </w:pPr>
      <w:r>
        <w:t xml:space="preserve">PRÆSIDENTIELT DEKRET NR. 445/2000 </w:t>
      </w:r>
    </w:p>
    <w:p w14:paraId="06DFD34E" w14:textId="77777777" w:rsidR="000B2060" w:rsidRDefault="009E72B8">
      <w:pPr>
        <w:numPr>
          <w:ilvl w:val="0"/>
          <w:numId w:val="9"/>
        </w:numPr>
        <w:ind w:right="51" w:hanging="360"/>
      </w:pPr>
      <w:r>
        <w:t xml:space="preserve">vedkommende er informeret om, at alle personoplysninger, der indsamles, behandles elektronisk udelukkende af hensyn til proceduren, som erklæringen indgives til (artikel 13 i forordning (EU) 679/2016).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_________ , den ______________________ </w:t>
            </w:r>
          </w:p>
          <w:p w14:paraId="28DE5481" w14:textId="77777777" w:rsidR="000B2060" w:rsidRDefault="009E72B8">
            <w:pPr>
              <w:spacing w:after="16" w:line="259" w:lineRule="auto"/>
              <w:ind w:left="926" w:firstLine="0"/>
              <w:jc w:val="left"/>
            </w:pPr>
            <w:r>
              <w:rPr>
                <w:i/>
              </w:rPr>
              <w:t>(BEMÆRK: angiv sted og dato)</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BEMÆRK: (Fabrikantens underskrift og stempel)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77777777" w:rsidR="000B2060" w:rsidRDefault="009E72B8" w:rsidP="000E6789">
      <w:pPr>
        <w:spacing w:after="12" w:line="267" w:lineRule="auto"/>
        <w:ind w:left="1080" w:right="49"/>
      </w:pPr>
      <w:r>
        <w:t xml:space="preserve">(undtaget fra stempelafgift i henhold til artikel 37 i præsidentielt dekret nr. 445/2000) </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Bilag: fotokopi af abonnentens identitetsdokument og analyserapport.</w:t>
      </w:r>
      <w:r>
        <w:t xml:space="preserve"> </w:t>
      </w:r>
    </w:p>
    <w:p w14:paraId="57074C32" w14:textId="77777777" w:rsidR="000B2060" w:rsidRDefault="009E72B8">
      <w:pPr>
        <w:spacing w:after="17" w:line="259" w:lineRule="auto"/>
        <w:ind w:left="0" w:firstLine="0"/>
        <w:jc w:val="left"/>
      </w:pPr>
      <w:r>
        <w:rPr>
          <w:b/>
        </w:rPr>
        <w:t xml:space="preserve"> </w:t>
      </w:r>
    </w:p>
    <w:p w14:paraId="4E02FF04" w14:textId="77777777" w:rsidR="000B2060" w:rsidRDefault="009E72B8">
      <w:pPr>
        <w:spacing w:after="0" w:line="259" w:lineRule="auto"/>
        <w:ind w:left="0" w:firstLine="0"/>
        <w:jc w:val="center"/>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0D9A16E2"/>
    <w:lvl w:ilvl="0" w:tplc="1E60CE8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0"/>
    <w:rsid w:val="00040E9E"/>
    <w:rsid w:val="000608BB"/>
    <w:rsid w:val="00066C45"/>
    <w:rsid w:val="00070ADA"/>
    <w:rsid w:val="000A5B7E"/>
    <w:rsid w:val="000B2060"/>
    <w:rsid w:val="000C74AC"/>
    <w:rsid w:val="000E2887"/>
    <w:rsid w:val="000E6789"/>
    <w:rsid w:val="00122D4D"/>
    <w:rsid w:val="0012657B"/>
    <w:rsid w:val="001571B3"/>
    <w:rsid w:val="00187C2F"/>
    <w:rsid w:val="001A3C5B"/>
    <w:rsid w:val="001A66C5"/>
    <w:rsid w:val="001B60FC"/>
    <w:rsid w:val="001E2424"/>
    <w:rsid w:val="001F73B8"/>
    <w:rsid w:val="002078AA"/>
    <w:rsid w:val="00211D1B"/>
    <w:rsid w:val="00257F18"/>
    <w:rsid w:val="002C424A"/>
    <w:rsid w:val="002C6268"/>
    <w:rsid w:val="00321CC2"/>
    <w:rsid w:val="00342A75"/>
    <w:rsid w:val="003855A4"/>
    <w:rsid w:val="003D02E8"/>
    <w:rsid w:val="00435FEC"/>
    <w:rsid w:val="00440032"/>
    <w:rsid w:val="00443C03"/>
    <w:rsid w:val="00453843"/>
    <w:rsid w:val="00453851"/>
    <w:rsid w:val="004D027A"/>
    <w:rsid w:val="004D0F46"/>
    <w:rsid w:val="004D5730"/>
    <w:rsid w:val="004E1785"/>
    <w:rsid w:val="004F3D24"/>
    <w:rsid w:val="00511FA8"/>
    <w:rsid w:val="00516CAA"/>
    <w:rsid w:val="005211CB"/>
    <w:rsid w:val="005428D2"/>
    <w:rsid w:val="00560FC1"/>
    <w:rsid w:val="00563958"/>
    <w:rsid w:val="00575D8B"/>
    <w:rsid w:val="005C02C8"/>
    <w:rsid w:val="005D26EE"/>
    <w:rsid w:val="005D2CCC"/>
    <w:rsid w:val="005F0151"/>
    <w:rsid w:val="00605A70"/>
    <w:rsid w:val="00607D0C"/>
    <w:rsid w:val="00647BE4"/>
    <w:rsid w:val="00670BBC"/>
    <w:rsid w:val="00677FDE"/>
    <w:rsid w:val="00751073"/>
    <w:rsid w:val="00762ADB"/>
    <w:rsid w:val="007B53AC"/>
    <w:rsid w:val="007D34E4"/>
    <w:rsid w:val="007F7B0C"/>
    <w:rsid w:val="00842EDF"/>
    <w:rsid w:val="00851DB7"/>
    <w:rsid w:val="008610D3"/>
    <w:rsid w:val="008647FF"/>
    <w:rsid w:val="008716AC"/>
    <w:rsid w:val="0087254B"/>
    <w:rsid w:val="0087338D"/>
    <w:rsid w:val="008817D3"/>
    <w:rsid w:val="008A7D5B"/>
    <w:rsid w:val="008E07EC"/>
    <w:rsid w:val="00912607"/>
    <w:rsid w:val="009365B9"/>
    <w:rsid w:val="00947677"/>
    <w:rsid w:val="00986ED7"/>
    <w:rsid w:val="009E72B8"/>
    <w:rsid w:val="00A141D1"/>
    <w:rsid w:val="00A42E5E"/>
    <w:rsid w:val="00A451F2"/>
    <w:rsid w:val="00A923FD"/>
    <w:rsid w:val="00B07069"/>
    <w:rsid w:val="00B6618B"/>
    <w:rsid w:val="00B66567"/>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E7699"/>
    <w:rsid w:val="00EF52D1"/>
    <w:rsid w:val="00F061A6"/>
    <w:rsid w:val="00F077D2"/>
    <w:rsid w:val="00F1673E"/>
    <w:rsid w:val="00F31101"/>
    <w:rsid w:val="00F433CF"/>
    <w:rsid w:val="00F51F5E"/>
    <w:rsid w:val="00F55F19"/>
    <w:rsid w:val="00F5702C"/>
    <w:rsid w:val="00F75776"/>
    <w:rsid w:val="00FB6796"/>
    <w:rsid w:val="00FB6799"/>
    <w:rsid w:val="00FC1B37"/>
    <w:rsid w:val="00FD253E"/>
    <w:rsid w:val="00FD4D84"/>
    <w:rsid w:val="00FE62E1"/>
    <w:rsid w:val="00FF2C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11FA8"/>
    <w:pPr>
      <w:ind w:left="720"/>
      <w:contextualSpacing/>
    </w:pPr>
  </w:style>
  <w:style w:type="character" w:styleId="CommentReference">
    <w:name w:val="annotation reference"/>
    <w:basedOn w:val="DefaultParagraphFont"/>
    <w:uiPriority w:val="99"/>
    <w:semiHidden/>
    <w:unhideWhenUsed/>
    <w:rsid w:val="00B07069"/>
    <w:rPr>
      <w:sz w:val="16"/>
      <w:szCs w:val="16"/>
    </w:rPr>
  </w:style>
  <w:style w:type="paragraph" w:styleId="CommentText">
    <w:name w:val="annotation text"/>
    <w:basedOn w:val="Normal"/>
    <w:link w:val="CommentTextChar"/>
    <w:uiPriority w:val="99"/>
    <w:semiHidden/>
    <w:unhideWhenUsed/>
    <w:rsid w:val="00B07069"/>
    <w:pPr>
      <w:spacing w:line="240" w:lineRule="auto"/>
    </w:pPr>
    <w:rPr>
      <w:sz w:val="20"/>
      <w:szCs w:val="20"/>
    </w:rPr>
  </w:style>
  <w:style w:type="character" w:customStyle="1" w:styleId="CommentTextChar">
    <w:name w:val="Comment Text Char"/>
    <w:basedOn w:val="DefaultParagraphFont"/>
    <w:link w:val="CommentText"/>
    <w:uiPriority w:val="99"/>
    <w:semiHidden/>
    <w:rsid w:val="00B070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7069"/>
    <w:rPr>
      <w:b/>
      <w:bCs/>
    </w:rPr>
  </w:style>
  <w:style w:type="character" w:customStyle="1" w:styleId="CommentSubjectChar">
    <w:name w:val="Comment Subject Char"/>
    <w:basedOn w:val="CommentTextChar"/>
    <w:link w:val="CommentSubject"/>
    <w:uiPriority w:val="99"/>
    <w:semiHidden/>
    <w:rsid w:val="00B0706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14</Pages>
  <Words>3810</Words>
  <Characters>21722</Characters>
  <Application>Microsoft Office Word</Application>
  <DocSecurity>0</DocSecurity>
  <Lines>181</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Liana Brili</cp:lastModifiedBy>
  <cp:revision>7</cp:revision>
  <dcterms:created xsi:type="dcterms:W3CDTF">2022-03-10T16:09:00Z</dcterms:created>
  <dcterms:modified xsi:type="dcterms:W3CDTF">2022-03-31T13:56:00Z</dcterms:modified>
</cp:coreProperties>
</file>