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6F3" w:rsidRDefault="007E26F3" w:rsidP="007E26F3">
      <w:pPr>
        <w:pStyle w:val="PlainText"/>
        <w:rPr>
          <w:lang w:val="da-DK"/>
        </w:rPr>
      </w:pPr>
      <w:r w:rsidRPr="00B00403">
        <w:rPr>
          <w:lang w:val="da-DK"/>
        </w:rPr>
        <w:t xml:space="preserve">1. ------IND- </w:t>
      </w:r>
      <w:r>
        <w:rPr>
          <w:lang w:val="da-DK"/>
        </w:rPr>
        <w:t>2017</w:t>
      </w:r>
      <w:r w:rsidRPr="00B00403">
        <w:rPr>
          <w:lang w:val="da-DK"/>
        </w:rPr>
        <w:t xml:space="preserve"> 0</w:t>
      </w:r>
      <w:r>
        <w:rPr>
          <w:lang w:val="da-DK"/>
        </w:rPr>
        <w:t>182 B-- MT</w:t>
      </w:r>
      <w:r w:rsidRPr="00B00403">
        <w:rPr>
          <w:lang w:val="da-DK"/>
        </w:rPr>
        <w:t xml:space="preserve">- ------ </w:t>
      </w:r>
      <w:r>
        <w:rPr>
          <w:lang w:val="da-DK"/>
        </w:rPr>
        <w:t>20190508</w:t>
      </w:r>
      <w:r w:rsidRPr="00B00403">
        <w:rPr>
          <w:lang w:val="da-DK"/>
        </w:rPr>
        <w:t xml:space="preserve"> --- --- </w:t>
      </w:r>
      <w:r>
        <w:rPr>
          <w:lang w:val="da-DK"/>
        </w:rPr>
        <w:t>FINAL</w:t>
      </w:r>
      <w:r w:rsidRPr="00B00403">
        <w:rPr>
          <w:lang w:val="da-DK"/>
        </w:rPr>
        <w:t xml:space="preserve"> </w:t>
      </w:r>
    </w:p>
    <w:p w:rsidR="00A81D25" w:rsidRPr="00E629A7" w:rsidRDefault="00A81D25"/>
    <w:tbl>
      <w:tblPr>
        <w:tblW w:w="1006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4"/>
      </w:tblGrid>
      <w:tr w:rsidR="00A81D25" w:rsidRPr="00E629A7" w:rsidTr="00A81D25">
        <w:tc>
          <w:tcPr>
            <w:tcW w:w="10064" w:type="dxa"/>
            <w:tcBorders>
              <w:top w:val="nil"/>
              <w:left w:val="nil"/>
              <w:bottom w:val="nil"/>
              <w:right w:val="nil"/>
            </w:tcBorders>
          </w:tcPr>
          <w:p w:rsidR="00A81D25" w:rsidRPr="00E629A7" w:rsidRDefault="00A81D25" w:rsidP="00A81D25">
            <w:pPr>
              <w:pStyle w:val="Heading3"/>
              <w:jc w:val="center"/>
              <w:rPr>
                <w:sz w:val="22"/>
              </w:rPr>
            </w:pPr>
            <w:r>
              <w:rPr>
                <w:sz w:val="22"/>
              </w:rPr>
              <w:t>Ir-Renju tal-Belġju</w:t>
            </w:r>
          </w:p>
        </w:tc>
      </w:tr>
      <w:tr w:rsidR="00A81D25" w:rsidRPr="00E629A7" w:rsidTr="00A81D25">
        <w:tc>
          <w:tcPr>
            <w:tcW w:w="10064" w:type="dxa"/>
            <w:tcBorders>
              <w:top w:val="nil"/>
              <w:left w:val="nil"/>
              <w:bottom w:val="nil"/>
              <w:right w:val="nil"/>
            </w:tcBorders>
          </w:tcPr>
          <w:p w:rsidR="00A81D25" w:rsidRPr="00E629A7" w:rsidRDefault="00A81D25" w:rsidP="00A81D25">
            <w:pPr>
              <w:tabs>
                <w:tab w:val="left" w:pos="2268"/>
              </w:tabs>
              <w:jc w:val="center"/>
              <w:rPr>
                <w:sz w:val="22"/>
              </w:rPr>
            </w:pPr>
            <w:r>
              <w:rPr>
                <w:sz w:val="22"/>
              </w:rPr>
              <w:t>_________</w:t>
            </w:r>
          </w:p>
        </w:tc>
      </w:tr>
      <w:tr w:rsidR="00A81D25" w:rsidRPr="00E629A7" w:rsidTr="00A81D25">
        <w:tc>
          <w:tcPr>
            <w:tcW w:w="10064" w:type="dxa"/>
            <w:tcBorders>
              <w:top w:val="nil"/>
              <w:left w:val="nil"/>
              <w:bottom w:val="nil"/>
              <w:right w:val="nil"/>
            </w:tcBorders>
          </w:tcPr>
          <w:p w:rsidR="00A3681D" w:rsidRPr="00E629A7" w:rsidRDefault="00A3681D" w:rsidP="00A81D25">
            <w:pPr>
              <w:tabs>
                <w:tab w:val="left" w:pos="2268"/>
              </w:tabs>
              <w:jc w:val="center"/>
              <w:rPr>
                <w:sz w:val="22"/>
              </w:rPr>
            </w:pPr>
          </w:p>
          <w:p w:rsidR="00A81D25" w:rsidRPr="00E629A7" w:rsidRDefault="00A81D25" w:rsidP="00A81D25">
            <w:pPr>
              <w:tabs>
                <w:tab w:val="left" w:pos="2268"/>
              </w:tabs>
              <w:jc w:val="center"/>
              <w:rPr>
                <w:sz w:val="22"/>
              </w:rPr>
            </w:pPr>
            <w:r>
              <w:rPr>
                <w:sz w:val="22"/>
              </w:rPr>
              <w:t>SERVIZZ PUBBLIKU FEDERALI GĦAS-SAĦĦA PUBBLIKA, IS-SIGURTÀ TAL-KATINA ALIMENTARI U L-AMBJENT</w:t>
            </w:r>
          </w:p>
        </w:tc>
      </w:tr>
      <w:tr w:rsidR="00A81D25" w:rsidRPr="00E629A7" w:rsidTr="00A81D25">
        <w:tc>
          <w:tcPr>
            <w:tcW w:w="10064" w:type="dxa"/>
            <w:tcBorders>
              <w:top w:val="nil"/>
              <w:left w:val="nil"/>
              <w:bottom w:val="nil"/>
              <w:right w:val="nil"/>
            </w:tcBorders>
          </w:tcPr>
          <w:p w:rsidR="00A81D25" w:rsidRPr="00E629A7" w:rsidRDefault="00A81D25" w:rsidP="00A81D25">
            <w:pPr>
              <w:tabs>
                <w:tab w:val="left" w:pos="2268"/>
              </w:tabs>
              <w:rPr>
                <w:sz w:val="22"/>
              </w:rPr>
            </w:pPr>
          </w:p>
          <w:p w:rsidR="00A81D25" w:rsidRPr="00E629A7" w:rsidRDefault="00A81D25" w:rsidP="00A81D25">
            <w:pPr>
              <w:tabs>
                <w:tab w:val="left" w:pos="2268"/>
              </w:tabs>
              <w:jc w:val="center"/>
              <w:rPr>
                <w:sz w:val="22"/>
              </w:rPr>
            </w:pPr>
            <w:r>
              <w:rPr>
                <w:sz w:val="22"/>
              </w:rPr>
              <w:t>________________________</w:t>
            </w:r>
          </w:p>
        </w:tc>
      </w:tr>
      <w:tr w:rsidR="00A81D25" w:rsidRPr="00E629A7" w:rsidTr="00A81D25">
        <w:tc>
          <w:tcPr>
            <w:tcW w:w="10064" w:type="dxa"/>
            <w:tcBorders>
              <w:top w:val="nil"/>
              <w:left w:val="nil"/>
              <w:bottom w:val="nil"/>
              <w:right w:val="nil"/>
            </w:tcBorders>
          </w:tcPr>
          <w:p w:rsidR="008D4FFA" w:rsidRPr="00E629A7" w:rsidRDefault="008D4FFA" w:rsidP="0057069D">
            <w:pPr>
              <w:tabs>
                <w:tab w:val="left" w:pos="2268"/>
              </w:tabs>
              <w:rPr>
                <w:b/>
                <w:bCs/>
                <w:sz w:val="22"/>
              </w:rPr>
            </w:pPr>
          </w:p>
          <w:p w:rsidR="00A81D25" w:rsidRPr="00E629A7" w:rsidRDefault="00A81D25" w:rsidP="00A81D25">
            <w:pPr>
              <w:tabs>
                <w:tab w:val="left" w:pos="2268"/>
              </w:tabs>
              <w:jc w:val="center"/>
              <w:rPr>
                <w:b/>
                <w:bCs/>
                <w:sz w:val="22"/>
              </w:rPr>
            </w:pPr>
            <w:r>
              <w:rPr>
                <w:b/>
                <w:sz w:val="22"/>
              </w:rPr>
              <w:t>Digriet Ministerjali li jemenda d-Digriet Ministerjali tad-19 ta</w:t>
            </w:r>
            <w:r>
              <w:rPr>
                <w:b/>
                <w:sz w:val="22"/>
                <w:cs/>
              </w:rPr>
              <w:t>’</w:t>
            </w:r>
            <w:r>
              <w:rPr>
                <w:b/>
                <w:sz w:val="22"/>
              </w:rPr>
              <w:t> Frar 2009 dwar il-manifattura u l-kummerċjalizzazzjoni ta</w:t>
            </w:r>
            <w:r>
              <w:rPr>
                <w:b/>
                <w:sz w:val="22"/>
                <w:cs/>
              </w:rPr>
              <w:t xml:space="preserve">’ </w:t>
            </w:r>
            <w:r>
              <w:rPr>
                <w:b/>
                <w:sz w:val="22"/>
              </w:rPr>
              <w:t>supplimenti tal-ikel li għandhom sustanzi oħra għajr nutrijenti u pjanti jew preparazzjonijiet ta</w:t>
            </w:r>
            <w:r>
              <w:rPr>
                <w:b/>
                <w:sz w:val="22"/>
                <w:cs/>
              </w:rPr>
              <w:t xml:space="preserve">’ </w:t>
            </w:r>
            <w:r>
              <w:rPr>
                <w:b/>
                <w:sz w:val="22"/>
              </w:rPr>
              <w:t>pjanti</w:t>
            </w:r>
          </w:p>
        </w:tc>
      </w:tr>
      <w:tr w:rsidR="00A81D25" w:rsidRPr="00E629A7" w:rsidTr="00A81D25">
        <w:tc>
          <w:tcPr>
            <w:tcW w:w="10064" w:type="dxa"/>
            <w:tcBorders>
              <w:top w:val="nil"/>
              <w:left w:val="nil"/>
              <w:bottom w:val="nil"/>
              <w:right w:val="nil"/>
            </w:tcBorders>
          </w:tcPr>
          <w:p w:rsidR="00A81D25" w:rsidRPr="00E629A7" w:rsidRDefault="00A81D25" w:rsidP="00A81D25">
            <w:pPr>
              <w:rPr>
                <w:b/>
                <w:sz w:val="22"/>
              </w:rPr>
            </w:pPr>
          </w:p>
        </w:tc>
      </w:tr>
      <w:tr w:rsidR="00A81D25" w:rsidRPr="00E629A7" w:rsidTr="00A81D25">
        <w:tc>
          <w:tcPr>
            <w:tcW w:w="10064" w:type="dxa"/>
            <w:tcBorders>
              <w:top w:val="nil"/>
              <w:left w:val="nil"/>
              <w:bottom w:val="nil"/>
              <w:right w:val="nil"/>
            </w:tcBorders>
          </w:tcPr>
          <w:p w:rsidR="00A81D25" w:rsidRPr="00E629A7" w:rsidRDefault="00A81D25" w:rsidP="00A81D25">
            <w:pPr>
              <w:rPr>
                <w:b/>
                <w:sz w:val="22"/>
              </w:rPr>
            </w:pPr>
          </w:p>
        </w:tc>
      </w:tr>
      <w:tr w:rsidR="00A81D25" w:rsidRPr="00E629A7" w:rsidTr="00A81D25">
        <w:tc>
          <w:tcPr>
            <w:tcW w:w="10064" w:type="dxa"/>
            <w:tcBorders>
              <w:top w:val="nil"/>
              <w:left w:val="nil"/>
              <w:bottom w:val="nil"/>
              <w:right w:val="nil"/>
            </w:tcBorders>
          </w:tcPr>
          <w:p w:rsidR="00A81D25" w:rsidRPr="00E629A7" w:rsidRDefault="00A81D25" w:rsidP="00A81D25">
            <w:pPr>
              <w:keepNext/>
              <w:keepLines/>
              <w:tabs>
                <w:tab w:val="left" w:pos="306"/>
                <w:tab w:val="left" w:pos="5498"/>
              </w:tabs>
              <w:ind w:firstLine="306"/>
              <w:jc w:val="both"/>
              <w:rPr>
                <w:sz w:val="22"/>
              </w:rPr>
            </w:pPr>
            <w:r>
              <w:rPr>
                <w:sz w:val="22"/>
              </w:rPr>
              <w:t>Il-Ministru għas-Saħħa Pubblika,</w:t>
            </w:r>
          </w:p>
        </w:tc>
      </w:tr>
      <w:tr w:rsidR="00A81D25" w:rsidRPr="00E629A7" w:rsidTr="00A81D25">
        <w:tc>
          <w:tcPr>
            <w:tcW w:w="10064" w:type="dxa"/>
            <w:tcBorders>
              <w:top w:val="nil"/>
              <w:left w:val="nil"/>
              <w:bottom w:val="nil"/>
              <w:right w:val="nil"/>
            </w:tcBorders>
          </w:tcPr>
          <w:p w:rsidR="00A81D25" w:rsidRPr="00E629A7" w:rsidRDefault="00A81D25" w:rsidP="00A81D25">
            <w:pPr>
              <w:tabs>
                <w:tab w:val="left" w:pos="567"/>
                <w:tab w:val="left" w:pos="2268"/>
              </w:tabs>
              <w:rPr>
                <w:sz w:val="22"/>
              </w:rPr>
            </w:pPr>
          </w:p>
        </w:tc>
      </w:tr>
      <w:tr w:rsidR="00A81D25" w:rsidRPr="00E629A7" w:rsidTr="00A81D25">
        <w:tc>
          <w:tcPr>
            <w:tcW w:w="10064" w:type="dxa"/>
            <w:tcBorders>
              <w:top w:val="nil"/>
              <w:left w:val="nil"/>
              <w:bottom w:val="nil"/>
              <w:right w:val="nil"/>
            </w:tcBorders>
          </w:tcPr>
          <w:p w:rsidR="00A81D25" w:rsidRPr="00E629A7" w:rsidRDefault="00A81D25" w:rsidP="00A81D25">
            <w:pPr>
              <w:tabs>
                <w:tab w:val="left" w:pos="356"/>
                <w:tab w:val="left" w:pos="2268"/>
              </w:tabs>
              <w:ind w:firstLine="302"/>
              <w:jc w:val="both"/>
              <w:rPr>
                <w:sz w:val="22"/>
              </w:rPr>
            </w:pPr>
            <w:r>
              <w:rPr>
                <w:sz w:val="22"/>
              </w:rPr>
              <w:t>Wara li kkunsidrat l-Artikolu 2 tal-Liġi tal-24 ta</w:t>
            </w:r>
            <w:r>
              <w:rPr>
                <w:sz w:val="22"/>
                <w:cs/>
              </w:rPr>
              <w:t>’</w:t>
            </w:r>
            <w:r>
              <w:rPr>
                <w:sz w:val="22"/>
              </w:rPr>
              <w:t> Jannar 1977 dwar il-protezzjoni tas-saħħa tal-konsumaturi rigward l-ikel u l-prodotti l-oħra;</w:t>
            </w:r>
          </w:p>
        </w:tc>
      </w:tr>
      <w:tr w:rsidR="00A81D25" w:rsidRPr="00E629A7" w:rsidTr="00A81D25">
        <w:tc>
          <w:tcPr>
            <w:tcW w:w="10064" w:type="dxa"/>
            <w:tcBorders>
              <w:top w:val="nil"/>
              <w:left w:val="nil"/>
              <w:bottom w:val="nil"/>
              <w:right w:val="nil"/>
            </w:tcBorders>
          </w:tcPr>
          <w:p w:rsidR="00A81D25" w:rsidRPr="00E629A7" w:rsidRDefault="00A81D25" w:rsidP="00A81D25">
            <w:pPr>
              <w:tabs>
                <w:tab w:val="left" w:pos="567"/>
                <w:tab w:val="left" w:pos="2268"/>
              </w:tabs>
              <w:ind w:firstLine="302"/>
              <w:rPr>
                <w:sz w:val="22"/>
              </w:rPr>
            </w:pPr>
          </w:p>
        </w:tc>
      </w:tr>
      <w:tr w:rsidR="00A81D25" w:rsidRPr="00E629A7" w:rsidTr="00A81D25">
        <w:tc>
          <w:tcPr>
            <w:tcW w:w="10064" w:type="dxa"/>
            <w:tcBorders>
              <w:top w:val="nil"/>
              <w:left w:val="nil"/>
              <w:bottom w:val="nil"/>
              <w:right w:val="nil"/>
            </w:tcBorders>
          </w:tcPr>
          <w:p w:rsidR="00A81D25" w:rsidRPr="00E629A7" w:rsidRDefault="00A81D25" w:rsidP="00A81D25">
            <w:pPr>
              <w:tabs>
                <w:tab w:val="left" w:pos="567"/>
                <w:tab w:val="left" w:pos="2268"/>
              </w:tabs>
              <w:ind w:firstLine="302"/>
              <w:jc w:val="both"/>
              <w:rPr>
                <w:sz w:val="22"/>
              </w:rPr>
            </w:pPr>
            <w:r>
              <w:rPr>
                <w:sz w:val="22"/>
              </w:rPr>
              <w:t>Wara li kkunsidrat id-Digriet Irjali tat-12 ta</w:t>
            </w:r>
            <w:r>
              <w:rPr>
                <w:sz w:val="22"/>
                <w:cs/>
              </w:rPr>
              <w:t>’</w:t>
            </w:r>
            <w:r>
              <w:rPr>
                <w:sz w:val="22"/>
              </w:rPr>
              <w:t> Frar 2009 dwar il-manifattura u l-kummerċjalizzazzjoni ta</w:t>
            </w:r>
            <w:r>
              <w:rPr>
                <w:sz w:val="22"/>
                <w:cs/>
              </w:rPr>
              <w:t xml:space="preserve">’ </w:t>
            </w:r>
            <w:r>
              <w:rPr>
                <w:sz w:val="22"/>
              </w:rPr>
              <w:t>supplimenti tal-ikel li għandhom sustanzi oħra għajr nutrijenti u pjanti jew preparazzjonijiet ta</w:t>
            </w:r>
            <w:r>
              <w:rPr>
                <w:sz w:val="22"/>
                <w:cs/>
              </w:rPr>
              <w:t xml:space="preserve">’ </w:t>
            </w:r>
            <w:r>
              <w:rPr>
                <w:sz w:val="22"/>
              </w:rPr>
              <w:t>pjanti, l-Artikolu 3;</w:t>
            </w:r>
          </w:p>
        </w:tc>
      </w:tr>
      <w:tr w:rsidR="00A81D25" w:rsidRPr="00E629A7" w:rsidTr="00A81D25">
        <w:tc>
          <w:tcPr>
            <w:tcW w:w="10064" w:type="dxa"/>
            <w:tcBorders>
              <w:top w:val="nil"/>
              <w:left w:val="nil"/>
              <w:bottom w:val="nil"/>
              <w:right w:val="nil"/>
            </w:tcBorders>
          </w:tcPr>
          <w:p w:rsidR="00A81D25" w:rsidRDefault="00A3681D" w:rsidP="00A3681D">
            <w:pPr>
              <w:tabs>
                <w:tab w:val="left" w:pos="567"/>
                <w:tab w:val="left" w:pos="2268"/>
              </w:tabs>
              <w:ind w:firstLine="302"/>
              <w:rPr>
                <w:sz w:val="22"/>
              </w:rPr>
            </w:pPr>
            <w:r w:rsidRPr="00A3681D">
              <w:rPr>
                <w:sz w:val="22"/>
              </w:rPr>
              <w:t>Wara li kkunsidra</w:t>
            </w:r>
            <w:r w:rsidR="008D4FFA">
              <w:rPr>
                <w:sz w:val="22"/>
                <w:lang w:val="mt-MT"/>
              </w:rPr>
              <w:t>t</w:t>
            </w:r>
            <w:r w:rsidRPr="00A3681D">
              <w:rPr>
                <w:sz w:val="22"/>
              </w:rPr>
              <w:t xml:space="preserve"> </w:t>
            </w:r>
            <w:r w:rsidR="008D4FFA">
              <w:rPr>
                <w:sz w:val="22"/>
                <w:lang w:val="mt-MT"/>
              </w:rPr>
              <w:t>i</w:t>
            </w:r>
            <w:r w:rsidRPr="00A3681D">
              <w:rPr>
                <w:sz w:val="22"/>
              </w:rPr>
              <w:t>d-Digriet Ministerjali tad-19</w:t>
            </w:r>
            <w:r>
              <w:rPr>
                <w:sz w:val="22"/>
              </w:rPr>
              <w:t> </w:t>
            </w:r>
            <w:r w:rsidRPr="00A3681D">
              <w:rPr>
                <w:sz w:val="22"/>
              </w:rPr>
              <w:t>ta</w:t>
            </w:r>
            <w:r>
              <w:rPr>
                <w:sz w:val="22"/>
              </w:rPr>
              <w:t>’ </w:t>
            </w:r>
            <w:r w:rsidRPr="00A3681D">
              <w:rPr>
                <w:sz w:val="22"/>
              </w:rPr>
              <w:t>Frar</w:t>
            </w:r>
            <w:r>
              <w:rPr>
                <w:sz w:val="22"/>
              </w:rPr>
              <w:t> </w:t>
            </w:r>
            <w:r w:rsidRPr="00A3681D">
              <w:rPr>
                <w:sz w:val="22"/>
              </w:rPr>
              <w:t>2009 dwar il-manifattura u l-bejgħ ta</w:t>
            </w:r>
            <w:r>
              <w:rPr>
                <w:sz w:val="22"/>
              </w:rPr>
              <w:t>’</w:t>
            </w:r>
            <w:r w:rsidRPr="00A3681D">
              <w:rPr>
                <w:sz w:val="22"/>
              </w:rPr>
              <w:t xml:space="preserve"> supplimenti tal-ikel li fihom sustanzi għajr nutrijenti u pjanti jew preparazzjonijiet tal-pjanti;</w:t>
            </w:r>
          </w:p>
          <w:p w:rsidR="00A3681D" w:rsidRPr="00E629A7" w:rsidRDefault="00A3681D" w:rsidP="00A3681D">
            <w:pPr>
              <w:tabs>
                <w:tab w:val="left" w:pos="567"/>
                <w:tab w:val="left" w:pos="2268"/>
              </w:tabs>
              <w:ind w:firstLine="302"/>
              <w:rPr>
                <w:sz w:val="22"/>
              </w:rPr>
            </w:pPr>
          </w:p>
        </w:tc>
      </w:tr>
      <w:tr w:rsidR="00A81D25" w:rsidRPr="00E629A7" w:rsidTr="00A81D25">
        <w:tc>
          <w:tcPr>
            <w:tcW w:w="10064" w:type="dxa"/>
            <w:tcBorders>
              <w:top w:val="nil"/>
              <w:left w:val="nil"/>
              <w:bottom w:val="nil"/>
              <w:right w:val="nil"/>
            </w:tcBorders>
            <w:shd w:val="clear" w:color="auto" w:fill="auto"/>
          </w:tcPr>
          <w:p w:rsidR="00A81D25" w:rsidRPr="00E629A7" w:rsidRDefault="00A81D25" w:rsidP="00A81D25">
            <w:pPr>
              <w:tabs>
                <w:tab w:val="left" w:pos="356"/>
                <w:tab w:val="left" w:pos="2268"/>
              </w:tabs>
              <w:ind w:firstLine="302"/>
              <w:jc w:val="both"/>
              <w:rPr>
                <w:sz w:val="22"/>
              </w:rPr>
            </w:pPr>
            <w:r>
              <w:rPr>
                <w:sz w:val="22"/>
              </w:rPr>
              <w:t>Wara li kkunsidrat l-opinjonijiet tal-Kunsill Superjuri tas-Saħħa, mogħtija fit-2 ta</w:t>
            </w:r>
            <w:r>
              <w:rPr>
                <w:sz w:val="22"/>
                <w:cs/>
              </w:rPr>
              <w:t>’</w:t>
            </w:r>
            <w:r>
              <w:rPr>
                <w:sz w:val="22"/>
              </w:rPr>
              <w:t> Diċembru 2009, fil-11 ta</w:t>
            </w:r>
            <w:r>
              <w:rPr>
                <w:sz w:val="22"/>
                <w:cs/>
              </w:rPr>
              <w:t>’</w:t>
            </w:r>
            <w:r>
              <w:rPr>
                <w:sz w:val="22"/>
              </w:rPr>
              <w:t> Jannar 2012 u fit-3 ta</w:t>
            </w:r>
            <w:r>
              <w:rPr>
                <w:sz w:val="22"/>
                <w:cs/>
              </w:rPr>
              <w:t>’</w:t>
            </w:r>
            <w:r>
              <w:rPr>
                <w:sz w:val="22"/>
              </w:rPr>
              <w:t> Frar 2016;</w:t>
            </w:r>
          </w:p>
        </w:tc>
      </w:tr>
      <w:tr w:rsidR="00A81D25" w:rsidRPr="00E629A7" w:rsidTr="00A81D25">
        <w:tc>
          <w:tcPr>
            <w:tcW w:w="10064" w:type="dxa"/>
            <w:tcBorders>
              <w:top w:val="nil"/>
              <w:left w:val="nil"/>
              <w:bottom w:val="nil"/>
              <w:right w:val="nil"/>
            </w:tcBorders>
            <w:shd w:val="clear" w:color="auto" w:fill="auto"/>
          </w:tcPr>
          <w:p w:rsidR="00A81D25" w:rsidRPr="00E629A7" w:rsidRDefault="00A81D25" w:rsidP="00A81D25">
            <w:pPr>
              <w:tabs>
                <w:tab w:val="left" w:pos="356"/>
                <w:tab w:val="left" w:pos="2268"/>
              </w:tabs>
              <w:ind w:firstLine="302"/>
              <w:jc w:val="both"/>
              <w:rPr>
                <w:sz w:val="22"/>
              </w:rPr>
            </w:pPr>
          </w:p>
        </w:tc>
      </w:tr>
      <w:tr w:rsidR="00A81D25" w:rsidRPr="00E629A7" w:rsidTr="00A81D25">
        <w:tc>
          <w:tcPr>
            <w:tcW w:w="10064" w:type="dxa"/>
            <w:tcBorders>
              <w:top w:val="nil"/>
              <w:left w:val="nil"/>
              <w:bottom w:val="nil"/>
              <w:right w:val="nil"/>
            </w:tcBorders>
            <w:shd w:val="clear" w:color="auto" w:fill="auto"/>
          </w:tcPr>
          <w:p w:rsidR="00A81D25" w:rsidRPr="00E629A7" w:rsidRDefault="00A81D25" w:rsidP="00A81D25">
            <w:pPr>
              <w:tabs>
                <w:tab w:val="left" w:pos="356"/>
                <w:tab w:val="left" w:pos="2268"/>
              </w:tabs>
              <w:ind w:firstLine="302"/>
              <w:jc w:val="both"/>
              <w:rPr>
                <w:sz w:val="22"/>
              </w:rPr>
            </w:pPr>
            <w:r>
              <w:rPr>
                <w:sz w:val="22"/>
              </w:rPr>
              <w:t>Wara li kkunsidrat l-opinjoni tal-Kunsill Konsultattiv dwar il-politika tal-ikel u tal-użu ta</w:t>
            </w:r>
            <w:r>
              <w:rPr>
                <w:sz w:val="22"/>
                <w:cs/>
              </w:rPr>
              <w:t xml:space="preserve">’ </w:t>
            </w:r>
            <w:r>
              <w:rPr>
                <w:sz w:val="22"/>
              </w:rPr>
              <w:t>prodotti oħra għall-konsum, mogħtija fit-18 ta</w:t>
            </w:r>
            <w:r>
              <w:rPr>
                <w:sz w:val="22"/>
                <w:cs/>
              </w:rPr>
              <w:t>’</w:t>
            </w:r>
            <w:r>
              <w:rPr>
                <w:sz w:val="22"/>
              </w:rPr>
              <w:t> April 2017;</w:t>
            </w:r>
          </w:p>
        </w:tc>
      </w:tr>
      <w:tr w:rsidR="00A81D25" w:rsidRPr="00E629A7" w:rsidTr="00A81D25">
        <w:tc>
          <w:tcPr>
            <w:tcW w:w="10064" w:type="dxa"/>
            <w:tcBorders>
              <w:top w:val="nil"/>
              <w:left w:val="nil"/>
              <w:bottom w:val="nil"/>
              <w:right w:val="nil"/>
            </w:tcBorders>
            <w:shd w:val="clear" w:color="auto" w:fill="auto"/>
          </w:tcPr>
          <w:p w:rsidR="00A81D25" w:rsidRPr="00E629A7" w:rsidRDefault="00A81D25" w:rsidP="00A81D25">
            <w:pPr>
              <w:tabs>
                <w:tab w:val="left" w:pos="356"/>
                <w:tab w:val="left" w:pos="2268"/>
              </w:tabs>
              <w:ind w:firstLine="302"/>
              <w:jc w:val="both"/>
              <w:rPr>
                <w:sz w:val="22"/>
                <w:highlight w:val="yellow"/>
              </w:rPr>
            </w:pPr>
          </w:p>
        </w:tc>
      </w:tr>
      <w:tr w:rsidR="00A81D25" w:rsidRPr="00E629A7" w:rsidTr="00A81D25">
        <w:tc>
          <w:tcPr>
            <w:tcW w:w="10064" w:type="dxa"/>
            <w:tcBorders>
              <w:top w:val="nil"/>
              <w:left w:val="nil"/>
              <w:bottom w:val="nil"/>
              <w:right w:val="nil"/>
            </w:tcBorders>
            <w:shd w:val="clear" w:color="auto" w:fill="auto"/>
          </w:tcPr>
          <w:p w:rsidR="00A81D25" w:rsidRPr="00E629A7" w:rsidRDefault="00A81D25" w:rsidP="00A81D25">
            <w:pPr>
              <w:tabs>
                <w:tab w:val="left" w:pos="356"/>
                <w:tab w:val="left" w:pos="2268"/>
              </w:tabs>
              <w:ind w:firstLine="302"/>
              <w:jc w:val="both"/>
              <w:rPr>
                <w:sz w:val="22"/>
                <w:highlight w:val="yellow"/>
              </w:rPr>
            </w:pPr>
            <w:r>
              <w:rPr>
                <w:sz w:val="22"/>
              </w:rPr>
              <w:t>Wara li kkunsidrat l-opinjoni tal-Ispettur tal-Finanzi, mogħtija fit-22 ta</w:t>
            </w:r>
            <w:r>
              <w:rPr>
                <w:sz w:val="22"/>
                <w:cs/>
              </w:rPr>
              <w:t>’</w:t>
            </w:r>
            <w:r>
              <w:rPr>
                <w:sz w:val="22"/>
              </w:rPr>
              <w:t> Marzu 2017;</w:t>
            </w:r>
          </w:p>
        </w:tc>
      </w:tr>
      <w:tr w:rsidR="00A81D25" w:rsidRPr="00E629A7" w:rsidTr="00A81D25">
        <w:tc>
          <w:tcPr>
            <w:tcW w:w="10064" w:type="dxa"/>
            <w:tcBorders>
              <w:top w:val="nil"/>
              <w:left w:val="nil"/>
              <w:bottom w:val="nil"/>
              <w:right w:val="nil"/>
            </w:tcBorders>
          </w:tcPr>
          <w:p w:rsidR="00A81D25" w:rsidRPr="00E629A7" w:rsidRDefault="00A81D25" w:rsidP="00A81D25">
            <w:pPr>
              <w:tabs>
                <w:tab w:val="left" w:pos="356"/>
                <w:tab w:val="left" w:pos="567"/>
                <w:tab w:val="left" w:pos="2268"/>
              </w:tabs>
              <w:ind w:firstLine="302"/>
              <w:jc w:val="both"/>
              <w:rPr>
                <w:sz w:val="22"/>
              </w:rPr>
            </w:pPr>
          </w:p>
        </w:tc>
      </w:tr>
      <w:tr w:rsidR="00A81D25" w:rsidRPr="00E629A7" w:rsidTr="00A81D25">
        <w:tc>
          <w:tcPr>
            <w:tcW w:w="10064" w:type="dxa"/>
            <w:tcBorders>
              <w:top w:val="nil"/>
              <w:left w:val="nil"/>
              <w:bottom w:val="nil"/>
              <w:right w:val="nil"/>
            </w:tcBorders>
          </w:tcPr>
          <w:p w:rsidR="00A81D25" w:rsidRPr="00E629A7" w:rsidRDefault="00A81D25" w:rsidP="00A3681D">
            <w:pPr>
              <w:tabs>
                <w:tab w:val="left" w:pos="356"/>
                <w:tab w:val="left" w:pos="567"/>
                <w:tab w:val="left" w:pos="2268"/>
              </w:tabs>
              <w:ind w:firstLine="302"/>
              <w:jc w:val="both"/>
              <w:rPr>
                <w:sz w:val="22"/>
              </w:rPr>
            </w:pPr>
            <w:r>
              <w:rPr>
                <w:sz w:val="22"/>
              </w:rPr>
              <w:t>Wara li kkunsidrat il-komunikazzjoni lill-Kummissjoni Ewropea fl-</w:t>
            </w:r>
            <w:r w:rsidR="00A3681D">
              <w:rPr>
                <w:sz w:val="22"/>
              </w:rPr>
              <w:t>10 ta’ Mejju 2017</w:t>
            </w:r>
            <w:r>
              <w:rPr>
                <w:sz w:val="22"/>
              </w:rPr>
              <w:t>, skont l-Artikolu 5(1) tad-Direttiva</w:t>
            </w:r>
            <w:r w:rsidR="007E26F3">
              <w:rPr>
                <w:sz w:val="22"/>
                <w:lang w:val="mt-MT"/>
              </w:rPr>
              <w:t xml:space="preserve"> </w:t>
            </w:r>
            <w:r w:rsidR="00A3681D">
              <w:rPr>
                <w:sz w:val="22"/>
              </w:rPr>
              <w:t>(UE)</w:t>
            </w:r>
            <w:r w:rsidR="00637264">
              <w:rPr>
                <w:sz w:val="22"/>
                <w:lang w:val="mt-MT"/>
              </w:rPr>
              <w:t> </w:t>
            </w:r>
            <w:r>
              <w:rPr>
                <w:sz w:val="22"/>
              </w:rPr>
              <w:t>2015/1535 tal-Parlament Ewropew u tal-Kunsill ta</w:t>
            </w:r>
            <w:r w:rsidR="00A3681D">
              <w:rPr>
                <w:sz w:val="22"/>
              </w:rPr>
              <w:t>d-9 ta’ Settembru 2015</w:t>
            </w:r>
            <w:r>
              <w:rPr>
                <w:sz w:val="22"/>
              </w:rPr>
              <w:t xml:space="preserve"> li tistabbilixxi proċedura għall-għoti ta</w:t>
            </w:r>
            <w:r>
              <w:rPr>
                <w:sz w:val="22"/>
                <w:cs/>
              </w:rPr>
              <w:t xml:space="preserve">’ </w:t>
            </w:r>
            <w:r>
              <w:rPr>
                <w:sz w:val="22"/>
              </w:rPr>
              <w:t>informazzjoni fil-qasam tal-istandards u regolamenti tekniċi u tar-regoli dwar is-servizzi tas-Soċjetà tal-Informatika;</w:t>
            </w:r>
          </w:p>
        </w:tc>
      </w:tr>
      <w:tr w:rsidR="00A81D25" w:rsidRPr="00E629A7" w:rsidTr="00A81D25">
        <w:tc>
          <w:tcPr>
            <w:tcW w:w="10064" w:type="dxa"/>
            <w:tcBorders>
              <w:top w:val="nil"/>
              <w:left w:val="nil"/>
              <w:bottom w:val="nil"/>
              <w:right w:val="nil"/>
            </w:tcBorders>
          </w:tcPr>
          <w:p w:rsidR="00A81D25" w:rsidRPr="00E629A7" w:rsidRDefault="00A81D25" w:rsidP="00A81D25">
            <w:pPr>
              <w:tabs>
                <w:tab w:val="left" w:pos="356"/>
                <w:tab w:val="left" w:pos="2268"/>
              </w:tabs>
              <w:ind w:firstLine="302"/>
              <w:jc w:val="both"/>
              <w:rPr>
                <w:sz w:val="22"/>
              </w:rPr>
            </w:pPr>
          </w:p>
        </w:tc>
      </w:tr>
      <w:tr w:rsidR="00A81D25" w:rsidRPr="00E629A7" w:rsidTr="00A81D25">
        <w:tc>
          <w:tcPr>
            <w:tcW w:w="10064" w:type="dxa"/>
            <w:tcBorders>
              <w:top w:val="nil"/>
              <w:left w:val="nil"/>
              <w:bottom w:val="nil"/>
              <w:right w:val="nil"/>
            </w:tcBorders>
          </w:tcPr>
          <w:p w:rsidR="00A3681D" w:rsidRPr="00A3681D" w:rsidRDefault="00A3681D" w:rsidP="00A3681D">
            <w:pPr>
              <w:tabs>
                <w:tab w:val="left" w:pos="356"/>
                <w:tab w:val="left" w:pos="2268"/>
              </w:tabs>
              <w:ind w:firstLine="302"/>
              <w:jc w:val="both"/>
              <w:rPr>
                <w:sz w:val="22"/>
              </w:rPr>
            </w:pPr>
            <w:r w:rsidRPr="00A3681D">
              <w:rPr>
                <w:sz w:val="22"/>
              </w:rPr>
              <w:t>Wara li kkunsidra</w:t>
            </w:r>
            <w:r>
              <w:rPr>
                <w:sz w:val="22"/>
              </w:rPr>
              <w:t>t it-talba għal</w:t>
            </w:r>
            <w:r w:rsidR="008D4FFA">
              <w:rPr>
                <w:sz w:val="22"/>
                <w:lang w:val="mt-MT"/>
              </w:rPr>
              <w:t xml:space="preserve"> </w:t>
            </w:r>
            <w:r>
              <w:rPr>
                <w:sz w:val="22"/>
              </w:rPr>
              <w:t>opinjoni</w:t>
            </w:r>
            <w:r w:rsidR="008D4FFA">
              <w:rPr>
                <w:sz w:val="22"/>
                <w:lang w:val="mt-MT"/>
              </w:rPr>
              <w:t> </w:t>
            </w:r>
            <w:r>
              <w:rPr>
                <w:sz w:val="22"/>
              </w:rPr>
              <w:t>63.826</w:t>
            </w:r>
            <w:r w:rsidRPr="00A3681D">
              <w:rPr>
                <w:sz w:val="22"/>
              </w:rPr>
              <w:t xml:space="preserve">/3 </w:t>
            </w:r>
            <w:r w:rsidR="008D4FFA">
              <w:rPr>
                <w:sz w:val="22"/>
                <w:lang w:val="mt-MT"/>
              </w:rPr>
              <w:t xml:space="preserve">fi żmien </w:t>
            </w:r>
            <w:r w:rsidRPr="00A3681D">
              <w:rPr>
                <w:sz w:val="22"/>
              </w:rPr>
              <w:t>tletin</w:t>
            </w:r>
            <w:r w:rsidR="007E26F3">
              <w:rPr>
                <w:sz w:val="22"/>
                <w:lang w:val="mt-MT"/>
              </w:rPr>
              <w:t> </w:t>
            </w:r>
            <w:r w:rsidRPr="00A3681D">
              <w:rPr>
                <w:sz w:val="22"/>
              </w:rPr>
              <w:t>jum estiż bid-dritt ta</w:t>
            </w:r>
            <w:r>
              <w:rPr>
                <w:sz w:val="22"/>
              </w:rPr>
              <w:t>’</w:t>
            </w:r>
            <w:r w:rsidRPr="00A3681D">
              <w:rPr>
                <w:sz w:val="22"/>
              </w:rPr>
              <w:t xml:space="preserve"> ħmistax-il</w:t>
            </w:r>
            <w:r w:rsidR="007E26F3">
              <w:rPr>
                <w:sz w:val="22"/>
                <w:lang w:val="mt-MT"/>
              </w:rPr>
              <w:t> </w:t>
            </w:r>
            <w:r w:rsidRPr="00A3681D">
              <w:rPr>
                <w:sz w:val="22"/>
              </w:rPr>
              <w:t>jum, skon</w:t>
            </w:r>
            <w:r>
              <w:rPr>
                <w:sz w:val="22"/>
              </w:rPr>
              <w:t>t l-Artikolu </w:t>
            </w:r>
            <w:r w:rsidRPr="00A3681D">
              <w:rPr>
                <w:sz w:val="22"/>
              </w:rPr>
              <w:t>84,</w:t>
            </w:r>
            <w:r w:rsidR="008D4FFA">
              <w:rPr>
                <w:sz w:val="22"/>
                <w:lang w:val="mt-MT"/>
              </w:rPr>
              <w:t> </w:t>
            </w:r>
            <w:r w:rsidRPr="00A3681D">
              <w:rPr>
                <w:sz w:val="22"/>
              </w:rPr>
              <w:t>§</w:t>
            </w:r>
            <w:r>
              <w:rPr>
                <w:sz w:val="22"/>
              </w:rPr>
              <w:t> </w:t>
            </w:r>
            <w:r w:rsidRPr="00A3681D">
              <w:rPr>
                <w:sz w:val="22"/>
              </w:rPr>
              <w:t>1</w:t>
            </w:r>
            <w:r w:rsidR="009E7990">
              <w:rPr>
                <w:sz w:val="22"/>
                <w:lang w:val="mt-MT"/>
              </w:rPr>
              <w:t> </w:t>
            </w:r>
            <w:r w:rsidR="008D4FFA">
              <w:rPr>
                <w:sz w:val="22"/>
                <w:lang w:val="mt-MT"/>
              </w:rPr>
              <w:t>(</w:t>
            </w:r>
            <w:r w:rsidRPr="00A3681D">
              <w:rPr>
                <w:sz w:val="22"/>
              </w:rPr>
              <w:t>1</w:t>
            </w:r>
            <w:r w:rsidR="008D4FFA">
              <w:rPr>
                <w:sz w:val="22"/>
                <w:lang w:val="mt-MT"/>
              </w:rPr>
              <w:t>) </w:t>
            </w:r>
            <w:r w:rsidRPr="00A3681D">
              <w:rPr>
                <w:sz w:val="22"/>
              </w:rPr>
              <w:t xml:space="preserve">2°, </w:t>
            </w:r>
            <w:r>
              <w:rPr>
                <w:sz w:val="22"/>
              </w:rPr>
              <w:t>tal-</w:t>
            </w:r>
            <w:r w:rsidRPr="00A3681D">
              <w:rPr>
                <w:sz w:val="22"/>
              </w:rPr>
              <w:t xml:space="preserve">liġijiet dwar il-Kunsill tal-Istat, </w:t>
            </w:r>
            <w:r>
              <w:rPr>
                <w:sz w:val="22"/>
              </w:rPr>
              <w:t>ikkoordinati</w:t>
            </w:r>
            <w:r w:rsidRPr="00A3681D">
              <w:rPr>
                <w:sz w:val="22"/>
              </w:rPr>
              <w:t xml:space="preserve"> fit-12</w:t>
            </w:r>
            <w:r>
              <w:rPr>
                <w:sz w:val="22"/>
              </w:rPr>
              <w:t> </w:t>
            </w:r>
            <w:r w:rsidRPr="00A3681D">
              <w:rPr>
                <w:sz w:val="22"/>
              </w:rPr>
              <w:t>ta</w:t>
            </w:r>
            <w:r>
              <w:rPr>
                <w:sz w:val="22"/>
              </w:rPr>
              <w:t>’ </w:t>
            </w:r>
            <w:r w:rsidRPr="00A3681D">
              <w:rPr>
                <w:sz w:val="22"/>
              </w:rPr>
              <w:t>Jannar</w:t>
            </w:r>
            <w:r>
              <w:rPr>
                <w:sz w:val="22"/>
              </w:rPr>
              <w:t> </w:t>
            </w:r>
            <w:r w:rsidRPr="00A3681D">
              <w:rPr>
                <w:sz w:val="22"/>
              </w:rPr>
              <w:t>1973, indirizzat</w:t>
            </w:r>
            <w:r>
              <w:rPr>
                <w:sz w:val="22"/>
              </w:rPr>
              <w:t>a</w:t>
            </w:r>
            <w:r w:rsidRPr="00A3681D">
              <w:rPr>
                <w:sz w:val="22"/>
              </w:rPr>
              <w:t xml:space="preserve"> lill-Kunsill tal-Istat fis-27</w:t>
            </w:r>
            <w:r w:rsidR="008D4FFA">
              <w:rPr>
                <w:sz w:val="22"/>
                <w:lang w:val="mt-MT"/>
              </w:rPr>
              <w:t> </w:t>
            </w:r>
            <w:r w:rsidRPr="00A3681D">
              <w:rPr>
                <w:sz w:val="22"/>
              </w:rPr>
              <w:t>ta</w:t>
            </w:r>
            <w:r>
              <w:rPr>
                <w:sz w:val="22"/>
              </w:rPr>
              <w:t>’</w:t>
            </w:r>
            <w:r w:rsidR="008D4FFA">
              <w:rPr>
                <w:sz w:val="22"/>
                <w:lang w:val="mt-MT"/>
              </w:rPr>
              <w:t> </w:t>
            </w:r>
            <w:r w:rsidRPr="00A3681D">
              <w:rPr>
                <w:sz w:val="22"/>
              </w:rPr>
              <w:t>Ġunju</w:t>
            </w:r>
            <w:r w:rsidR="008D4FFA">
              <w:rPr>
                <w:sz w:val="22"/>
                <w:lang w:val="mt-MT"/>
              </w:rPr>
              <w:t> </w:t>
            </w:r>
            <w:r w:rsidRPr="00A3681D">
              <w:rPr>
                <w:sz w:val="22"/>
              </w:rPr>
              <w:t xml:space="preserve">2018 u </w:t>
            </w:r>
            <w:r w:rsidR="009E7990">
              <w:rPr>
                <w:sz w:val="22"/>
                <w:lang w:val="mt-MT"/>
              </w:rPr>
              <w:t>rreġistrata</w:t>
            </w:r>
            <w:r w:rsidRPr="00A3681D">
              <w:rPr>
                <w:sz w:val="22"/>
              </w:rPr>
              <w:t xml:space="preserve"> fit-2</w:t>
            </w:r>
            <w:r w:rsidR="009E7990">
              <w:rPr>
                <w:sz w:val="22"/>
                <w:lang w:val="mt-MT"/>
              </w:rPr>
              <w:t> </w:t>
            </w:r>
            <w:r w:rsidRPr="00A3681D">
              <w:rPr>
                <w:sz w:val="22"/>
              </w:rPr>
              <w:t>ta’</w:t>
            </w:r>
            <w:r w:rsidR="009E7990">
              <w:rPr>
                <w:sz w:val="22"/>
                <w:lang w:val="mt-MT"/>
              </w:rPr>
              <w:t> </w:t>
            </w:r>
            <w:r w:rsidRPr="00A3681D">
              <w:rPr>
                <w:sz w:val="22"/>
              </w:rPr>
              <w:t>Lulju</w:t>
            </w:r>
            <w:r w:rsidR="009E7990">
              <w:rPr>
                <w:sz w:val="22"/>
                <w:lang w:val="mt-MT"/>
              </w:rPr>
              <w:t> </w:t>
            </w:r>
            <w:r w:rsidRPr="00A3681D">
              <w:rPr>
                <w:sz w:val="22"/>
              </w:rPr>
              <w:t>2018;</w:t>
            </w:r>
          </w:p>
          <w:p w:rsidR="00A3681D" w:rsidRPr="00A3681D" w:rsidRDefault="00A3681D" w:rsidP="00A3681D">
            <w:pPr>
              <w:tabs>
                <w:tab w:val="left" w:pos="356"/>
                <w:tab w:val="left" w:pos="2268"/>
              </w:tabs>
              <w:ind w:firstLine="302"/>
              <w:jc w:val="both"/>
              <w:rPr>
                <w:sz w:val="22"/>
              </w:rPr>
            </w:pPr>
          </w:p>
          <w:p w:rsidR="00A3681D" w:rsidRPr="00A3681D" w:rsidRDefault="00A3681D" w:rsidP="00A3681D">
            <w:pPr>
              <w:tabs>
                <w:tab w:val="left" w:pos="356"/>
                <w:tab w:val="left" w:pos="2268"/>
              </w:tabs>
              <w:ind w:firstLine="302"/>
              <w:jc w:val="both"/>
              <w:rPr>
                <w:sz w:val="22"/>
              </w:rPr>
            </w:pPr>
            <w:r w:rsidRPr="00A3681D">
              <w:rPr>
                <w:sz w:val="22"/>
              </w:rPr>
              <w:t>Wara li kkunsidra</w:t>
            </w:r>
            <w:r>
              <w:rPr>
                <w:sz w:val="22"/>
              </w:rPr>
              <w:t>t</w:t>
            </w:r>
            <w:r w:rsidRPr="00A3681D">
              <w:rPr>
                <w:sz w:val="22"/>
              </w:rPr>
              <w:t xml:space="preserve"> in-nuqqas ta</w:t>
            </w:r>
            <w:r>
              <w:rPr>
                <w:sz w:val="22"/>
              </w:rPr>
              <w:t>’ komunikazzjoni tal-opinjoni f’</w:t>
            </w:r>
            <w:r w:rsidRPr="00A3681D">
              <w:rPr>
                <w:sz w:val="22"/>
              </w:rPr>
              <w:t>dan il-perjodu;</w:t>
            </w:r>
          </w:p>
          <w:p w:rsidR="00A3681D" w:rsidRPr="00A3681D" w:rsidRDefault="00A3681D" w:rsidP="00A3681D">
            <w:pPr>
              <w:tabs>
                <w:tab w:val="left" w:pos="356"/>
                <w:tab w:val="left" w:pos="2268"/>
              </w:tabs>
              <w:ind w:firstLine="302"/>
              <w:jc w:val="both"/>
              <w:rPr>
                <w:sz w:val="22"/>
              </w:rPr>
            </w:pPr>
          </w:p>
          <w:p w:rsidR="003E0936" w:rsidRDefault="00A3681D" w:rsidP="003E0936">
            <w:pPr>
              <w:tabs>
                <w:tab w:val="left" w:pos="356"/>
                <w:tab w:val="left" w:pos="2268"/>
              </w:tabs>
              <w:ind w:firstLine="302"/>
              <w:jc w:val="both"/>
              <w:rPr>
                <w:sz w:val="22"/>
              </w:rPr>
            </w:pPr>
            <w:r w:rsidRPr="00A3681D">
              <w:rPr>
                <w:sz w:val="22"/>
              </w:rPr>
              <w:t>Wara li kkunsidra</w:t>
            </w:r>
            <w:r w:rsidR="003E0936">
              <w:rPr>
                <w:sz w:val="22"/>
              </w:rPr>
              <w:t>t l-Artikolu </w:t>
            </w:r>
            <w:r w:rsidRPr="00A3681D">
              <w:rPr>
                <w:sz w:val="22"/>
              </w:rPr>
              <w:t>84,</w:t>
            </w:r>
            <w:r w:rsidR="009E7990">
              <w:rPr>
                <w:sz w:val="22"/>
                <w:lang w:val="mt-MT"/>
              </w:rPr>
              <w:t> </w:t>
            </w:r>
            <w:r w:rsidRPr="00A3681D">
              <w:rPr>
                <w:sz w:val="22"/>
              </w:rPr>
              <w:t>§4</w:t>
            </w:r>
            <w:r w:rsidR="009E7990">
              <w:rPr>
                <w:sz w:val="22"/>
                <w:lang w:val="mt-MT"/>
              </w:rPr>
              <w:t> (</w:t>
            </w:r>
            <w:r w:rsidRPr="00A3681D">
              <w:rPr>
                <w:sz w:val="22"/>
              </w:rPr>
              <w:t>2</w:t>
            </w:r>
            <w:r w:rsidR="009E7990">
              <w:rPr>
                <w:sz w:val="22"/>
                <w:lang w:val="mt-MT"/>
              </w:rPr>
              <w:t>)</w:t>
            </w:r>
            <w:r w:rsidRPr="00A3681D">
              <w:rPr>
                <w:sz w:val="22"/>
              </w:rPr>
              <w:t>, tal-liġijiet dwar il-Kunsill tal-Istat, ikkoordinat</w:t>
            </w:r>
            <w:r w:rsidR="003E0936">
              <w:rPr>
                <w:sz w:val="22"/>
              </w:rPr>
              <w:t>i fit-12 </w:t>
            </w:r>
            <w:r w:rsidRPr="00A3681D">
              <w:rPr>
                <w:sz w:val="22"/>
              </w:rPr>
              <w:t>ta</w:t>
            </w:r>
            <w:r w:rsidR="003E0936">
              <w:rPr>
                <w:sz w:val="22"/>
              </w:rPr>
              <w:t>’ </w:t>
            </w:r>
            <w:r w:rsidRPr="00A3681D">
              <w:rPr>
                <w:sz w:val="22"/>
              </w:rPr>
              <w:t>Jannar</w:t>
            </w:r>
            <w:r w:rsidR="003E0936">
              <w:rPr>
                <w:sz w:val="22"/>
              </w:rPr>
              <w:t> </w:t>
            </w:r>
            <w:r w:rsidRPr="00A3681D">
              <w:rPr>
                <w:sz w:val="22"/>
              </w:rPr>
              <w:t>1973;</w:t>
            </w:r>
          </w:p>
          <w:p w:rsidR="003E0936" w:rsidRDefault="003E0936" w:rsidP="003E0936">
            <w:pPr>
              <w:tabs>
                <w:tab w:val="left" w:pos="356"/>
                <w:tab w:val="left" w:pos="2268"/>
              </w:tabs>
              <w:ind w:firstLine="302"/>
              <w:jc w:val="both"/>
              <w:rPr>
                <w:sz w:val="22"/>
              </w:rPr>
            </w:pPr>
          </w:p>
          <w:p w:rsidR="00A81D25" w:rsidRPr="00E629A7" w:rsidRDefault="00A81D25" w:rsidP="003E0936">
            <w:pPr>
              <w:tabs>
                <w:tab w:val="left" w:pos="356"/>
                <w:tab w:val="left" w:pos="2268"/>
              </w:tabs>
              <w:ind w:firstLine="302"/>
              <w:jc w:val="both"/>
              <w:rPr>
                <w:sz w:val="22"/>
              </w:rPr>
            </w:pPr>
            <w:r>
              <w:rPr>
                <w:sz w:val="22"/>
              </w:rPr>
              <w:t>Wara li kkunsidrat il-Linja Gwida tal-Ministru bbażata fuq l-opinjoni tal-Kummissjoni Konġunta dwar il-prodotti li fihom il-ħmira tar-ross aħmar, magħmula fis-7 ta</w:t>
            </w:r>
            <w:r>
              <w:rPr>
                <w:sz w:val="22"/>
                <w:cs/>
              </w:rPr>
              <w:t>’</w:t>
            </w:r>
            <w:r>
              <w:rPr>
                <w:sz w:val="22"/>
              </w:rPr>
              <w:t> Diċembru 2016</w:t>
            </w:r>
            <w:r w:rsidR="003E0936">
              <w:rPr>
                <w:sz w:val="22"/>
              </w:rPr>
              <w:t> </w:t>
            </w:r>
            <w:r>
              <w:rPr>
                <w:sz w:val="22"/>
              </w:rPr>
              <w:t>;</w:t>
            </w:r>
          </w:p>
        </w:tc>
      </w:tr>
      <w:tr w:rsidR="00A81D25" w:rsidRPr="00E629A7" w:rsidTr="00A81D25">
        <w:tc>
          <w:tcPr>
            <w:tcW w:w="10064" w:type="dxa"/>
            <w:tcBorders>
              <w:top w:val="nil"/>
              <w:left w:val="nil"/>
              <w:bottom w:val="nil"/>
              <w:right w:val="nil"/>
            </w:tcBorders>
          </w:tcPr>
          <w:p w:rsidR="00A81D25" w:rsidRPr="00E629A7" w:rsidRDefault="00A81D25" w:rsidP="00A81D25">
            <w:pPr>
              <w:tabs>
                <w:tab w:val="left" w:pos="356"/>
                <w:tab w:val="left" w:pos="2268"/>
              </w:tabs>
              <w:jc w:val="both"/>
              <w:rPr>
                <w:sz w:val="22"/>
              </w:rPr>
            </w:pPr>
          </w:p>
        </w:tc>
      </w:tr>
      <w:tr w:rsidR="00A81D25" w:rsidRPr="00E629A7" w:rsidTr="00A81D25">
        <w:tc>
          <w:tcPr>
            <w:tcW w:w="10064" w:type="dxa"/>
            <w:tcBorders>
              <w:top w:val="nil"/>
              <w:left w:val="nil"/>
              <w:bottom w:val="nil"/>
              <w:right w:val="nil"/>
            </w:tcBorders>
          </w:tcPr>
          <w:p w:rsidR="00A81D25" w:rsidRPr="00E629A7" w:rsidRDefault="00A81D25" w:rsidP="00A81D25">
            <w:pPr>
              <w:tabs>
                <w:tab w:val="left" w:pos="356"/>
                <w:tab w:val="left" w:pos="567"/>
                <w:tab w:val="left" w:pos="2268"/>
              </w:tabs>
              <w:jc w:val="both"/>
              <w:rPr>
                <w:sz w:val="22"/>
              </w:rPr>
            </w:pPr>
          </w:p>
        </w:tc>
      </w:tr>
      <w:tr w:rsidR="00A81D25" w:rsidRPr="00E629A7" w:rsidTr="00A81D25">
        <w:tc>
          <w:tcPr>
            <w:tcW w:w="10064" w:type="dxa"/>
            <w:tcBorders>
              <w:top w:val="nil"/>
              <w:left w:val="nil"/>
              <w:bottom w:val="nil"/>
              <w:right w:val="nil"/>
            </w:tcBorders>
          </w:tcPr>
          <w:p w:rsidR="00A81D25" w:rsidRPr="00E629A7" w:rsidRDefault="00A81D25" w:rsidP="00A81D25">
            <w:pPr>
              <w:keepNext/>
              <w:keepLines/>
              <w:tabs>
                <w:tab w:val="left" w:pos="306"/>
                <w:tab w:val="left" w:pos="5498"/>
              </w:tabs>
              <w:ind w:firstLine="308"/>
              <w:jc w:val="both"/>
              <w:rPr>
                <w:sz w:val="22"/>
              </w:rPr>
            </w:pPr>
            <w:r>
              <w:rPr>
                <w:sz w:val="22"/>
              </w:rPr>
              <w:t>TORDNA:</w:t>
            </w:r>
          </w:p>
        </w:tc>
      </w:tr>
      <w:tr w:rsidR="00A81D25" w:rsidRPr="00E629A7" w:rsidTr="00A81D25">
        <w:tc>
          <w:tcPr>
            <w:tcW w:w="10064" w:type="dxa"/>
            <w:tcBorders>
              <w:top w:val="nil"/>
              <w:left w:val="nil"/>
              <w:bottom w:val="nil"/>
              <w:right w:val="nil"/>
            </w:tcBorders>
          </w:tcPr>
          <w:p w:rsidR="00A81D25" w:rsidRPr="00E629A7" w:rsidRDefault="00A81D25" w:rsidP="00A81D25">
            <w:pPr>
              <w:tabs>
                <w:tab w:val="left" w:pos="567"/>
                <w:tab w:val="left" w:pos="2268"/>
              </w:tabs>
              <w:jc w:val="both"/>
              <w:rPr>
                <w:sz w:val="22"/>
                <w:u w:val="single"/>
              </w:rPr>
            </w:pPr>
          </w:p>
        </w:tc>
      </w:tr>
      <w:tr w:rsidR="00A81D25" w:rsidRPr="00E629A7" w:rsidTr="00A81D25">
        <w:tc>
          <w:tcPr>
            <w:tcW w:w="10064" w:type="dxa"/>
            <w:tcBorders>
              <w:top w:val="nil"/>
              <w:left w:val="nil"/>
              <w:bottom w:val="nil"/>
              <w:right w:val="nil"/>
            </w:tcBorders>
          </w:tcPr>
          <w:p w:rsidR="00A81D25" w:rsidRPr="00E629A7" w:rsidRDefault="00A81D25" w:rsidP="00A81D25">
            <w:pPr>
              <w:tabs>
                <w:tab w:val="left" w:pos="355"/>
                <w:tab w:val="left" w:pos="2268"/>
              </w:tabs>
              <w:ind w:firstLine="302"/>
              <w:jc w:val="both"/>
              <w:rPr>
                <w:bCs/>
                <w:sz w:val="22"/>
              </w:rPr>
            </w:pPr>
            <w:r>
              <w:rPr>
                <w:b/>
                <w:sz w:val="22"/>
              </w:rPr>
              <w:t>Artikolu 1.</w:t>
            </w:r>
            <w:r>
              <w:rPr>
                <w:sz w:val="22"/>
              </w:rPr>
              <w:t xml:space="preserve"> L-Artikolu 2 tad-Digriet Ministerjali tad-19 ta</w:t>
            </w:r>
            <w:r>
              <w:rPr>
                <w:sz w:val="22"/>
                <w:cs/>
              </w:rPr>
              <w:t>’</w:t>
            </w:r>
            <w:r>
              <w:rPr>
                <w:sz w:val="22"/>
              </w:rPr>
              <w:t> Frar 2009 dwar il-manifattura u l-kummerċjalizzazzjoni ta</w:t>
            </w:r>
            <w:r>
              <w:rPr>
                <w:sz w:val="22"/>
                <w:cs/>
              </w:rPr>
              <w:t xml:space="preserve">’ </w:t>
            </w:r>
            <w:r>
              <w:rPr>
                <w:sz w:val="22"/>
              </w:rPr>
              <w:t>supplimenti tal-ikel li għandhom sustanzi oħra għajr nutrijenti u pjanti jew preparazzjonijiet ta</w:t>
            </w:r>
            <w:r>
              <w:rPr>
                <w:sz w:val="22"/>
                <w:cs/>
              </w:rPr>
              <w:t xml:space="preserve">’ </w:t>
            </w:r>
            <w:r>
              <w:rPr>
                <w:sz w:val="22"/>
              </w:rPr>
              <w:t>pjanti huwa komplut b</w:t>
            </w:r>
            <w:r>
              <w:rPr>
                <w:sz w:val="22"/>
                <w:cs/>
              </w:rPr>
              <w:t>’</w:t>
            </w:r>
            <w:r>
              <w:rPr>
                <w:sz w:val="22"/>
              </w:rPr>
              <w:t>paragrafu kif ġej:</w:t>
            </w:r>
          </w:p>
          <w:p w:rsidR="00A81D25" w:rsidRPr="00E629A7" w:rsidRDefault="00A81D25" w:rsidP="00644717">
            <w:pPr>
              <w:tabs>
                <w:tab w:val="left" w:pos="567"/>
                <w:tab w:val="left" w:pos="2268"/>
              </w:tabs>
              <w:jc w:val="both"/>
              <w:rPr>
                <w:sz w:val="22"/>
                <w:u w:val="single"/>
              </w:rPr>
            </w:pPr>
            <w:r>
              <w:rPr>
                <w:sz w:val="22"/>
                <w:cs/>
              </w:rPr>
              <w:lastRenderedPageBreak/>
              <w:t>“</w:t>
            </w:r>
            <w:r>
              <w:rPr>
                <w:sz w:val="22"/>
              </w:rPr>
              <w:t xml:space="preserve">Il-prodotti, ħlief dawk li fihom </w:t>
            </w:r>
            <w:r w:rsidR="003E0936" w:rsidRPr="00637264">
              <w:rPr>
                <w:sz w:val="22"/>
              </w:rPr>
              <w:t>il</w:t>
            </w:r>
            <w:r w:rsidR="003E0936" w:rsidRPr="0057069D">
              <w:rPr>
                <w:i/>
                <w:sz w:val="22"/>
              </w:rPr>
              <w:t>-Monascus purpureus</w:t>
            </w:r>
            <w:r w:rsidR="003E0936">
              <w:rPr>
                <w:sz w:val="22"/>
              </w:rPr>
              <w:t xml:space="preserve"> (</w:t>
            </w:r>
            <w:r>
              <w:rPr>
                <w:sz w:val="22"/>
              </w:rPr>
              <w:t>il-ħmira tar-ross aħmar</w:t>
            </w:r>
            <w:r w:rsidR="003E0936">
              <w:rPr>
                <w:sz w:val="22"/>
              </w:rPr>
              <w:t>)</w:t>
            </w:r>
            <w:r w:rsidR="00644717">
              <w:rPr>
                <w:sz w:val="22"/>
                <w:lang w:val="mt-MT"/>
              </w:rPr>
              <w:t xml:space="preserve"> jew kwalunkwe sors ieħor ta’ monakolin</w:t>
            </w:r>
            <w:r w:rsidR="00637264">
              <w:rPr>
                <w:sz w:val="22"/>
                <w:lang w:val="mt-MT"/>
              </w:rPr>
              <w:t>a</w:t>
            </w:r>
            <w:r w:rsidR="00644717">
              <w:rPr>
                <w:sz w:val="22"/>
                <w:lang w:val="mt-MT"/>
              </w:rPr>
              <w:t xml:space="preserve"> K, </w:t>
            </w:r>
            <w:r>
              <w:rPr>
                <w:sz w:val="22"/>
              </w:rPr>
              <w:t>imqiegħda fis-suq jew ittikkettjati qabel [id-data tal-pubblikazzjoni + 10 ijiem] u li ma jikkonformawx mad-dispożizzjonijiet ta</w:t>
            </w:r>
            <w:r>
              <w:rPr>
                <w:sz w:val="22"/>
                <w:cs/>
              </w:rPr>
              <w:t xml:space="preserve">’ </w:t>
            </w:r>
            <w:r>
              <w:rPr>
                <w:sz w:val="22"/>
              </w:rPr>
              <w:t xml:space="preserve">dan tal-aħħar, jistgħu jiġu kkummerċjalizzati sakemm jispiċċaw il-ħażniet u l-aktar tard </w:t>
            </w:r>
            <w:r w:rsidR="00644717">
              <w:rPr>
                <w:sz w:val="22"/>
                <w:lang w:val="mt-MT"/>
              </w:rPr>
              <w:t>fis-26 ta’ Ottubru 2019</w:t>
            </w:r>
            <w:r>
              <w:rPr>
                <w:sz w:val="22"/>
                <w:cs/>
              </w:rPr>
              <w:t>”</w:t>
            </w:r>
            <w:r>
              <w:rPr>
                <w:sz w:val="22"/>
              </w:rPr>
              <w:t>.</w:t>
            </w:r>
          </w:p>
        </w:tc>
      </w:tr>
      <w:tr w:rsidR="00A81D25" w:rsidRPr="00E629A7" w:rsidTr="00A81D25">
        <w:tc>
          <w:tcPr>
            <w:tcW w:w="10064" w:type="dxa"/>
            <w:tcBorders>
              <w:top w:val="nil"/>
              <w:left w:val="nil"/>
              <w:bottom w:val="nil"/>
              <w:right w:val="nil"/>
            </w:tcBorders>
          </w:tcPr>
          <w:p w:rsidR="00A81D25" w:rsidRPr="00E629A7" w:rsidRDefault="00A81D25" w:rsidP="00A81D25">
            <w:pPr>
              <w:tabs>
                <w:tab w:val="left" w:pos="567"/>
                <w:tab w:val="left" w:pos="2268"/>
              </w:tabs>
              <w:jc w:val="both"/>
              <w:rPr>
                <w:sz w:val="22"/>
                <w:u w:val="single"/>
              </w:rPr>
            </w:pPr>
          </w:p>
        </w:tc>
      </w:tr>
      <w:tr w:rsidR="00A81D25" w:rsidRPr="00E629A7" w:rsidTr="00A81D25">
        <w:tc>
          <w:tcPr>
            <w:tcW w:w="10064" w:type="dxa"/>
            <w:tcBorders>
              <w:top w:val="nil"/>
              <w:left w:val="nil"/>
              <w:bottom w:val="nil"/>
              <w:right w:val="nil"/>
            </w:tcBorders>
          </w:tcPr>
          <w:p w:rsidR="00A81D25" w:rsidRPr="00E629A7" w:rsidRDefault="00A81D25" w:rsidP="00A81D25">
            <w:pPr>
              <w:tabs>
                <w:tab w:val="left" w:pos="355"/>
                <w:tab w:val="left" w:pos="2268"/>
              </w:tabs>
              <w:ind w:firstLine="302"/>
              <w:jc w:val="both"/>
              <w:rPr>
                <w:sz w:val="22"/>
                <w:u w:val="single"/>
              </w:rPr>
            </w:pPr>
            <w:r>
              <w:rPr>
                <w:b/>
                <w:sz w:val="22"/>
              </w:rPr>
              <w:t>Artikolu 2.</w:t>
            </w:r>
            <w:r>
              <w:t xml:space="preserve"> </w:t>
            </w:r>
            <w:r>
              <w:rPr>
                <w:sz w:val="22"/>
              </w:rPr>
              <w:t>Fl-anness tal-istess digriet, fil-lista ta</w:t>
            </w:r>
            <w:r>
              <w:rPr>
                <w:sz w:val="22"/>
                <w:cs/>
              </w:rPr>
              <w:t xml:space="preserve">’ </w:t>
            </w:r>
            <w:r>
              <w:rPr>
                <w:sz w:val="22"/>
              </w:rPr>
              <w:t>sustanzi oħra li għalihom l-użu fis-supplimenti tal-ikel huwa suġġett għal kundizzjonijiet, l-entrati li ġejjin huma miżjuda kif ġej:</w:t>
            </w:r>
          </w:p>
        </w:tc>
      </w:tr>
      <w:tr w:rsidR="00A81D25" w:rsidRPr="00E629A7" w:rsidTr="00A81D25">
        <w:tc>
          <w:tcPr>
            <w:tcW w:w="10064" w:type="dxa"/>
            <w:tcBorders>
              <w:top w:val="nil"/>
              <w:left w:val="nil"/>
              <w:bottom w:val="nil"/>
              <w:right w:val="nil"/>
            </w:tcBorders>
          </w:tcPr>
          <w:p w:rsidR="00A81D25" w:rsidRPr="00E629A7" w:rsidRDefault="00A81D25" w:rsidP="00A81D25">
            <w:pPr>
              <w:tabs>
                <w:tab w:val="left" w:pos="567"/>
                <w:tab w:val="left" w:pos="2268"/>
              </w:tabs>
              <w:jc w:val="both"/>
              <w:rPr>
                <w:sz w:val="22"/>
                <w:u w:val="single"/>
              </w:rPr>
            </w:pPr>
          </w:p>
        </w:tc>
      </w:tr>
    </w:tbl>
    <w:p w:rsidR="00A81D25" w:rsidRPr="00E629A7" w:rsidRDefault="00A81D25" w:rsidP="00A81D25"/>
    <w:p w:rsidR="00A81D25" w:rsidRPr="00E629A7" w:rsidRDefault="00A81D25" w:rsidP="00A81D25"/>
    <w:tbl>
      <w:tblPr>
        <w:tblW w:w="1137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3"/>
        <w:gridCol w:w="3119"/>
        <w:gridCol w:w="3118"/>
        <w:gridCol w:w="3119"/>
      </w:tblGrid>
      <w:tr w:rsidR="00A81D25" w:rsidRPr="00E629A7" w:rsidTr="0057069D">
        <w:tc>
          <w:tcPr>
            <w:tcW w:w="2023" w:type="dxa"/>
            <w:tcBorders>
              <w:bottom w:val="nil"/>
            </w:tcBorders>
          </w:tcPr>
          <w:p w:rsidR="00A81D25" w:rsidRPr="00E629A7" w:rsidRDefault="00A81D25" w:rsidP="00A81D25">
            <w:pPr>
              <w:rPr>
                <w:rFonts w:ascii="Times" w:hAnsi="Times"/>
                <w:sz w:val="22"/>
              </w:rPr>
            </w:pPr>
            <w:r>
              <w:rPr>
                <w:rFonts w:ascii="Times" w:hAnsi="Times"/>
                <w:sz w:val="22"/>
              </w:rPr>
              <w:t>Sustanza oħra:</w:t>
            </w:r>
          </w:p>
        </w:tc>
        <w:tc>
          <w:tcPr>
            <w:tcW w:w="9356" w:type="dxa"/>
            <w:gridSpan w:val="3"/>
          </w:tcPr>
          <w:p w:rsidR="00A81D25" w:rsidRPr="00E629A7" w:rsidRDefault="00A81D25" w:rsidP="00A81D25">
            <w:pPr>
              <w:rPr>
                <w:rFonts w:ascii="Times" w:hAnsi="Times"/>
                <w:sz w:val="22"/>
              </w:rPr>
            </w:pPr>
            <w:r>
              <w:rPr>
                <w:rFonts w:ascii="Times" w:hAnsi="Times"/>
                <w:sz w:val="22"/>
              </w:rPr>
              <w:t>Is-supplimenti tal-ikel li għandhom sustanzi oħra ma jistgħux jitqiegħdu fis-suq jekk dawn ma jissodisfawx il-kundizzjonijiet li ġejjin:</w:t>
            </w:r>
          </w:p>
        </w:tc>
      </w:tr>
      <w:tr w:rsidR="00A81D25" w:rsidRPr="00E629A7" w:rsidTr="0057069D">
        <w:tc>
          <w:tcPr>
            <w:tcW w:w="2023" w:type="dxa"/>
            <w:tcBorders>
              <w:top w:val="nil"/>
            </w:tcBorders>
          </w:tcPr>
          <w:p w:rsidR="00A81D25" w:rsidRPr="00E629A7" w:rsidRDefault="00A81D25" w:rsidP="00A81D25">
            <w:pPr>
              <w:rPr>
                <w:rFonts w:ascii="Times" w:hAnsi="Times"/>
                <w:sz w:val="22"/>
              </w:rPr>
            </w:pPr>
          </w:p>
        </w:tc>
        <w:tc>
          <w:tcPr>
            <w:tcW w:w="3119" w:type="dxa"/>
          </w:tcPr>
          <w:p w:rsidR="00A81D25" w:rsidRPr="00E629A7" w:rsidRDefault="00A81D25" w:rsidP="00A81D25">
            <w:pPr>
              <w:rPr>
                <w:rFonts w:ascii="Times" w:hAnsi="Times"/>
                <w:sz w:val="22"/>
              </w:rPr>
            </w:pPr>
            <w:r>
              <w:rPr>
                <w:rFonts w:ascii="Times" w:hAnsi="Times"/>
                <w:sz w:val="22"/>
              </w:rPr>
              <w:t>l-assorbiment tal-konsum rakkomandat ta</w:t>
            </w:r>
            <w:r>
              <w:rPr>
                <w:rFonts w:ascii="Times" w:hAnsi="Times" w:cs="Times"/>
                <w:sz w:val="22"/>
                <w:cs/>
              </w:rPr>
              <w:t xml:space="preserve">’ </w:t>
            </w:r>
            <w:r>
              <w:rPr>
                <w:rFonts w:ascii="Times" w:hAnsi="Times"/>
                <w:sz w:val="22"/>
              </w:rPr>
              <w:t>kuljum fl-ittikkettjar, il-preżentazzjoni jew ir-reklamar</w:t>
            </w:r>
            <w:r w:rsidR="00644717">
              <w:rPr>
                <w:rFonts w:ascii="Times" w:hAnsi="Times"/>
                <w:sz w:val="22"/>
                <w:lang w:val="mt-MT"/>
              </w:rPr>
              <w:t>,</w:t>
            </w:r>
            <w:r>
              <w:rPr>
                <w:rFonts w:ascii="Times" w:hAnsi="Times"/>
                <w:sz w:val="22"/>
              </w:rPr>
              <w:t xml:space="preserve"> għandu jirriżulta li l-ammont inġerit tas-sustanza oħra jkun konformi mal-livelli minimi jew massimi li ġejjin:</w:t>
            </w:r>
          </w:p>
        </w:tc>
        <w:tc>
          <w:tcPr>
            <w:tcW w:w="3118" w:type="dxa"/>
          </w:tcPr>
          <w:p w:rsidR="00A81D25" w:rsidRPr="00E629A7" w:rsidRDefault="00A81D25" w:rsidP="00A81D25">
            <w:pPr>
              <w:rPr>
                <w:rFonts w:ascii="Times" w:hAnsi="Times"/>
                <w:sz w:val="22"/>
              </w:rPr>
            </w:pPr>
            <w:r>
              <w:rPr>
                <w:rFonts w:ascii="Times" w:hAnsi="Times"/>
                <w:sz w:val="22"/>
              </w:rPr>
              <w:t>mingħajr preġudizzju għad-dispożizzjonijiet ġenerali u speċifiċi relatati mat-tikketjar, il-preżentazzjoni u ir-riklamar tal-oġġetti tal-ikel, l-ittikkettjar ta</w:t>
            </w:r>
            <w:r>
              <w:rPr>
                <w:rFonts w:ascii="Times" w:hAnsi="Times" w:cs="Times"/>
                <w:sz w:val="22"/>
                <w:cs/>
              </w:rPr>
              <w:t xml:space="preserve">’ </w:t>
            </w:r>
            <w:r>
              <w:rPr>
                <w:rFonts w:ascii="Times" w:hAnsi="Times"/>
                <w:sz w:val="22"/>
              </w:rPr>
              <w:t>supplimenti tal-ikel għandu jinkludi twissija bit-test li ġej:</w:t>
            </w:r>
          </w:p>
        </w:tc>
        <w:tc>
          <w:tcPr>
            <w:tcW w:w="3119" w:type="dxa"/>
          </w:tcPr>
          <w:p w:rsidR="00A81D25" w:rsidRPr="00E629A7" w:rsidRDefault="00A81D25" w:rsidP="00A81D25">
            <w:pPr>
              <w:rPr>
                <w:rFonts w:ascii="Times" w:hAnsi="Times"/>
                <w:sz w:val="22"/>
              </w:rPr>
            </w:pPr>
            <w:r>
              <w:rPr>
                <w:rFonts w:ascii="Times" w:hAnsi="Times"/>
                <w:sz w:val="22"/>
              </w:rPr>
              <w:t>kundizzjonijiet oħra:</w:t>
            </w:r>
          </w:p>
        </w:tc>
      </w:tr>
      <w:tr w:rsidR="00A81D25" w:rsidRPr="00E629A7" w:rsidTr="0057069D">
        <w:tc>
          <w:tcPr>
            <w:tcW w:w="2023" w:type="dxa"/>
          </w:tcPr>
          <w:p w:rsidR="00A81D25" w:rsidRPr="00E629A7" w:rsidRDefault="00A81D25" w:rsidP="00A81D25">
            <w:pPr>
              <w:jc w:val="both"/>
              <w:rPr>
                <w:rFonts w:ascii="Times" w:hAnsi="Times"/>
                <w:sz w:val="22"/>
              </w:rPr>
            </w:pPr>
            <w:r>
              <w:rPr>
                <w:rFonts w:ascii="Times" w:hAnsi="Times"/>
                <w:sz w:val="22"/>
              </w:rPr>
              <w:t>Kaffeina</w:t>
            </w:r>
          </w:p>
        </w:tc>
        <w:tc>
          <w:tcPr>
            <w:tcW w:w="3119" w:type="dxa"/>
          </w:tcPr>
          <w:p w:rsidR="00A81D25" w:rsidRPr="00E629A7" w:rsidRDefault="00A81D25" w:rsidP="00A81D25">
            <w:pPr>
              <w:rPr>
                <w:rFonts w:ascii="Times" w:hAnsi="Times"/>
                <w:sz w:val="22"/>
              </w:rPr>
            </w:pPr>
            <w:r>
              <w:rPr>
                <w:rFonts w:ascii="Times" w:hAnsi="Times"/>
                <w:sz w:val="22"/>
              </w:rPr>
              <w:t>Massimu: 80 mg/kuljum (kontenut totali)</w:t>
            </w:r>
          </w:p>
        </w:tc>
        <w:tc>
          <w:tcPr>
            <w:tcW w:w="3118" w:type="dxa"/>
          </w:tcPr>
          <w:p w:rsidR="00A81D25" w:rsidRPr="00E629A7" w:rsidRDefault="00A81D25" w:rsidP="00A81D25">
            <w:pPr>
              <w:rPr>
                <w:rFonts w:ascii="Times" w:hAnsi="Times"/>
                <w:sz w:val="22"/>
              </w:rPr>
            </w:pPr>
          </w:p>
        </w:tc>
        <w:tc>
          <w:tcPr>
            <w:tcW w:w="3119" w:type="dxa"/>
          </w:tcPr>
          <w:p w:rsidR="00644717" w:rsidRPr="00644717" w:rsidRDefault="00644717" w:rsidP="00644717">
            <w:pPr>
              <w:rPr>
                <w:rFonts w:ascii="Times" w:hAnsi="Times"/>
                <w:sz w:val="22"/>
              </w:rPr>
            </w:pPr>
            <w:r w:rsidRPr="00644717">
              <w:rPr>
                <w:rFonts w:ascii="Times" w:hAnsi="Times"/>
                <w:sz w:val="22"/>
              </w:rPr>
              <w:t>It-tikkettar għandu jkun konformi mal-Anness</w:t>
            </w:r>
            <w:r>
              <w:rPr>
                <w:rFonts w:ascii="Times" w:hAnsi="Times"/>
                <w:sz w:val="22"/>
                <w:lang w:val="mt-MT"/>
              </w:rPr>
              <w:t> </w:t>
            </w:r>
            <w:r w:rsidRPr="00644717">
              <w:rPr>
                <w:rFonts w:ascii="Times" w:hAnsi="Times"/>
                <w:sz w:val="22"/>
              </w:rPr>
              <w:t>I</w:t>
            </w:r>
            <w:r>
              <w:rPr>
                <w:rFonts w:ascii="Times" w:hAnsi="Times"/>
                <w:sz w:val="22"/>
              </w:rPr>
              <w:t>II, 4.2 tar-Regolament (UE) Nru</w:t>
            </w:r>
            <w:r>
              <w:rPr>
                <w:rFonts w:ascii="Times" w:hAnsi="Times"/>
                <w:sz w:val="22"/>
                <w:lang w:val="mt-MT"/>
              </w:rPr>
              <w:t> </w:t>
            </w:r>
            <w:r>
              <w:rPr>
                <w:rFonts w:ascii="Times" w:hAnsi="Times"/>
                <w:sz w:val="22"/>
              </w:rPr>
              <w:t>1169/2011 dwar l-għoti ta</w:t>
            </w:r>
            <w:r>
              <w:rPr>
                <w:rFonts w:ascii="Times" w:hAnsi="Times"/>
                <w:sz w:val="22"/>
                <w:lang w:val="mt-MT"/>
              </w:rPr>
              <w:t xml:space="preserve">’ </w:t>
            </w:r>
            <w:r w:rsidRPr="00644717">
              <w:rPr>
                <w:rFonts w:ascii="Times" w:hAnsi="Times"/>
                <w:sz w:val="22"/>
              </w:rPr>
              <w:t>informazzjoni dwar l-ikel lill-konsumaturi.</w:t>
            </w:r>
          </w:p>
          <w:p w:rsidR="00A81D25" w:rsidRPr="00E629A7" w:rsidRDefault="00637264" w:rsidP="00644717">
            <w:pPr>
              <w:rPr>
                <w:rFonts w:ascii="Times" w:hAnsi="Times"/>
                <w:sz w:val="22"/>
              </w:rPr>
            </w:pPr>
            <w:r>
              <w:rPr>
                <w:rFonts w:ascii="Times" w:hAnsi="Times"/>
                <w:sz w:val="22"/>
              </w:rPr>
              <w:t>Skon</w:t>
            </w:r>
            <w:r>
              <w:rPr>
                <w:rFonts w:ascii="Times" w:hAnsi="Times"/>
                <w:sz w:val="22"/>
                <w:lang w:val="mt-MT"/>
              </w:rPr>
              <w:t>t</w:t>
            </w:r>
            <w:r w:rsidR="00644717" w:rsidRPr="00644717">
              <w:rPr>
                <w:rFonts w:ascii="Times" w:hAnsi="Times"/>
                <w:sz w:val="22"/>
              </w:rPr>
              <w:t xml:space="preserve"> dawn id-dispożizzjonijiet,</w:t>
            </w:r>
            <w:r w:rsidR="00644717">
              <w:rPr>
                <w:rFonts w:ascii="Times" w:hAnsi="Times"/>
                <w:sz w:val="22"/>
                <w:lang w:val="mt-MT"/>
              </w:rPr>
              <w:t>i</w:t>
            </w:r>
            <w:r w:rsidR="00A81D25">
              <w:rPr>
                <w:rFonts w:ascii="Times" w:hAnsi="Times"/>
                <w:sz w:val="22"/>
              </w:rPr>
              <w:t>l-kontenut ta</w:t>
            </w:r>
            <w:r w:rsidR="00A81D25">
              <w:rPr>
                <w:rFonts w:ascii="Times" w:hAnsi="Times" w:cs="Times"/>
                <w:sz w:val="22"/>
                <w:cs/>
              </w:rPr>
              <w:t xml:space="preserve">’ </w:t>
            </w:r>
            <w:r w:rsidR="00A81D25">
              <w:rPr>
                <w:rFonts w:ascii="Times" w:hAnsi="Times"/>
                <w:sz w:val="22"/>
              </w:rPr>
              <w:t>kafeina huwa l-kontenut totali, inkluż dak minn sorsi oħra li jinkludu pjanti.</w:t>
            </w:r>
          </w:p>
        </w:tc>
      </w:tr>
      <w:tr w:rsidR="00A81D25" w:rsidRPr="00E629A7" w:rsidTr="0057069D">
        <w:tc>
          <w:tcPr>
            <w:tcW w:w="2023" w:type="dxa"/>
          </w:tcPr>
          <w:p w:rsidR="00A81D25" w:rsidRPr="00E629A7" w:rsidRDefault="00A81D25" w:rsidP="00A81D25">
            <w:pPr>
              <w:jc w:val="both"/>
              <w:rPr>
                <w:rFonts w:ascii="Times" w:hAnsi="Times"/>
                <w:sz w:val="22"/>
              </w:rPr>
            </w:pPr>
            <w:r>
              <w:rPr>
                <w:rFonts w:ascii="Times" w:hAnsi="Times"/>
                <w:sz w:val="22"/>
              </w:rPr>
              <w:t>Luteina</w:t>
            </w:r>
          </w:p>
        </w:tc>
        <w:tc>
          <w:tcPr>
            <w:tcW w:w="3119" w:type="dxa"/>
          </w:tcPr>
          <w:p w:rsidR="00A81D25" w:rsidRPr="00E629A7" w:rsidRDefault="00A81D25" w:rsidP="00A81D25">
            <w:pPr>
              <w:rPr>
                <w:rFonts w:ascii="Times" w:hAnsi="Times"/>
                <w:sz w:val="22"/>
              </w:rPr>
            </w:pPr>
            <w:r>
              <w:rPr>
                <w:rFonts w:ascii="Times" w:hAnsi="Times"/>
                <w:sz w:val="22"/>
              </w:rPr>
              <w:t>Minimu: 2 mg/kuljum</w:t>
            </w:r>
          </w:p>
          <w:p w:rsidR="00A81D25" w:rsidRPr="00E629A7" w:rsidRDefault="00A81D25" w:rsidP="00644717">
            <w:pPr>
              <w:rPr>
                <w:rFonts w:ascii="Times" w:hAnsi="Times"/>
                <w:sz w:val="22"/>
              </w:rPr>
            </w:pPr>
            <w:r>
              <w:rPr>
                <w:rFonts w:ascii="Times" w:hAnsi="Times"/>
                <w:sz w:val="22"/>
              </w:rPr>
              <w:t xml:space="preserve">Massimu: </w:t>
            </w:r>
            <w:r w:rsidR="00644717">
              <w:rPr>
                <w:rFonts w:ascii="Times" w:hAnsi="Times"/>
                <w:sz w:val="22"/>
                <w:lang w:val="mt-MT"/>
              </w:rPr>
              <w:t>2</w:t>
            </w:r>
            <w:r>
              <w:rPr>
                <w:rFonts w:ascii="Times" w:hAnsi="Times"/>
                <w:sz w:val="22"/>
              </w:rPr>
              <w:t>0</w:t>
            </w:r>
            <w:r w:rsidR="007E26F3">
              <w:rPr>
                <w:rFonts w:ascii="Times" w:hAnsi="Times"/>
                <w:sz w:val="22"/>
                <w:lang w:val="mt-MT"/>
              </w:rPr>
              <w:t> </w:t>
            </w:r>
            <w:r>
              <w:rPr>
                <w:rFonts w:ascii="Times" w:hAnsi="Times"/>
                <w:sz w:val="22"/>
              </w:rPr>
              <w:t>mg/kuljum</w:t>
            </w:r>
          </w:p>
        </w:tc>
        <w:tc>
          <w:tcPr>
            <w:tcW w:w="3118" w:type="dxa"/>
          </w:tcPr>
          <w:p w:rsidR="00A81D25" w:rsidRPr="00E629A7" w:rsidRDefault="00A81D25" w:rsidP="00A81D25">
            <w:pPr>
              <w:rPr>
                <w:rFonts w:ascii="Times" w:hAnsi="Times"/>
                <w:sz w:val="22"/>
              </w:rPr>
            </w:pPr>
          </w:p>
        </w:tc>
        <w:tc>
          <w:tcPr>
            <w:tcW w:w="3119" w:type="dxa"/>
          </w:tcPr>
          <w:p w:rsidR="00A81D25" w:rsidRPr="00E629A7" w:rsidRDefault="00A81D25" w:rsidP="00A81D25">
            <w:pPr>
              <w:rPr>
                <w:rFonts w:ascii="Times" w:hAnsi="Times"/>
                <w:strike/>
                <w:sz w:val="22"/>
              </w:rPr>
            </w:pPr>
          </w:p>
        </w:tc>
      </w:tr>
      <w:tr w:rsidR="00A81D25" w:rsidRPr="00E629A7" w:rsidTr="0057069D">
        <w:tc>
          <w:tcPr>
            <w:tcW w:w="2023" w:type="dxa"/>
          </w:tcPr>
          <w:p w:rsidR="00A81D25" w:rsidRPr="00E629A7" w:rsidRDefault="00A81D25" w:rsidP="00A81D25">
            <w:pPr>
              <w:jc w:val="both"/>
              <w:rPr>
                <w:rFonts w:ascii="Times" w:hAnsi="Times"/>
                <w:sz w:val="22"/>
              </w:rPr>
            </w:pPr>
            <w:r>
              <w:rPr>
                <w:rFonts w:ascii="Times" w:hAnsi="Times"/>
                <w:sz w:val="22"/>
              </w:rPr>
              <w:t>Likopene</w:t>
            </w:r>
          </w:p>
        </w:tc>
        <w:tc>
          <w:tcPr>
            <w:tcW w:w="3119" w:type="dxa"/>
          </w:tcPr>
          <w:p w:rsidR="00A81D25" w:rsidRPr="00E629A7" w:rsidRDefault="00A81D25" w:rsidP="00A81D25">
            <w:pPr>
              <w:rPr>
                <w:rFonts w:ascii="Times" w:hAnsi="Times"/>
                <w:sz w:val="22"/>
              </w:rPr>
            </w:pPr>
            <w:r>
              <w:rPr>
                <w:rFonts w:ascii="Times" w:hAnsi="Times"/>
                <w:sz w:val="22"/>
              </w:rPr>
              <w:t>Minimu: 2.5 mg/kuljum</w:t>
            </w:r>
          </w:p>
          <w:p w:rsidR="00A81D25" w:rsidRPr="00E629A7" w:rsidRDefault="00A81D25" w:rsidP="00A81D25">
            <w:pPr>
              <w:rPr>
                <w:rFonts w:ascii="Times" w:hAnsi="Times"/>
                <w:sz w:val="22"/>
              </w:rPr>
            </w:pPr>
            <w:r>
              <w:rPr>
                <w:rFonts w:ascii="Times" w:hAnsi="Times"/>
                <w:sz w:val="22"/>
              </w:rPr>
              <w:t>Massimu: 15 mg/kuljum</w:t>
            </w:r>
          </w:p>
        </w:tc>
        <w:tc>
          <w:tcPr>
            <w:tcW w:w="3118" w:type="dxa"/>
          </w:tcPr>
          <w:p w:rsidR="00A81D25" w:rsidRPr="00E629A7" w:rsidRDefault="00A81D25" w:rsidP="00A81D25">
            <w:pPr>
              <w:rPr>
                <w:rFonts w:ascii="Times" w:hAnsi="Times"/>
                <w:sz w:val="22"/>
              </w:rPr>
            </w:pPr>
          </w:p>
        </w:tc>
        <w:tc>
          <w:tcPr>
            <w:tcW w:w="3119" w:type="dxa"/>
          </w:tcPr>
          <w:p w:rsidR="00A81D25" w:rsidRPr="00E629A7" w:rsidRDefault="00A81D25" w:rsidP="00644717">
            <w:pPr>
              <w:autoSpaceDE w:val="0"/>
              <w:autoSpaceDN w:val="0"/>
              <w:adjustRightInd w:val="0"/>
              <w:rPr>
                <w:rFonts w:ascii="Times" w:hAnsi="Times" w:cs="Times"/>
                <w:color w:val="000000"/>
                <w:sz w:val="22"/>
                <w:szCs w:val="22"/>
              </w:rPr>
            </w:pPr>
            <w:r>
              <w:rPr>
                <w:rFonts w:ascii="Times" w:hAnsi="Times"/>
                <w:color w:val="000000"/>
                <w:sz w:val="22"/>
              </w:rPr>
              <w:t>Huma permessi biss il-prodotti li jikkonformaw mar-Regolament (UE)</w:t>
            </w:r>
            <w:r w:rsidR="009E7990">
              <w:rPr>
                <w:rFonts w:ascii="Times" w:hAnsi="Times"/>
                <w:color w:val="000000"/>
                <w:sz w:val="22"/>
                <w:lang w:val="mt-MT"/>
              </w:rPr>
              <w:t xml:space="preserve"> Nru </w:t>
            </w:r>
            <w:r>
              <w:rPr>
                <w:rFonts w:ascii="Times" w:hAnsi="Times"/>
                <w:color w:val="000000"/>
                <w:sz w:val="22"/>
              </w:rPr>
              <w:t>2015/2283 dwar l-ingredjenti tal-ikel ġodda.</w:t>
            </w:r>
          </w:p>
        </w:tc>
      </w:tr>
      <w:tr w:rsidR="00A81D25" w:rsidRPr="00E629A7" w:rsidTr="0057069D">
        <w:tc>
          <w:tcPr>
            <w:tcW w:w="2023" w:type="dxa"/>
          </w:tcPr>
          <w:p w:rsidR="00A81D25" w:rsidRPr="00E629A7" w:rsidRDefault="00A81D25" w:rsidP="00A81D25">
            <w:pPr>
              <w:jc w:val="both"/>
              <w:rPr>
                <w:rFonts w:ascii="Times" w:hAnsi="Times"/>
                <w:sz w:val="22"/>
              </w:rPr>
            </w:pPr>
            <w:r>
              <w:rPr>
                <w:rFonts w:ascii="Times" w:hAnsi="Times"/>
                <w:i/>
                <w:sz w:val="22"/>
              </w:rPr>
              <w:t>Monascus purpureus</w:t>
            </w:r>
            <w:r>
              <w:rPr>
                <w:rFonts w:ascii="Times" w:hAnsi="Times"/>
                <w:sz w:val="22"/>
              </w:rPr>
              <w:t xml:space="preserve"> (Ħmira tar-ross aħmar) jew kwalunkwe sors ieħor ta</w:t>
            </w:r>
            <w:r>
              <w:rPr>
                <w:rFonts w:ascii="Times" w:hAnsi="Times" w:cs="Times"/>
                <w:sz w:val="22"/>
                <w:cs/>
              </w:rPr>
              <w:t xml:space="preserve">’ </w:t>
            </w:r>
            <w:r>
              <w:rPr>
                <w:rFonts w:ascii="Times" w:hAnsi="Times"/>
                <w:sz w:val="22"/>
              </w:rPr>
              <w:t>monakolina K</w:t>
            </w:r>
          </w:p>
        </w:tc>
        <w:tc>
          <w:tcPr>
            <w:tcW w:w="3119" w:type="dxa"/>
          </w:tcPr>
          <w:p w:rsidR="00A81D25" w:rsidRPr="00E629A7" w:rsidRDefault="00A81D25" w:rsidP="00A81D25">
            <w:pPr>
              <w:rPr>
                <w:rFonts w:ascii="Times" w:hAnsi="Times"/>
                <w:sz w:val="22"/>
              </w:rPr>
            </w:pPr>
            <w:r>
              <w:rPr>
                <w:rFonts w:ascii="Times" w:hAnsi="Times"/>
                <w:sz w:val="22"/>
              </w:rPr>
              <w:t>Massimu: 10 mg/kuljum monakolina K</w:t>
            </w:r>
          </w:p>
        </w:tc>
        <w:tc>
          <w:tcPr>
            <w:tcW w:w="3118" w:type="dxa"/>
          </w:tcPr>
          <w:p w:rsidR="00A81D25" w:rsidRPr="00E629A7" w:rsidRDefault="00A81D25" w:rsidP="00A81D25">
            <w:pPr>
              <w:rPr>
                <w:rFonts w:ascii="Times" w:hAnsi="Times" w:cs="Times"/>
                <w:sz w:val="22"/>
                <w:szCs w:val="22"/>
              </w:rPr>
            </w:pPr>
            <w:r>
              <w:rPr>
                <w:rFonts w:ascii="Times" w:hAnsi="Times"/>
                <w:sz w:val="22"/>
              </w:rPr>
              <w:t xml:space="preserve">Għandu jidher fuq il-pakkett estern: </w:t>
            </w:r>
            <w:r>
              <w:rPr>
                <w:rFonts w:ascii="Times" w:hAnsi="Times" w:cs="Times"/>
                <w:sz w:val="22"/>
                <w:cs/>
              </w:rPr>
              <w:t>“</w:t>
            </w:r>
            <w:r>
              <w:rPr>
                <w:rFonts w:ascii="Times" w:hAnsi="Times"/>
                <w:sz w:val="22"/>
              </w:rPr>
              <w:t>Dan il-prodott mhuwiex adattat għal nisa tqal jew li qed ireddgħu, tfal u adolexxenti, persuni ta</w:t>
            </w:r>
            <w:r>
              <w:rPr>
                <w:rFonts w:ascii="Times" w:hAnsi="Times" w:cs="Times"/>
                <w:sz w:val="22"/>
                <w:cs/>
              </w:rPr>
              <w:t xml:space="preserve">’ </w:t>
            </w:r>
            <w:r>
              <w:rPr>
                <w:rFonts w:ascii="Times" w:hAnsi="Times"/>
                <w:sz w:val="22"/>
              </w:rPr>
              <w:t>aktar minn 70 sena, persuni bi problemi tal-fwied, kliewi jew fil-muskoli, persuni li jieħdu mediċini li jistgħu jwasslu għal interazzjonijiet (eż: mediċini li jnaqqsu l-kolesterol), għal persuni intolleranti għall-istatins.</w:t>
            </w:r>
          </w:p>
          <w:p w:rsidR="00A81D25" w:rsidRPr="00E629A7" w:rsidRDefault="00A81D25" w:rsidP="00A81D25">
            <w:pPr>
              <w:rPr>
                <w:rFonts w:ascii="Times" w:hAnsi="Times"/>
                <w:sz w:val="22"/>
              </w:rPr>
            </w:pPr>
            <w:r>
              <w:rPr>
                <w:rFonts w:ascii="Times" w:hAnsi="Times"/>
                <w:sz w:val="22"/>
              </w:rPr>
              <w:t>F</w:t>
            </w:r>
            <w:r>
              <w:rPr>
                <w:rFonts w:ascii="Times" w:hAnsi="Times" w:cs="Times"/>
                <w:sz w:val="22"/>
                <w:cs/>
              </w:rPr>
              <w:t>’</w:t>
            </w:r>
            <w:r>
              <w:rPr>
                <w:rFonts w:ascii="Times" w:hAnsi="Times"/>
                <w:sz w:val="22"/>
              </w:rPr>
              <w:t>każ ta</w:t>
            </w:r>
            <w:r>
              <w:rPr>
                <w:rFonts w:ascii="Times" w:hAnsi="Times" w:cs="Times"/>
                <w:sz w:val="22"/>
                <w:cs/>
              </w:rPr>
              <w:t xml:space="preserve">’ </w:t>
            </w:r>
            <w:r>
              <w:rPr>
                <w:rFonts w:ascii="Times" w:hAnsi="Times"/>
                <w:sz w:val="22"/>
              </w:rPr>
              <w:t>dubju, jekk jogħġbok staqsi lit-tabib jew spiżjar tiegħek.</w:t>
            </w:r>
            <w:r>
              <w:rPr>
                <w:rFonts w:ascii="Times" w:hAnsi="Times" w:cs="Times"/>
                <w:sz w:val="22"/>
                <w:cs/>
              </w:rPr>
              <w:t>”</w:t>
            </w:r>
          </w:p>
        </w:tc>
        <w:tc>
          <w:tcPr>
            <w:tcW w:w="3119" w:type="dxa"/>
          </w:tcPr>
          <w:p w:rsidR="00A81D25" w:rsidRPr="00E629A7" w:rsidRDefault="00A81D25" w:rsidP="00A81D25">
            <w:pPr>
              <w:autoSpaceDE w:val="0"/>
              <w:autoSpaceDN w:val="0"/>
              <w:adjustRightInd w:val="0"/>
              <w:rPr>
                <w:rFonts w:ascii="Times" w:hAnsi="Times" w:cs="Times"/>
                <w:color w:val="000000"/>
                <w:sz w:val="22"/>
                <w:szCs w:val="22"/>
              </w:rPr>
            </w:pPr>
            <w:r>
              <w:rPr>
                <w:rFonts w:ascii="Times" w:hAnsi="Times"/>
                <w:color w:val="000000"/>
                <w:sz w:val="22"/>
              </w:rPr>
              <w:t>Huma permessi biss il-prodotti li jikkonformaw mar-Regolament (UE)</w:t>
            </w:r>
            <w:r w:rsidR="009E7990">
              <w:rPr>
                <w:rFonts w:ascii="Times" w:hAnsi="Times"/>
                <w:color w:val="000000"/>
                <w:sz w:val="22"/>
                <w:lang w:val="mt-MT"/>
              </w:rPr>
              <w:t xml:space="preserve"> Nru </w:t>
            </w:r>
            <w:r>
              <w:rPr>
                <w:rFonts w:ascii="Times" w:hAnsi="Times"/>
                <w:color w:val="000000"/>
                <w:sz w:val="22"/>
              </w:rPr>
              <w:t xml:space="preserve">2015/2283 dwar l-ingredjenti tal-ikel ġodda. </w:t>
            </w:r>
            <w:bookmarkStart w:id="0" w:name="_GoBack"/>
            <w:bookmarkEnd w:id="0"/>
          </w:p>
          <w:p w:rsidR="00A81D25" w:rsidRPr="00E629A7" w:rsidRDefault="00A81D25" w:rsidP="00A81D25">
            <w:pPr>
              <w:rPr>
                <w:rFonts w:ascii="Times" w:hAnsi="Times" w:cs="Times"/>
                <w:sz w:val="22"/>
                <w:szCs w:val="22"/>
              </w:rPr>
            </w:pPr>
            <w:r>
              <w:rPr>
                <w:rFonts w:ascii="Times" w:hAnsi="Times"/>
                <w:sz w:val="22"/>
              </w:rPr>
              <w:t>Il-kontenut massimu ta</w:t>
            </w:r>
            <w:r>
              <w:rPr>
                <w:rFonts w:ascii="Times" w:hAnsi="Times" w:cs="Times"/>
                <w:sz w:val="22"/>
                <w:cs/>
              </w:rPr>
              <w:t xml:space="preserve">’ </w:t>
            </w:r>
            <w:r>
              <w:rPr>
                <w:rFonts w:ascii="Times" w:hAnsi="Times"/>
                <w:sz w:val="22"/>
              </w:rPr>
              <w:t>ċitrinin għandu jikkonforma mar-Regolament (UE)</w:t>
            </w:r>
            <w:r w:rsidR="007E26F3">
              <w:rPr>
                <w:rFonts w:ascii="Times" w:hAnsi="Times"/>
                <w:sz w:val="22"/>
                <w:lang w:val="mt-MT"/>
              </w:rPr>
              <w:t xml:space="preserve"> </w:t>
            </w:r>
            <w:r>
              <w:rPr>
                <w:rFonts w:ascii="Times" w:hAnsi="Times"/>
                <w:sz w:val="22"/>
              </w:rPr>
              <w:t>Nru</w:t>
            </w:r>
            <w:r w:rsidR="009E7990">
              <w:rPr>
                <w:rFonts w:ascii="Times" w:hAnsi="Times"/>
                <w:sz w:val="22"/>
                <w:lang w:val="mt-MT"/>
              </w:rPr>
              <w:t> </w:t>
            </w:r>
            <w:r>
              <w:rPr>
                <w:rFonts w:ascii="Times" w:hAnsi="Times"/>
                <w:sz w:val="22"/>
              </w:rPr>
              <w:t>212/2014.</w:t>
            </w:r>
          </w:p>
          <w:p w:rsidR="00A81D25" w:rsidRPr="00E629A7" w:rsidRDefault="00A81D25" w:rsidP="00A81D25">
            <w:pPr>
              <w:rPr>
                <w:rFonts w:ascii="Times" w:hAnsi="Times" w:cs="Times"/>
                <w:sz w:val="22"/>
                <w:szCs w:val="22"/>
              </w:rPr>
            </w:pPr>
            <w:r>
              <w:rPr>
                <w:rFonts w:ascii="Times" w:hAnsi="Times"/>
                <w:sz w:val="22"/>
              </w:rPr>
              <w:t>Id-doża ta</w:t>
            </w:r>
            <w:r>
              <w:rPr>
                <w:rFonts w:ascii="Times" w:hAnsi="Times" w:cs="Times"/>
                <w:sz w:val="22"/>
                <w:cs/>
              </w:rPr>
              <w:t xml:space="preserve">’ </w:t>
            </w:r>
            <w:r>
              <w:rPr>
                <w:rFonts w:ascii="Times" w:hAnsi="Times"/>
                <w:sz w:val="22"/>
              </w:rPr>
              <w:t>monakolina K għandha tkun standardizzata (differenza massima ta</w:t>
            </w:r>
            <w:r>
              <w:rPr>
                <w:rFonts w:ascii="Times" w:hAnsi="Times" w:cs="Times"/>
                <w:sz w:val="22"/>
                <w:cs/>
              </w:rPr>
              <w:t xml:space="preserve">’ </w:t>
            </w:r>
            <w:r>
              <w:rPr>
                <w:rFonts w:ascii="Times" w:hAnsi="Times"/>
                <w:sz w:val="22"/>
              </w:rPr>
              <w:t>10</w:t>
            </w:r>
            <w:r w:rsidR="009E7990">
              <w:rPr>
                <w:rFonts w:ascii="Times" w:hAnsi="Times"/>
                <w:sz w:val="22"/>
                <w:lang w:val="mt-MT"/>
              </w:rPr>
              <w:t> </w:t>
            </w:r>
            <w:r>
              <w:rPr>
                <w:rFonts w:ascii="Times" w:hAnsi="Times"/>
                <w:sz w:val="22"/>
              </w:rPr>
              <w:t>%)</w:t>
            </w:r>
          </w:p>
          <w:p w:rsidR="00A81D25" w:rsidRPr="00E629A7" w:rsidRDefault="00A81D25" w:rsidP="00A81D25">
            <w:pPr>
              <w:rPr>
                <w:rFonts w:ascii="Times" w:hAnsi="Times" w:cs="Times"/>
                <w:sz w:val="22"/>
                <w:szCs w:val="22"/>
              </w:rPr>
            </w:pPr>
            <w:r>
              <w:rPr>
                <w:rFonts w:ascii="Times" w:hAnsi="Times"/>
                <w:sz w:val="22"/>
              </w:rPr>
              <w:t>Il-kontenut ta</w:t>
            </w:r>
            <w:r>
              <w:rPr>
                <w:rFonts w:ascii="Times" w:hAnsi="Times" w:cs="Times"/>
                <w:sz w:val="22"/>
                <w:cs/>
              </w:rPr>
              <w:t xml:space="preserve">’ </w:t>
            </w:r>
            <w:r>
              <w:rPr>
                <w:rFonts w:ascii="Times" w:hAnsi="Times"/>
                <w:sz w:val="22"/>
              </w:rPr>
              <w:t>monakolina K għandu jissemma fil-fajl ta</w:t>
            </w:r>
            <w:r>
              <w:rPr>
                <w:rFonts w:ascii="Times" w:hAnsi="Times" w:cs="Times"/>
                <w:sz w:val="22"/>
                <w:cs/>
              </w:rPr>
              <w:t xml:space="preserve">’ </w:t>
            </w:r>
            <w:r>
              <w:rPr>
                <w:rFonts w:ascii="Times" w:hAnsi="Times"/>
                <w:sz w:val="22"/>
              </w:rPr>
              <w:t>notifika.</w:t>
            </w:r>
          </w:p>
        </w:tc>
      </w:tr>
      <w:tr w:rsidR="00A81D25" w:rsidRPr="00E629A7" w:rsidTr="00A81D25">
        <w:tblPrEx>
          <w:tblCellMar>
            <w:left w:w="70" w:type="dxa"/>
            <w:right w:w="70" w:type="dxa"/>
          </w:tblCellMar>
        </w:tblPrEx>
        <w:trPr>
          <w:gridAfter w:val="1"/>
          <w:wAfter w:w="894" w:type="dxa"/>
        </w:trPr>
        <w:tc>
          <w:tcPr>
            <w:tcW w:w="4819" w:type="dxa"/>
            <w:gridSpan w:val="3"/>
            <w:tcBorders>
              <w:top w:val="nil"/>
              <w:left w:val="nil"/>
              <w:bottom w:val="nil"/>
              <w:right w:val="nil"/>
            </w:tcBorders>
          </w:tcPr>
          <w:p w:rsidR="00A81D25" w:rsidRPr="005456E4" w:rsidRDefault="00A81D25" w:rsidP="00A81D25">
            <w:pPr>
              <w:tabs>
                <w:tab w:val="left" w:pos="567"/>
                <w:tab w:val="left" w:pos="2268"/>
              </w:tabs>
              <w:jc w:val="both"/>
              <w:rPr>
                <w:b/>
                <w:sz w:val="22"/>
              </w:rPr>
            </w:pPr>
          </w:p>
        </w:tc>
      </w:tr>
      <w:tr w:rsidR="00A81D25" w:rsidRPr="00E629A7" w:rsidTr="00A81D25">
        <w:tblPrEx>
          <w:tblCellMar>
            <w:left w:w="70" w:type="dxa"/>
            <w:right w:w="70" w:type="dxa"/>
          </w:tblCellMar>
        </w:tblPrEx>
        <w:trPr>
          <w:gridAfter w:val="1"/>
          <w:wAfter w:w="894" w:type="dxa"/>
        </w:trPr>
        <w:tc>
          <w:tcPr>
            <w:tcW w:w="4819" w:type="dxa"/>
            <w:gridSpan w:val="3"/>
            <w:tcBorders>
              <w:top w:val="nil"/>
              <w:left w:val="nil"/>
              <w:bottom w:val="nil"/>
              <w:right w:val="nil"/>
            </w:tcBorders>
          </w:tcPr>
          <w:p w:rsidR="00A81D25" w:rsidRPr="005456E4" w:rsidRDefault="00A81D25" w:rsidP="00A81D25">
            <w:pPr>
              <w:tabs>
                <w:tab w:val="left" w:pos="355"/>
                <w:tab w:val="left" w:pos="2268"/>
              </w:tabs>
              <w:jc w:val="both"/>
              <w:rPr>
                <w:sz w:val="22"/>
              </w:rPr>
            </w:pPr>
          </w:p>
        </w:tc>
      </w:tr>
      <w:tr w:rsidR="00A81D25" w:rsidRPr="00E629A7" w:rsidTr="00A81D25">
        <w:tblPrEx>
          <w:tblCellMar>
            <w:left w:w="70" w:type="dxa"/>
            <w:right w:w="70" w:type="dxa"/>
          </w:tblCellMar>
        </w:tblPrEx>
        <w:trPr>
          <w:gridAfter w:val="1"/>
          <w:wAfter w:w="894" w:type="dxa"/>
        </w:trPr>
        <w:tc>
          <w:tcPr>
            <w:tcW w:w="4819" w:type="dxa"/>
            <w:gridSpan w:val="3"/>
            <w:tcBorders>
              <w:top w:val="nil"/>
              <w:left w:val="nil"/>
              <w:bottom w:val="nil"/>
              <w:right w:val="nil"/>
            </w:tcBorders>
          </w:tcPr>
          <w:p w:rsidR="002717E2" w:rsidRDefault="002717E2" w:rsidP="00A81D25">
            <w:pPr>
              <w:keepNext/>
              <w:keepLines/>
              <w:tabs>
                <w:tab w:val="left" w:pos="306"/>
                <w:tab w:val="left" w:pos="5498"/>
              </w:tabs>
              <w:ind w:firstLine="270"/>
              <w:jc w:val="both"/>
              <w:rPr>
                <w:sz w:val="22"/>
              </w:rPr>
            </w:pPr>
          </w:p>
          <w:p w:rsidR="00A81D25" w:rsidRPr="0057069D" w:rsidRDefault="00A81D25" w:rsidP="00A81D25">
            <w:pPr>
              <w:keepNext/>
              <w:keepLines/>
              <w:tabs>
                <w:tab w:val="left" w:pos="306"/>
                <w:tab w:val="left" w:pos="5498"/>
              </w:tabs>
              <w:ind w:firstLine="270"/>
              <w:jc w:val="both"/>
              <w:rPr>
                <w:rFonts w:eastAsia="SimSun"/>
                <w:b/>
                <w:sz w:val="22"/>
                <w:lang w:val="mt-MT" w:eastAsia="zh-CN"/>
              </w:rPr>
            </w:pPr>
            <w:r>
              <w:rPr>
                <w:sz w:val="22"/>
              </w:rPr>
              <w:t>Brussell,</w:t>
            </w:r>
            <w:r w:rsidR="00644717">
              <w:rPr>
                <w:sz w:val="22"/>
                <w:lang w:val="mt-MT"/>
              </w:rPr>
              <w:t xml:space="preserve"> 26 ta’ Ot</w:t>
            </w:r>
            <w:r w:rsidR="009E7990">
              <w:rPr>
                <w:sz w:val="22"/>
                <w:lang w:val="mt-MT"/>
              </w:rPr>
              <w:t>t</w:t>
            </w:r>
            <w:r w:rsidR="00644717">
              <w:rPr>
                <w:sz w:val="22"/>
                <w:lang w:val="mt-MT"/>
              </w:rPr>
              <w:t>ubru 2018</w:t>
            </w:r>
          </w:p>
        </w:tc>
      </w:tr>
      <w:tr w:rsidR="00A81D25" w:rsidRPr="00E629A7" w:rsidTr="00A81D25">
        <w:tblPrEx>
          <w:tblCellMar>
            <w:left w:w="70" w:type="dxa"/>
            <w:right w:w="70" w:type="dxa"/>
          </w:tblCellMar>
        </w:tblPrEx>
        <w:trPr>
          <w:gridAfter w:val="1"/>
          <w:wAfter w:w="894" w:type="dxa"/>
        </w:trPr>
        <w:tc>
          <w:tcPr>
            <w:tcW w:w="4819" w:type="dxa"/>
            <w:gridSpan w:val="3"/>
            <w:tcBorders>
              <w:top w:val="nil"/>
              <w:left w:val="nil"/>
              <w:bottom w:val="nil"/>
              <w:right w:val="nil"/>
            </w:tcBorders>
          </w:tcPr>
          <w:p w:rsidR="00A81D25" w:rsidRPr="00E629A7" w:rsidRDefault="00A81D25" w:rsidP="00A81D25">
            <w:pPr>
              <w:tabs>
                <w:tab w:val="left" w:pos="567"/>
                <w:tab w:val="left" w:pos="2268"/>
              </w:tabs>
              <w:jc w:val="center"/>
              <w:rPr>
                <w:sz w:val="22"/>
              </w:rPr>
            </w:pPr>
          </w:p>
          <w:p w:rsidR="00A81D25" w:rsidRPr="00E629A7" w:rsidRDefault="00A81D25" w:rsidP="00A81D25">
            <w:pPr>
              <w:tabs>
                <w:tab w:val="left" w:pos="567"/>
                <w:tab w:val="left" w:pos="2268"/>
              </w:tabs>
              <w:jc w:val="center"/>
              <w:rPr>
                <w:sz w:val="22"/>
              </w:rPr>
            </w:pPr>
          </w:p>
          <w:p w:rsidR="00A81D25" w:rsidRPr="00E629A7" w:rsidRDefault="00A81D25" w:rsidP="00A81D25">
            <w:pPr>
              <w:tabs>
                <w:tab w:val="left" w:pos="567"/>
                <w:tab w:val="left" w:pos="2268"/>
              </w:tabs>
              <w:jc w:val="center"/>
              <w:rPr>
                <w:sz w:val="22"/>
              </w:rPr>
            </w:pPr>
          </w:p>
          <w:p w:rsidR="00A81D25" w:rsidRDefault="00A81D25" w:rsidP="00A81D25">
            <w:pPr>
              <w:tabs>
                <w:tab w:val="left" w:pos="567"/>
                <w:tab w:val="left" w:pos="2268"/>
              </w:tabs>
              <w:jc w:val="center"/>
              <w:rPr>
                <w:sz w:val="22"/>
              </w:rPr>
            </w:pPr>
          </w:p>
          <w:p w:rsidR="002717E2" w:rsidRPr="00E629A7" w:rsidRDefault="002717E2" w:rsidP="0057069D">
            <w:pPr>
              <w:tabs>
                <w:tab w:val="left" w:pos="567"/>
                <w:tab w:val="left" w:pos="2268"/>
              </w:tabs>
              <w:rPr>
                <w:sz w:val="22"/>
              </w:rPr>
            </w:pPr>
          </w:p>
          <w:p w:rsidR="00A81D25" w:rsidRPr="00E629A7" w:rsidRDefault="00A81D25" w:rsidP="00A81D25">
            <w:pPr>
              <w:tabs>
                <w:tab w:val="left" w:pos="567"/>
                <w:tab w:val="left" w:pos="2268"/>
              </w:tabs>
              <w:jc w:val="center"/>
              <w:rPr>
                <w:sz w:val="22"/>
              </w:rPr>
            </w:pPr>
          </w:p>
          <w:p w:rsidR="00A81D25" w:rsidRPr="00E629A7" w:rsidRDefault="00A81D25" w:rsidP="00A81D25">
            <w:pPr>
              <w:tabs>
                <w:tab w:val="left" w:pos="567"/>
                <w:tab w:val="left" w:pos="2268"/>
              </w:tabs>
              <w:jc w:val="center"/>
              <w:rPr>
                <w:sz w:val="22"/>
              </w:rPr>
            </w:pPr>
          </w:p>
          <w:p w:rsidR="00A81D25" w:rsidRPr="00E629A7" w:rsidRDefault="00A81D25" w:rsidP="00A81D25">
            <w:pPr>
              <w:tabs>
                <w:tab w:val="left" w:pos="567"/>
                <w:tab w:val="left" w:pos="2268"/>
              </w:tabs>
              <w:rPr>
                <w:sz w:val="22"/>
              </w:rPr>
            </w:pPr>
          </w:p>
        </w:tc>
      </w:tr>
      <w:tr w:rsidR="00A81D25" w:rsidRPr="00E629A7" w:rsidTr="00A81D25">
        <w:tblPrEx>
          <w:tblCellMar>
            <w:left w:w="70" w:type="dxa"/>
            <w:right w:w="70" w:type="dxa"/>
          </w:tblCellMar>
        </w:tblPrEx>
        <w:trPr>
          <w:gridAfter w:val="1"/>
          <w:wAfter w:w="894" w:type="dxa"/>
        </w:trPr>
        <w:tc>
          <w:tcPr>
            <w:tcW w:w="4819" w:type="dxa"/>
            <w:gridSpan w:val="3"/>
            <w:tcBorders>
              <w:top w:val="nil"/>
              <w:left w:val="nil"/>
              <w:bottom w:val="nil"/>
              <w:right w:val="nil"/>
            </w:tcBorders>
          </w:tcPr>
          <w:p w:rsidR="00A81D25" w:rsidRPr="00E629A7" w:rsidRDefault="00A81D25" w:rsidP="00A81D25">
            <w:pPr>
              <w:tabs>
                <w:tab w:val="left" w:pos="567"/>
                <w:tab w:val="left" w:pos="2268"/>
              </w:tabs>
              <w:jc w:val="center"/>
              <w:rPr>
                <w:sz w:val="22"/>
              </w:rPr>
            </w:pPr>
            <w:r>
              <w:rPr>
                <w:sz w:val="22"/>
              </w:rPr>
              <w:lastRenderedPageBreak/>
              <w:t>Maggie DE BLOCK</w:t>
            </w:r>
          </w:p>
        </w:tc>
      </w:tr>
    </w:tbl>
    <w:p w:rsidR="00A81D25" w:rsidRPr="00E629A7" w:rsidRDefault="00A81D25"/>
    <w:sectPr w:rsidR="00A81D25" w:rsidRPr="00E629A7" w:rsidSect="00A81D2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oNotHyphenateCap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9B"/>
    <w:rsid w:val="002717E2"/>
    <w:rsid w:val="003E0936"/>
    <w:rsid w:val="0057069D"/>
    <w:rsid w:val="00637264"/>
    <w:rsid w:val="00644717"/>
    <w:rsid w:val="007E26F3"/>
    <w:rsid w:val="008D4FFA"/>
    <w:rsid w:val="00913A9B"/>
    <w:rsid w:val="009E7990"/>
    <w:rsid w:val="00A3681D"/>
    <w:rsid w:val="00A81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8256A"/>
  <w15:docId w15:val="{0EB61C58-0086-42EC-93CD-556ACF07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A9B"/>
    <w:rPr>
      <w:rFonts w:ascii="Times New Roman" w:eastAsia="Times New Roman" w:hAnsi="Times New Roman"/>
      <w:lang w:val="" w:eastAsia=""/>
    </w:rPr>
  </w:style>
  <w:style w:type="paragraph" w:styleId="Heading3">
    <w:name w:val="heading 3"/>
    <w:basedOn w:val="Normal"/>
    <w:next w:val="Normal"/>
    <w:link w:val="Heading3Char"/>
    <w:qFormat/>
    <w:rsid w:val="00913A9B"/>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913A9B"/>
    <w:rPr>
      <w:rFonts w:ascii="Times New Roman" w:eastAsia="Times New Roman" w:hAnsi="Times New Roman" w:cs="Times New Roman"/>
      <w:b/>
      <w:sz w:val="20"/>
      <w:szCs w:val="20"/>
      <w:lang w:val="" w:eastAsia=""/>
    </w:rPr>
  </w:style>
  <w:style w:type="character" w:customStyle="1" w:styleId="PlainTextChar">
    <w:name w:val="Plain Text Char"/>
    <w:aliases w:val="Char Знак Знак Знак Знак Знак Знак Знак Char,Char Знак Char,Char Знак Знак Char,Char Знак Знак Знак Знак Знак Знак Char,Char Знак Знак Знак Знак Знак Char,Char Знак Знак Знак Знак Знак Знак Знак Знак Знак Знак Знак Знак Char"/>
    <w:link w:val="PlainText"/>
    <w:uiPriority w:val="99"/>
    <w:locked/>
    <w:rsid w:val="004D0EE3"/>
    <w:rPr>
      <w:rFonts w:ascii="Courier New" w:hAnsi="Courier New" w:cs="Courier New"/>
      <w:lang w:val="" w:eastAsia=""/>
    </w:rPr>
  </w:style>
  <w:style w:type="paragraph" w:styleId="PlainText">
    <w:name w:val="Plain Text"/>
    <w:aliases w:val="Char Знак Знак Знак Знак Знак Знак Знак,Char Знак,Char Знак Знак,Char Знак Знак Знак Знак Знак Знак,Char Знак Знак Знак Знак Знак,Char Знак Знак Знак Знак Знак Знак Знак Знак Знак Знак Знак Знак"/>
    <w:basedOn w:val="Normal"/>
    <w:link w:val="PlainTextChar"/>
    <w:uiPriority w:val="99"/>
    <w:unhideWhenUsed/>
    <w:rsid w:val="004D0EE3"/>
    <w:pPr>
      <w:overflowPunct w:val="0"/>
      <w:autoSpaceDE w:val="0"/>
      <w:autoSpaceDN w:val="0"/>
      <w:adjustRightInd w:val="0"/>
    </w:pPr>
    <w:rPr>
      <w:rFonts w:ascii="Courier New" w:eastAsia="Calibri" w:hAnsi="Courier New" w:cs="Courier New"/>
    </w:rPr>
  </w:style>
  <w:style w:type="character" w:customStyle="1" w:styleId="PlainTextChar1">
    <w:name w:val="Plain Text Char1"/>
    <w:uiPriority w:val="99"/>
    <w:semiHidden/>
    <w:rsid w:val="004D0EE3"/>
    <w:rPr>
      <w:rFonts w:ascii="Courier New" w:eastAsia="Times New Roman" w:hAnsi="Courier New" w:cs="Courier New"/>
      <w:lang w:val="" w:eastAsia=""/>
    </w:rPr>
  </w:style>
  <w:style w:type="character" w:customStyle="1" w:styleId="WW8Num1z3">
    <w:name w:val="WW8Num1z3"/>
    <w:rsid w:val="004D0EE3"/>
  </w:style>
  <w:style w:type="paragraph" w:styleId="BalloonText">
    <w:name w:val="Balloon Text"/>
    <w:basedOn w:val="Normal"/>
    <w:link w:val="BalloonTextChar"/>
    <w:uiPriority w:val="99"/>
    <w:semiHidden/>
    <w:unhideWhenUsed/>
    <w:rsid w:val="00A3681D"/>
    <w:rPr>
      <w:rFonts w:ascii="Tahoma" w:hAnsi="Tahoma" w:cs="Tahoma"/>
      <w:sz w:val="16"/>
      <w:szCs w:val="16"/>
    </w:rPr>
  </w:style>
  <w:style w:type="character" w:customStyle="1" w:styleId="BalloonTextChar">
    <w:name w:val="Balloon Text Char"/>
    <w:link w:val="BalloonText"/>
    <w:uiPriority w:val="99"/>
    <w:semiHidden/>
    <w:rsid w:val="00A3681D"/>
    <w:rPr>
      <w:rFonts w:ascii="Tahoma" w:eastAsia="Times New Roman" w:hAnsi="Tahoma" w:cs="Tahoma"/>
      <w:sz w:val="16"/>
      <w:szCs w:val="16"/>
      <w:lang w:val="" w:eastAsia=""/>
    </w:rPr>
  </w:style>
  <w:style w:type="paragraph" w:styleId="Revision">
    <w:name w:val="Revision"/>
    <w:hidden/>
    <w:uiPriority w:val="99"/>
    <w:semiHidden/>
    <w:rsid w:val="008D4FFA"/>
    <w:rPr>
      <w:rFonts w:ascii="Times New Roman" w:eastAsia="Times New Roman" w:hAnsi="Times New Roman"/>
      <w:lang w:val="" w: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76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4678</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SPF/FOD Economie</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CRAVOTTA Cataldo</dc:creator>
  <cp:keywords/>
  <cp:lastModifiedBy>Proofreader</cp:lastModifiedBy>
  <cp:revision>2</cp:revision>
  <dcterms:created xsi:type="dcterms:W3CDTF">2019-05-08T06:42:00Z</dcterms:created>
  <dcterms:modified xsi:type="dcterms:W3CDTF">2019-05-08T06:42:00Z</dcterms:modified>
</cp:coreProperties>
</file>