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Στις:</w:t>
      </w:r>
      <w:r>
        <w:rPr>
          <w:sz w:val="16"/>
          <w:rFonts w:ascii="Verdana" w:hAnsi="Verdana"/>
        </w:rPr>
        <w:t xml:space="preserve"> </w:t>
      </w:r>
      <w:r>
        <w:rPr>
          <w:sz w:val="16"/>
          <w:rFonts w:ascii="Verdana" w:hAnsi="Verdana"/>
        </w:rPr>
        <w:t xml:space="preserve">15 Μαρτίου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Καταστατικό για τον κανονισμό των ενδιαμέσων μέσων ενημέρωσης δυνάμει του άρθρου 96 της κρατικής σύμβασης για τα μέσα μαζικής ενημέρωσης</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(Κανονισμός ΕΜ)</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της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Βάσει του άρθρου 96 πρόταση 1 της κρατικής σύμβασης για τα μέσα μαζικής ενημέρωσης (MStV) από τις 14 έως τις 28 Απριλίου 2020 (... παραπομπή), η [όνομα της ομοσπονδιακής αρχής μέσων μαζικής ενημέρωσης], σε συμφωνία με τις άλλες ομοσπονδιακές αρχές μέσων ενημέρωσης, θεσπίζει το ακόλουθο καταστατικό:</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Τμήμα 1:</w:t>
      </w:r>
      <w:r>
        <w:rPr>
          <w:b/>
          <w:sz w:val="22"/>
          <w:rFonts w:ascii="Calibri" w:hAnsi="Calibri"/>
        </w:rPr>
        <w:t xml:space="preserve"> </w:t>
      </w:r>
      <w:r>
        <w:rPr>
          <w:b/>
          <w:sz w:val="22"/>
          <w:rFonts w:ascii="Calibri" w:hAnsi="Calibri"/>
        </w:rPr>
        <w:t xml:space="preserve">Γενικές διατάξεις</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Άρθρο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Σκοπός</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Σύμφωνα με το άρθρο 96 MStV, το παρόν καταστατικό ρυθμίζει λεπτομέρειες σχετικά με την ουσιαστική και διαδικαστική προδιαγραφή των νομικών διατάξεων για τη ρύθμιση των ενδιαμέσων μέσων ενημέρωσης και των παρόχων ενδιαμέσων μέσων μαζικής ενημέρωσης (άρθρα 91 έως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Το εν λόγω καταστατικό διασφαλίζει την πολυφωνία (πολυφωνία της προσφοράς και του παρόχου).</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Ο καθοδηγητικός ρόλος των ενδιαμέσων μέσων ενημέρωσης για τις αντίστοιχες ομάδες χρηστών λαμβάνεται υπόψη κατά την εφαρμογή του παρόντος καταστατικού.</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Άρθρο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Πεδίο εφαρμογής</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Το πεδίο εφαρμογής του καταστατικού περιλαμβάνει τους ενδιάμεσους μέσων μαζικής ενημέρωσης, τους ενσωματωμένους ενδιάμεσους μέσων ενημέρωσης και τους παρόχους τους.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Ο όρος «ενσωματωμένος ενδιάμεσος μέσων μαζικής ενημέρωσης» κατ’ εφαρμογή του άρθρου 91 παράγραφος 1 MStV καλύπτει κάθε ενσωμάτωση ενδιάμεσης λειτουργίας στις προσφορές τρίτων, η οποία επιτρέπει στους χρήστες παροχών τρίτων να χρησιμοποιούν την ενδιάμεση λειτουργία.</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Ο αριθμός των χρηστών σύμφωνα με το άρθρο 91 παράγραφος 2 σημείο 1 MStV είναι το άθροισμα των μηνιαίων μοναδικών χρηστών.</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Εάν ο πάροχος ενδιαμέσου μέσων ενημέρωσης αναφέρεται στη ρύθμιση που προβλέπεται στο άρθρο 91 παράγραφος 2 σημείο 1 MStV, υποβάλλει και αιτιολογεί, κατόπιν αιτήματος της αρμόδιας ομοσπονδιακής αρχής μέσων ενημέρωσης, εντός ενός μηνός τον αριθμό των χρηστών και υποβάλλει τα έγγραφα και τις πληροφορίες που απαιτούνται για την εξέταση.</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Εάν η ενδιάμεση λειτουργία δεν έχει ακόμη παρασχεθεί ή έχει παρασχεθεί για διάστημα μικρότερο των έξι μηνών, ο πάροχος του ενδιαμέσου μέσων ενημέρωσης, κατόπιν αιτήματος της αρμόδιας ομοσπονδιακής αρχής μέσων ενημέρωσης, προβαίνει σε πρόβλεψη της εξέλιξης των αριθμών χρηστών κατά την έννοια του άρθρου 91 παράγραφος 2 σημείο 1 MStV, παρέχει αξιόπιστα αποδεικτικά στοιχεία και υποβάλλει επίσης τα έγγραφα και τις πληροφορίες που απαιτούνται για την εξέταση.</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Άρθρο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Εξουσιοδοτημένος αντιπρόσωπος</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Ο εξουσιοδοτημένος αντιπρόσωπος μπορεί να είναι φυσικό ή νομικό πρόσωπο.</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Τα φυσικά πρόσωπα πρέπει να έχουν την κατοικία ή τη συνήθη διαμονή τους και τα νομικά πρόσωπα πρέπει να έχουν την καταστατική τους έδρα στην Ομοσπονδιακή Δημοκρατία της Γερμανίας.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Πρέπει να αναφέρεται η διεύθυνση στην οποία μπορεί να επιδοθεί κλήτευση.</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Οι απαιτήσεις σύμφωνα με το άρθρο 92 παράγραφος 1 δεύτερη περίοδος MStV συνήθως τηρούνται, εάν ο εξουσιοδοτημένος αντιπρόσωπος ορίζεται εντός του πεδίου εφαρμογής των πληροφοριών που απαιτούνται από το άρθρο 5 παράγραφος 1 του νόμου για τα τηλεμέσα (TMG) και το άρθρο 18 παράγραφος 1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Τμήμα 2:</w:t>
      </w:r>
      <w:r>
        <w:rPr>
          <w:b/>
          <w:sz w:val="22"/>
          <w:rFonts w:ascii="Calibri" w:hAnsi="Calibri"/>
        </w:rPr>
        <w:t xml:space="preserve"> </w:t>
      </w:r>
      <w:r>
        <w:rPr>
          <w:b/>
          <w:sz w:val="22"/>
          <w:rFonts w:ascii="Calibri" w:hAnsi="Calibri"/>
        </w:rPr>
        <w:t xml:space="preserve">Διαφάνεια</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Άρθρο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Σκοπός</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Οι διατάξεις του παρόντος τμήματος έχουν στόχο να διασφαλίσουν τη δημιουργία της απαραίτητης διαφάνειας για τους χρήστες των ενδιαμέσων μέσων ενημέρωσης όσον αφορά τις πληροφορίες που αναφέρονται στο άρθρο 93 παράγραφος 1 MStV και το άρθρο 6 (πληροφορίες που πρέπει να καταστούν διαφανείς).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Συγκεκριμένα, το γεγονός αυτό θα επιτρέψει την ενημερωμένη χρήση του ενδιαμέσου μέσων ενημέρωσης όσον αφορά τη συγκέντρωση, επιλογή και παρουσίαση δημοσιογραφικού περιεχομένου.</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Απευθύνονται επίσης στους παρόχους δημοσιογραφικού περιεχομένου.</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Άρθρο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Τυπικές απαιτήσεις</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Οι πληροφορίες δυνάμει του άρθρου 93 παράγραφος 1 MStV, οι τροποποιήσεις δυνάμει του άρθρου 93 παράγραφος 3 του MStV και οι πληροφορίες δυνάμει του άρθρου 6 πρέπει να καθίστανται διαφανείς στη γερμανική γλώσσα.</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Οι πληροφορίες που πρέπει να καθίστανται διαφανείς είναι εύκολα αντιληπτές κατά την έννοια του άρθρου 93 MStV, εάν τοποθετούνται σε ευδιάκριτο σημείο για τον μέσο χρήστη, λαμβάνοντας υπόψη την τυπική κατάσταση χρήσης του ενδιαμέσου μέσων ενημέρωσης.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Αυτό συμβαίνει συνήθως εάν οι πληροφορίες που πρέπει να καταστούν διαφανείς είναι προφανώς διακριτές από το υπόλοιπο περιεχόμενο και σχετίζονται άμεσα με τις επιλογές εισόδου ή πλοήγησης που είναι απαραίτητες για τη χρήση του ενδιαμέσου μέσου.</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Κατά τη χρήση ενός διαδικτυακού συνδέσμου που αφορά τις πληροφορίες που πρέπει να καθίστανται διαφανείς, εφαρμόζονται αναλόγως οι ανωτέρω απαιτήσεις.</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Οι πληροφορίες που πρέπει να καθίστανται διαφανείς είναι άμεσα προσβάσιμες κατά την έννοια του άρθρου 93 MStV, εάν είναι αντιληπτές για τον χρήστη χωρίς σημαντικά ενδιάμεσα βήματα.</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Αυτό δεν ισχύει ιδίως εάν οι πληροφορίες είναι προσβάσιμες μέσω περισσότερων από δύο δικτυακών συνδέσμων και/ή η ανάκτηση των πληροφοριών εξαρτάται από προηγούμενη εγγραφή ή σύνδεση.</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Οι πληροφορίες που καθίστανται διαφανείς είναι πάντα διαθέσιμες κατά την έννοια του άρθρου 93 MStV, εάν ο χρήστης μπορεί να έχει ανά πάσα στιγμή πρόσβαση σε αυτές.</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Οι πληροφορίες που πρέπει να καθίστανται διαφανείς παρέχονται σε κατανοητή γλώσσα κατά την έννοια του άρθρου 93 MStV, εάν μπορούν να παρέχουν στον μέσο χρήστη τη βασική κατανόηση των περιστάσεων που αναφέρονται στο άρθρο 93 παράγραφος 1 MStV η οποία απαιτείται για την ενημερωμένη χρήση του ενδιαμέσου μέσων ενημέρωσης.</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Εάν η χρήση του ενδιαμέσου μέσων μαζικής ενημέρωσης είναι κυρίως φωνητική, οι πληροφορίες που πρέπει να καθίστανται διαφανείς θα πρέπει επίσης να αναπαράγονται ακουστικά, κατόπιν αιτήματος του χρήστη, και η ακουστική ένδειξη του σημείου παροχής των πληροφοριών που πρέπει να καταστούν διαφανείς πρέπει να είναι κατάλληλη.</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Άρθρο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Υποχρεώσεις ενημέρωσης</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Ο πάροχος ενδιαμέσου μέσων είναι υποχρεωμένος να καταστήσει διαφανή τα κριτήρια που καθορίζουν την πρόσβαση του περιεχομένου σε έναν ενδιάμεσο μέσων ενημέρωσης και τη διατήρηση του (άρθρο 93 παράγραφος 1 σημείο 1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Για τον σκοπό αυτόν, ο πάροχος ενδιαμέσου μέσων ενημέρωσης πρέπει να παρέχει ιδίως τις ακόλουθες πληροφορίες:</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Περιγραφή των τεχνικών, οικονομικών, συναφών με τους παρόχους, συναφών με τον χρήστη και συναφών με το περιεχόμενο συνθηκών που καθορίζουν αν το περιεχόμενο καθίσταται αντιληπτό μέσω ενδιαμέσου μέσου,</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στην περίπτωση που ορισμένα περιεχόμενα φιλτράρονται, υποβαθμίζονται ή αναβαθμίζονται όσον αφορά την αντιληπτότητά τους κατά την πρόσβαση και την παραμονή τους στον ενδιάμεσο μέσων, ιδίως επίσης μέσω της χρήσης αυτόματων συστημάτων, αναφέρεται η κατηγορία του οικείου περιεχομένου και των στόχων που επιδιώκονται από το φιλτράρισμα ή τη διαβάθμιση και</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πληροφορίες σχετικά με το εάν και, εάν ναι, πώς η πρόσβαση και η διατήρηση του περιεχομένου του ενδιαμέσου μέσων επηρεάζεται ή μπορεί να επηρεαστεί από πληρωμές ή άλλες άμεσες ή έμμεσες παροχές σε είδος</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Ο πάροχος ενδιαμέσου μέσων υποχρεούται σύμφωνα με το άρθρο 93 παράγραφος 1 σημείο 2 MStV να καθιστά διαφανή τα βασικά κριτήρια συγκέντρωσης, επιλογής και παρουσίασης του περιεχομένου και της στάθμισης τους, συμπεριλαμβανομένων πληροφοριών για τη λειτουργία των χρησιμοποιούμενων αλγορίθμων.</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Για τον σκοπό αυτόν, ο πάροχος ενδιαμέσου μέσων ενημέρωσης πρέπει να παρέχει ιδίως τις ακόλουθες πληροφορίες:</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περιγραφή των βασικών κριτηρίων συγκέντρωσης, επιλογής και παρουσίασης που χρησιμοποιεί ο πάροχος ενδιαμέσου μέσων ενημέρωσης,</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περιγραφή της σχετικής στάθμισης των βασικών κριτηρίων σε σχέση μεταξύ τους και σε σχέση με τα μη βασικά κριτήρια, χωρίς να καθίστανται διαφανή τα τελευταία,</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περιγραφή των στόχων βελτιστοποίησης που επιδιώκονται με τα βασικά κριτήρια,</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πληροφορίες σχετικά με το εάν και, εάν ναι, πώς η δυνατότητα εύρεσης περιεχομένου στον ενδιάμεσο μέσων επηρεάζεται ή μπορεί να επηρεαστεί από την πληρωμή τελών ή από άλλες άμεσες ή έμμεσες αμοιβές,</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περιγραφή των βασικών βημάτων της διαδικασίας στην οποία βασίζεται η συγκέντρωση, η επιλογή και η παρουσίαση του περιεχομένου, συμπεριλαμβανομένων των προσωπικών και άλλων δεδομένων που περιλαμβάνονται στη συγκέντρωση, την επιλογή και την παρουσίαση,</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πληροφορίες σχετικά με τον τύπο και την έκταση της εξατομίκευσης που χρησιμοποιείται και εάν και, εάν ναι, πώς αξιολογείται το περιεχόμενο σε σχέση με τον αντίστοιχο χρήστη,</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πληροφορίες σχετικά με το εάν και, εάν ναι, πώς η συμπεριφορά των χρηστών στον ενδιάμεσο μέσων μπορεί να επηρεάσει τη συγκέντρωση, την επιλογή και την παρουσίαση του περιεχομένου, συμπεριλαμβανομένων ενδείξεων σχετικά με τις δυνατότητες επιρροής που έχει στη διάθεσή του ο χρήστης μέσω ρυθμίσεων και μερικών λειτουργιών και</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πληροφορίες σχετικά με το εάν και, εάν ναι, πώς ο πάροχος ενδιαμέσου μέσων χειρίζεται το περιεχόμενό του, το περιεχόμενο συνδεδεμένης εταιρείας [άρθρο 15 του νόμου περί ανωνύμων εταιρειών (AktG)] ή το περιεχόμενο εταίρων με ειδικό τρόπο κατά τη διάρκεια της συγκέντρωσης, της επιλογής και/ή της παρουσίασης.</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Οι σημαντικές τροποποιήσεις των κριτηρίων που πρέπει να καθίστανται διαφανείς σύμφωνα με το άρθρο 93 παράγραφος 1 MStV γίνονται αμέσως αντιληπτές.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Για τον σκοπό αυτόν, ο πάροχος ενδιαμέσου μέσων διαθέτει επισκόπηση των σημαντικών μεταβολών που επήλθαν με την πάροδο του χρόνου.</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Όλες οι άλλες τροποποιήσεις των κριτηρίων που πρέπει να καθίστανται διαφανείς σύμφωνα με το άρθρο 93 παράγραφος 1 MStV γνωστοποιούνται τουλάχιστον κάθε τέσσερις μήνες από την έναρξη ισχύος του παρόντος καταστατικού.</w:t>
      </w:r>
      <w:r>
        <w:rPr>
          <w:sz w:val="22"/>
          <w:rFonts w:ascii="Calibri" w:hAnsi="Calibri"/>
        </w:rPr>
        <w:t xml:space="preserve"> </w:t>
      </w:r>
      <w:r>
        <w:rPr>
          <w:sz w:val="22"/>
          <w:rFonts w:ascii="Calibri" w:hAnsi="Calibri"/>
        </w:rPr>
        <w:t xml:space="preserve">Το άρθρο 5 εφαρμόζεται αναλόγως.</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Τμήμα 3:</w:t>
      </w:r>
      <w:r>
        <w:rPr>
          <w:b/>
          <w:sz w:val="22"/>
          <w:rFonts w:ascii="Calibri" w:hAnsi="Calibri"/>
        </w:rPr>
        <w:t xml:space="preserve"> </w:t>
      </w:r>
      <w:r>
        <w:rPr>
          <w:b/>
          <w:sz w:val="22"/>
          <w:rFonts w:ascii="Calibri" w:hAnsi="Calibri"/>
        </w:rPr>
        <w:t xml:space="preserve">Απαγόρευση των διακρίσεων</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Άρθρο 7.</w:t>
      </w:r>
      <w:r>
        <w:rPr>
          <w:b/>
          <w:sz w:val="22"/>
          <w:rFonts w:ascii="Calibri" w:hAnsi="Calibri"/>
        </w:rPr>
        <w:tab/>
      </w:r>
      <w:r>
        <w:rPr>
          <w:b/>
          <w:sz w:val="22"/>
          <w:rFonts w:ascii="Calibri" w:hAnsi="Calibri"/>
        </w:rPr>
        <w:t xml:space="preserve">Γενικές διατάξεις</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Η υποχρέωση ενός ενδιαμέσου μέσων ενημέρωσης σύμφωνα με το άρθρο 94 παράγραφος 1 MStV περιλαμβάνει επίσης μέρη και συμβολές δημοσιογραφικής παροχής που μπορούν να καθοριστούν.</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Για τον καθορισμό μιας ιδιαίτερα υψηλής επιρροής κατά την έννοια του άρθρου 94 παράγραφος 1 MStV, η επιρροή του ενδιαμέσου μέσων ενημέρωσης στην αντιληπτότητα του δημοσιογραφικού περιεχομένου στο πλαίσιο της διαδικασίας διαμόρφωσης γνώμης είναι καθοριστική.</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Η αξιολόγηση λαμβάνει υπόψη ιδίως</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τη θέση του ενδιαμέσου μέσων ενημέρωσης στις αντίστοιχες συναφείς αγορές·</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τη συνολική εικόνα χρήσης, π.χ. βάσει του διαθέσιμου εύρους χρήσης, των αριθμών χρηστών, της διάρκειας και της δραστηριότητας των χρηστών ή του αριθμού των προβολών ανά χρήστη.</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Άρθρο 8.</w:t>
      </w:r>
      <w:r>
        <w:rPr>
          <w:b/>
          <w:sz w:val="22"/>
          <w:rFonts w:ascii="Calibri" w:hAnsi="Calibri"/>
        </w:rPr>
        <w:tab/>
      </w:r>
      <w:r>
        <w:rPr>
          <w:b/>
          <w:sz w:val="22"/>
          <w:rFonts w:ascii="Calibri" w:hAnsi="Calibri"/>
        </w:rPr>
        <w:t xml:space="preserve">Συστημική απόκλιση σύμφωνα με το άρθρο 94 παράγραφος 2, πρώτη εναλλακτική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Αποφασιστικής σημασίας για την εκτίμηση του κατά πόσον υφίσταται παράβαση του άρθρου 94 παράγραφος 2 πρώτη εναλλακτική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είναι τα κριτήρια και οι πληροφορίες σχετικά με τη στάθμιση των κριτηρίων που δημοσιεύει ο ενδιάμεσος μέσων για την εκπλήρωση της υποχρέωσής του σύμφωνα με το άρθρο 93 παράγραφος 1 MStV ή</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τα κριτήρια και οι πληροφορίες σχετικά με τη στάθμιση των κριτηρίων που θα έπρεπε να δημοσιεύσει ο ενδιάμεσος μέσων για την εκπλήρωση της υποχρέωσής του σύμφωνα με το άρθρο 93 παράγραφος 1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Θεωρείται ότι υπάρχει παρέκκλιση κατά την έννοια του άρθρου 94 παράγραφος 2, πρώτη εναλλακτική MStV, ιδίως εάν ο πάροχος ενδιαμέσου μέσων</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δεν εφαρμόζει τα δημοσιευμένα κριτήρια ή κριτήρια πλην εκείνων που δημοσιεύονται σύμφωνα με το άρθρο 93 παράγραφος 1 σημεία 1 και 2 MStV, ή</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αποκλίνει από τη δημοσιευμένη στάθμιση των βασικών κριτηρίων συγκέντρωσης, επιλογής και παρουσίασης του περιεχομένου.</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Ο συστηματικός χαρακτήρας της παρέκκλισης κατά την έννοια του άρθρου 94 παράγραφος 2, πρώτη εναλλακτική MStV είναι συστηματική, καθορίζεται βάσει συνολικής θεώρησης όλων των περιστάσεων.</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Ειδικότερα, λαμβάνεται υπόψη η διάρκεια, η κανονικότητα, η επανάληψη και ο προγραμματισμός της παρέκκλισης .</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Παρέκκλιση δικαιολογείται εάν οφείλεται σε αντικειμενική αιτιολογία.</w:t>
      </w:r>
      <w:r>
        <w:rPr>
          <w:sz w:val="22"/>
          <w:rFonts w:ascii="Calibri" w:hAnsi="Calibri"/>
        </w:rPr>
        <w:t xml:space="preserve"> </w:t>
      </w:r>
      <w:r>
        <w:rPr>
          <w:sz w:val="22"/>
          <w:rFonts w:ascii="Calibri" w:hAnsi="Calibri"/>
        </w:rPr>
        <w:t xml:space="preserve">Οι λόγοι μπορεί να είναι ιδίως</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νομικές απαγορεύσεις ή νομικές υποχρεώσεις·</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τεχνικοί όροι κατά την παρουσίαση στον χρήστη·</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απαιτήσεις για την προστασία της ακεραιότητας της υπηρεσίας.</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Το κατά πόσον υπάρχει αντικειμενική αιτιολογία αξιολογείται μετά τη στάθμιση των συμφερόντων των εμπλεκομένων μερών, λαμβάνοντας υπόψη τον στόχο του MStV για τη διασφάλιση της πολυφωνίας.</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Άρθρο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Αδικαιολόγητη παρεμπόδιση σύμφωνα με το άρθρο 94 παράγραφος 2, δεύτερη εναλλακτική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Παρεμπόδιση κατά την έννοια του άρθρου 94 παράγραφος 2, δεύτερη εναλλακτική MStV είναι η άμεση ή έμμεση αδυναμία όσον αφορά την πρόσβαση σε δημοσιογραφική παροχή ή τη δυνατότητα εύρεσης αυτής.</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Το άρθρο 8 παράγραφος 1 εφαρμόζεται αναλόγως.</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Ο συστηματικός χαρακτήρας της παρεμπόδισης κατά την έννοια του άρθρου 94 παράγραφος 2, δεύτερη εναλλακτική MStV προσδιορίζεται βάσει συνολικής θεώρησης όλων των περιστάσεων.</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Πρέπει να λαμβάνονται υπόψη η διάρκεια, η κανονικότητα, η επανάληψη και η κανονικότητα της παρεμπόδισης.</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Το αδικαιολόγητο της παρεμπόδισης αξιολογείται βάσει στάθμισης των συμφερόντων των μερών, λαμβάνοντας υπόψη τον στόχο της σύμβασης MStV για τη διασφάλιση της πολυφωνίας.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Το αδικαιολόγητο της παρεμπόδισης μπορεί να προκύψει από μεμονωμένα κριτήρια ή από σωρευτική αλληλεπίδραση διάφορων κριτηρίων.</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Τμήμα 4:</w:t>
      </w:r>
      <w:r>
        <w:rPr>
          <w:b/>
          <w:sz w:val="22"/>
          <w:rFonts w:ascii="Calibri" w:hAnsi="Calibri"/>
        </w:rPr>
        <w:t xml:space="preserve"> </w:t>
      </w:r>
      <w:r>
        <w:rPr>
          <w:b/>
          <w:sz w:val="22"/>
          <w:rFonts w:ascii="Calibri" w:hAnsi="Calibri"/>
        </w:rPr>
        <w:t xml:space="preserve">Διαδικασία και έρευνα</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Άρθρο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Αρμοδιότητα της επιτροπής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Για τα καθήκοντα που πρέπει να ασκούνται στο πλαίσιο του παρόντος καταστατικού, το αρμόδιο όργανο είναι η Επιτροπή Αδειοδότησης και Εποπτείας (ZAK) της αρμόδιας ομοσπονδιακής αρχής για τα μέσα μαζικής ενημέρωσης (άρθρο 104 παράγραφος 2 πρόταση 1 αριθ. 1, άρθρο 105 παράγραφος 1 πρόταση 1 αριθ. 10 MStV σε συνδυασμό με τον κανονισμό της επιτροπής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Η αρμόδια ομοσπονδιακή αρχή για τα μέσα μαζικής ενημέρωσης διαβιβάζει αμέσως καταγγελίες στην ZAK μέσω του κοινού γραφείου σύμφωνα με το άρθρο 11 και την ενημερώνει για τους αυτεπάγγελτους ελέγχους.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Η ZAK διεξάγει τη διαδικασία μέχρι την έκδοση απόφασης.</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Άρθρο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Διαδικασία που δεν συνεπάγεται διακρίσεις</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Η αρμόδια ομοσπονδιακή αρχή για τα μέσα μαζικής ενημέρωσης εξετάζει μέσω της ZAK, βάσει καταγγελίας ή σε προφανείς αυτεπάγγελτες υποθέσεις, εάν ο πάροχος ενδιαμέσου μέσων ενημέρωσης παραβιάζει τις διατάξεις του άρθρου 94 παράγραφοι 1 και 2 της MStV ή των άρθρων 8 και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Δικαίωμα προσφυγής κατά την έννοια του άρθρου 94 παράγραφος 3 πρόταση 1 MStV εκχωρείται σε</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παρόχους δημοσιογραφικού περιεχομένου και</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παρόχους πλατφορμών μέσων ενημέρωσης και διεπαφών χρηστών, εφόσον καταγγέλλουν διακρίσεις εις βάρος των πακέτων δημοσιογραφικού περιεχομένου που παρέχουν.</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Ο καταγγέλλων αιτιολογεί την προσφυγή του.</w:t>
      </w:r>
      <w:r>
        <w:rPr>
          <w:sz w:val="22"/>
          <w:rFonts w:ascii="Calibri" w:hAnsi="Calibri"/>
        </w:rPr>
        <w:t xml:space="preserve"> </w:t>
      </w:r>
      <w:r>
        <w:rPr>
          <w:sz w:val="22"/>
          <w:rFonts w:ascii="Calibri" w:hAnsi="Calibri"/>
        </w:rPr>
        <w:t xml:space="preserve">Για τον σκοπό αυτό, προσκομίζονται κατάλληλα στοιχεία από τα οποία προκύπτουν επαρκείς αποδείξεις για την εικαζόμενη διάκριση εις βάρος του δημοσιογραφικού περιεχομένου κατά την έννοια του άρθρου 94 παράγραφος 2 MStV ή των άρθρων 8 και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Ειδικότερα, υποβάλλονται τα εξής:</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αξιολογήσεις της δυνατότητας εύρεσης του δημοσιογραφικού περιεχομένου του ενδιαμέσου μέσων ενημέρωσης και</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κατάλληλες μελέτες.</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Επιπλέον, ο καταγγέλλων προσκομίζει, εφόσον είναι δυνατόν, κατάλληλες αποδείξεις από τις οποίες προκύπτουν επαρκή αποδεικτικά στοιχεία για την ιδιαίτερα υψηλή επιρροή του ενδιαμέσου μέσων ενημέρωσης στην αντιληπτότητα του δημοσιογραφικού περιεχομένου κατά την έννοια του άρθρου 94 παράγραφος 1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Υπάρχει προφανής περίπτωση σύμφωνα με το άρθρο 94 παράγραφος 3 πρότασης 2 MStV και παράγραφος 1, εάν τα πραγματικά περιστατικά της παραβίασης της απαγόρευσης διακρίσεων είναι σαφώς αναγνωρίσιμα για τρίτα μέρη.</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Άρθρο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Διόρθωση</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Αν η αρμόδια ομοσπονδιακή αρχή μέσων μαζικής ενημέρωσης διαπιστώσει μέσω της ZAK ότι ο πάροχος ενδιαμέσου μέσων ενημέρωσης παραβιάζει τα άρθρα 92 έως 94 MStV ή διατάξεις του παρόντος καταστατικού, ο πάροχος του ενδιαμέσου μέσων ενημέρωσης διορθώνει τον ενδιάμεσο μέσων ενημέρωσης.</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Ο πάροχος του ενδιαμέσου μέσων ενημέρωσης υποχρεούται να προσκομίσει αποδεικτικά στοιχεία της διόρθωσης στην αρμόδια ομοσπονδιακή αρχή μέσων μαζικής ενημέρωσης με κατάλληλο και κατανοητό τρόπο.</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Άρθρο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Ενημέρωση και υποβολή εγγράφων</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Για τη διαπίστωση πιθανής παράβασης, ο πάροχος ενδιαμέσου μέσων ενημέρωσης υποχρεούται να παρέχει όλες τις απαραίτητες πληροφορίες, να διαθέτει πληροφορίες και να υποβάλλει έγγραφα.</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Η αρμόδια ομοσπονδιακή αρχή για τα μέσα μαζικής ενημέρωσης μπορεί ειδικότερα να</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απαιτήσει την υποβολή όλων των εγγράφων που αποδεικνύουν τα κριτήρια κατά την έννοια του άρθρου 93 παράγραφος 1 σημείο 1 MStV ή των βασικών κριτηρίων και της στάθμισής τους, καθώς και της λειτουργίας των χρησιμοποιούμενων αλγορίθμων κατά την έννοια του άρθρου 93 παράγραφος 1 σημείο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να ακούσει ως μάρτυρες τους εργαζόμενους του παρόχου ενδιαμέσου μέσων ενημέρωσης που συμμετέχουν στον ορισμό, την τεχνική εφαρμογή και την τροποποίηση των κριτηρίων κατά την έννοια του άρθρου 93 παράγραφος 1 σημείο 1 MStV ή των βασικών κριτηρίων και της στάθμισής τους, καθώς και των χρησιμοποιούμενων αλγορίθμων κατά την έννοια του άρθρου 93 παράγραφος 1 σημείο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να απαιτήσει από τον πάροχο ενδιαμέσου μέσων ενημέρωσης υπεύθυνη δήλωση σχετικά με τις πληροφορίες που πρέπει να καθίστανται διαφανείς σύμφωνα με το άρθρο 93 παράγραφος 1 MStV και το άρθρο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απαιτήσει την υποβολή συμβατικών συμφωνιών, δεσμεύσεων ή άλλων υποχρεώσεων που σχετίζονται αντικειμενικά με την πρόσβαση και τη διατήρηση του περιεχομένου στον ενδιάμεσο μέσων ενημέρωσης, ιδίως εφόσον αφορούν την ενσωμάτωση, παρουσίαση και διατήρηση δημοσιογραφικού περιεχομένου.</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Κατά την υποβολή των εγγράφων που αναφέρονται στην παράγραφο 1, ο ενδιάμεσος μέσων ενημέρωσης επισημαίνει τα τμήματα των εγγράφων που περιέχουν επιχειρηματικά ή εμπορικά απόρρητα.</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Σε αυτή την περίπτωση, πρέπει επίσης να υποβάλει έκδοση η οποία, από την άποψη τους, μπορεί να εξεταστεί από τρίτα μέρη χωρίς να αποκαλύπτονται επιχειρηματικά ή εμπορικά μυστικά.</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Εάν αυτό δεν συμβεί, η ομοσπονδιακή αρχή μέσων μαζικής ενημέρωσης μπορεί να λάβει άδεια ελέγχου, εκτός εάν γνωρίζει ειδικές περιστάσεις που δεν δικαιολογούν μια τέτοια υπόθεση.</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Αν η ομοσπονδιακή αρχή μέσων ενημέρωσης θεωρεί αδικαιολόγητη την επισήμανση των εγγράφων ως εμπορικά ή επιχειρηματικά μυστικά, πρέπει να παρέχει στον πάροχο τη δυνατότητα σχολιασμού πριν αποφασίσει αν θα χορηγήσει πρόσβαση σε τρίτα μέρη.</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Τμήμα 5:</w:t>
      </w:r>
      <w:r>
        <w:rPr>
          <w:b/>
          <w:sz w:val="22"/>
          <w:rFonts w:ascii="Calibri" w:hAnsi="Calibri"/>
        </w:rPr>
        <w:t xml:space="preserve"> </w:t>
      </w:r>
      <w:r>
        <w:rPr>
          <w:b/>
          <w:sz w:val="22"/>
          <w:rFonts w:ascii="Calibri" w:hAnsi="Calibri"/>
        </w:rPr>
        <w:t xml:space="preserve">Τελικές διατάξεις</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Άρθρο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Αξιολόγηση</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Η ZAK επανεξετάζει το παρόν καταστατικό τουλάχιστον ανά τριετία, λαμβάνοντας ιδίως υπόψη</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την εμπειρία που έχει αποκτηθεί από την πρακτική εφαρμογή του παρόντος καταστατικού·</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τις τεχνικές και οικονομικές εξελίξεις στον ρυθμιστικό τομέα·</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τη σημασία των μεμονωμένων ενδιαμέσων μέσων ενημέρωσης για τη διαμόρφωση της κοινής γνώμης·</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τις συν-ρυθμιστικές εξελίξεις, όπως οι δεσμεύσεις σε επίπεδο κλάδου·</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την ανάπτυξη της έρευνας για τη διαφάνεια και τις διακρίσεις·</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την ανάπτυξη της έρευνας και της επιστήμης στον τομέα της ανάλυσης δεδομένων, της τεχνητής νοημοσύνης και της μηχανικής μάθησης.</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Άρθρο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Έναρξη ισχύος</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Το παρόν καταστατικό τίθεται σε ισχύ την 1η Σεπτεμβρίου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Εάν, έως τις 31 Αυγούστου 2021, τα αντίστοιχα καταστατικά δεν έχουν θεσπιστεί και δημοσιευθεί από όλες τις ομοσπονδιακές αρχές μέσων ενημέρωσης, το παρόν καταστατικό καθίσταται ανίσχυρο.</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Ο πρόεδρος της Διάσκεψης των Διευθυντών των Ομοσπονδιακών Αρχών Μέσων Ενημέρωσης (DLM) δημοσιεύει στο διαδίκτυο υπό τον γενικό τίτλο «die medienanstalten» εάν όλες οι ομοσπονδιακές αρχές μέσων ενημέρωσης έχουν θεσπίσει και δημοσιεύσει αντίστοιχα καταστατικά εντός της προθεσμίας που ορίζεται στην πρόταση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Κοινοποιήθηκε σύμφωνα με την οδηγία (ΕΕ) 2015/1535 του Ευρωπαϊκού Κοινοβουλίου και του Συμβουλίου, της 9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17.9.2015, σ.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el-GR"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