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E60BC" w14:textId="77777777" w:rsidR="00251322" w:rsidRPr="00FC0D01" w:rsidRDefault="00251322" w:rsidP="00251322">
      <w:pPr>
        <w:spacing w:before="120" w:line="320" w:lineRule="exact"/>
        <w:rPr>
          <w:rFonts w:ascii="Verdana" w:hAnsi="Verdana"/>
          <w:sz w:val="16"/>
          <w:szCs w:val="16"/>
        </w:rPr>
      </w:pPr>
      <w:r>
        <w:rPr>
          <w:rFonts w:ascii="Verdana" w:hAnsi="Verdana"/>
          <w:sz w:val="16"/>
        </w:rPr>
        <w:t>Na dzień: 15 marca 2021 r.</w:t>
      </w:r>
    </w:p>
    <w:p w14:paraId="6481F14C" w14:textId="77777777" w:rsidR="002C21BC" w:rsidRPr="00B93BDE" w:rsidRDefault="009C24A4">
      <w:pPr>
        <w:rPr>
          <w:rFonts w:ascii="Calibri" w:hAnsi="Calibri"/>
          <w:sz w:val="22"/>
          <w:szCs w:val="22"/>
        </w:rPr>
      </w:pPr>
      <w:r>
        <w:rPr>
          <w:rFonts w:ascii="Calibri" w:hAnsi="Calibri"/>
          <w:sz w:val="22"/>
        </w:rPr>
        <w:t>__________________________________________________________________________________</w:t>
      </w:r>
    </w:p>
    <w:p w14:paraId="6812EB1D" w14:textId="77777777" w:rsidR="009C24A4" w:rsidRPr="009C24A4" w:rsidRDefault="009C24A4" w:rsidP="003564B3">
      <w:pPr>
        <w:autoSpaceDE w:val="0"/>
        <w:autoSpaceDN w:val="0"/>
        <w:adjustRightInd w:val="0"/>
        <w:spacing w:line="276" w:lineRule="auto"/>
        <w:jc w:val="center"/>
        <w:rPr>
          <w:rFonts w:ascii="Calibri" w:hAnsi="Calibri"/>
          <w:sz w:val="22"/>
          <w:szCs w:val="22"/>
        </w:rPr>
      </w:pPr>
    </w:p>
    <w:p w14:paraId="38D2B710" w14:textId="77777777" w:rsidR="008C60A0" w:rsidRPr="008C60A0" w:rsidRDefault="00D87095" w:rsidP="003564B3">
      <w:pPr>
        <w:spacing w:line="276" w:lineRule="auto"/>
        <w:jc w:val="center"/>
        <w:rPr>
          <w:rFonts w:ascii="Calibri" w:eastAsia="Calibri" w:hAnsi="Calibri"/>
          <w:b/>
          <w:sz w:val="22"/>
          <w:szCs w:val="22"/>
        </w:rPr>
      </w:pPr>
      <w:r>
        <w:rPr>
          <w:rFonts w:ascii="Calibri" w:hAnsi="Calibri"/>
          <w:b/>
          <w:sz w:val="22"/>
        </w:rPr>
        <w:t>Statut dotyczący Rozporządzenia o pośrednikach medialnych na podstawie art. 96 Umowy państwowej w sprawie mediów</w:t>
      </w:r>
    </w:p>
    <w:p w14:paraId="06C5C080" w14:textId="77777777" w:rsidR="008C60A0" w:rsidRPr="008C60A0" w:rsidRDefault="008C60A0" w:rsidP="003564B3">
      <w:pPr>
        <w:spacing w:line="276" w:lineRule="auto"/>
        <w:jc w:val="center"/>
        <w:rPr>
          <w:rFonts w:ascii="Calibri" w:eastAsia="Calibri" w:hAnsi="Calibri"/>
          <w:b/>
          <w:sz w:val="22"/>
          <w:szCs w:val="22"/>
        </w:rPr>
      </w:pPr>
      <w:r>
        <w:rPr>
          <w:rFonts w:ascii="Calibri" w:hAnsi="Calibri"/>
          <w:b/>
          <w:sz w:val="22"/>
        </w:rPr>
        <w:br/>
        <w:t>(Statut MI)</w:t>
      </w:r>
    </w:p>
    <w:p w14:paraId="6B76A040" w14:textId="77777777" w:rsidR="008C60A0" w:rsidRPr="008C60A0" w:rsidRDefault="008C60A0" w:rsidP="003564B3">
      <w:pPr>
        <w:spacing w:line="276" w:lineRule="auto"/>
        <w:jc w:val="center"/>
        <w:rPr>
          <w:rFonts w:ascii="Calibri" w:eastAsia="Calibri" w:hAnsi="Calibri"/>
          <w:b/>
          <w:sz w:val="22"/>
          <w:szCs w:val="22"/>
        </w:rPr>
      </w:pPr>
      <w:r>
        <w:rPr>
          <w:rFonts w:ascii="Calibri" w:hAnsi="Calibri"/>
          <w:sz w:val="22"/>
        </w:rPr>
        <w:br/>
      </w:r>
      <w:r>
        <w:rPr>
          <w:rFonts w:ascii="Calibri" w:hAnsi="Calibri"/>
          <w:b/>
          <w:sz w:val="22"/>
        </w:rPr>
        <w:t>z dnia …</w:t>
      </w:r>
    </w:p>
    <w:p w14:paraId="40EEA878" w14:textId="77777777" w:rsidR="008C60A0" w:rsidRPr="008C60A0" w:rsidRDefault="008C60A0" w:rsidP="003564B3">
      <w:pPr>
        <w:spacing w:line="276" w:lineRule="auto"/>
        <w:jc w:val="center"/>
        <w:rPr>
          <w:rFonts w:ascii="Calibri" w:eastAsia="Calibri" w:hAnsi="Calibri"/>
          <w:sz w:val="22"/>
          <w:szCs w:val="22"/>
          <w:lang w:eastAsia="en-US"/>
        </w:rPr>
      </w:pPr>
    </w:p>
    <w:p w14:paraId="1EC1C8C1" w14:textId="77777777" w:rsidR="008C60A0" w:rsidRPr="008C60A0" w:rsidRDefault="008C60A0" w:rsidP="003564B3">
      <w:pPr>
        <w:spacing w:line="276" w:lineRule="auto"/>
        <w:rPr>
          <w:rFonts w:ascii="Calibri" w:eastAsia="Calibri" w:hAnsi="Calibri"/>
          <w:bCs/>
          <w:sz w:val="22"/>
          <w:szCs w:val="22"/>
        </w:rPr>
      </w:pPr>
      <w:r>
        <w:rPr>
          <w:rFonts w:ascii="Calibri" w:hAnsi="Calibri"/>
          <w:sz w:val="22"/>
        </w:rPr>
        <w:t>Na podstawie § 96 zdanie 1 Umowy państwowej w sprawie mediów (MStV) z dnia 14 do 28 kwietnia 2020 r. (... odniesienie) [nazwa federalnego państwowego organu medialnego] w porozumieniu z innymi federalnymi państwowymi organami medialnymi uchwala niniejszym następujący statut:</w:t>
      </w:r>
    </w:p>
    <w:p w14:paraId="0B3F60B2" w14:textId="77777777" w:rsidR="00D87095" w:rsidRPr="00D87095" w:rsidRDefault="00D87095" w:rsidP="00D87095">
      <w:pPr>
        <w:spacing w:line="276" w:lineRule="auto"/>
        <w:rPr>
          <w:rFonts w:ascii="Calibri" w:eastAsia="Calibri" w:hAnsi="Calibri"/>
          <w:sz w:val="22"/>
          <w:szCs w:val="22"/>
          <w:lang w:eastAsia="en-US"/>
        </w:rPr>
      </w:pPr>
    </w:p>
    <w:p w14:paraId="196D3235"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Sekcja 1: Przepisy ogólne</w:t>
      </w:r>
    </w:p>
    <w:p w14:paraId="0D2BCECF" w14:textId="77777777" w:rsidR="00D87095" w:rsidRPr="00D87095" w:rsidRDefault="00D87095" w:rsidP="00D87095">
      <w:pPr>
        <w:spacing w:line="276" w:lineRule="auto"/>
        <w:jc w:val="center"/>
        <w:rPr>
          <w:rFonts w:ascii="Calibri" w:eastAsia="Calibri" w:hAnsi="Calibri"/>
          <w:b/>
          <w:sz w:val="22"/>
          <w:szCs w:val="22"/>
          <w:lang w:eastAsia="en-US"/>
        </w:rPr>
      </w:pPr>
    </w:p>
    <w:p w14:paraId="64A98D79"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 1</w:t>
      </w:r>
    </w:p>
    <w:p w14:paraId="57A55696"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Cel i założenia</w:t>
      </w:r>
    </w:p>
    <w:p w14:paraId="7CF7AD74" w14:textId="77777777" w:rsidR="00D87095" w:rsidRPr="00D87095" w:rsidRDefault="00D87095" w:rsidP="00D87095">
      <w:pPr>
        <w:spacing w:line="276" w:lineRule="auto"/>
        <w:rPr>
          <w:rFonts w:ascii="Calibri" w:eastAsia="Calibri" w:hAnsi="Calibri"/>
          <w:sz w:val="22"/>
          <w:szCs w:val="22"/>
          <w:lang w:eastAsia="en-US"/>
        </w:rPr>
      </w:pPr>
    </w:p>
    <w:p w14:paraId="44C629BC" w14:textId="77777777" w:rsidR="00D87095" w:rsidRPr="00D87095" w:rsidRDefault="00D87095" w:rsidP="00D87095">
      <w:pPr>
        <w:spacing w:line="276" w:lineRule="auto"/>
        <w:rPr>
          <w:rFonts w:ascii="Calibri" w:eastAsia="Calibri" w:hAnsi="Calibri"/>
          <w:sz w:val="22"/>
          <w:szCs w:val="22"/>
        </w:rPr>
      </w:pPr>
      <w:r>
        <w:rPr>
          <w:rFonts w:ascii="Calibri" w:hAnsi="Calibri"/>
          <w:sz w:val="22"/>
        </w:rPr>
        <w:t>(1) Zgodnie z § 96 MStV statut ten reguluje szczegóły dotyczące merytorycznego i proceduralnego doprecyzowania przepisów prawnych dotyczących regulacji pośredników medialnych i operatorów pośredników medialnych (§§ 91 do 95 MStV).</w:t>
      </w:r>
    </w:p>
    <w:p w14:paraId="013BEF09" w14:textId="77777777" w:rsidR="00D87095" w:rsidRDefault="00D87095" w:rsidP="00D87095">
      <w:pPr>
        <w:spacing w:line="276" w:lineRule="auto"/>
        <w:rPr>
          <w:rFonts w:ascii="Calibri" w:eastAsia="Calibri" w:hAnsi="Calibri"/>
          <w:sz w:val="22"/>
          <w:szCs w:val="22"/>
          <w:lang w:eastAsia="en-US"/>
        </w:rPr>
      </w:pPr>
    </w:p>
    <w:p w14:paraId="734DE8A9" w14:textId="77777777" w:rsidR="00D87095" w:rsidRDefault="00D87095" w:rsidP="00D87095">
      <w:pPr>
        <w:spacing w:line="276" w:lineRule="auto"/>
        <w:rPr>
          <w:rFonts w:ascii="Calibri" w:eastAsia="Calibri" w:hAnsi="Calibri"/>
          <w:sz w:val="22"/>
          <w:szCs w:val="22"/>
        </w:rPr>
      </w:pPr>
      <w:r>
        <w:rPr>
          <w:rFonts w:ascii="Calibri" w:hAnsi="Calibri"/>
          <w:sz w:val="22"/>
        </w:rPr>
        <w:t>(2) Statut ten ma na celu zapewnienie różnorodności opinii (różnorodności ofert i usługodawców).</w:t>
      </w:r>
    </w:p>
    <w:p w14:paraId="0EE384AC" w14:textId="77777777" w:rsidR="00D87095" w:rsidRPr="00D87095" w:rsidRDefault="00D87095" w:rsidP="00D87095">
      <w:pPr>
        <w:spacing w:line="276" w:lineRule="auto"/>
        <w:rPr>
          <w:rFonts w:ascii="Calibri" w:eastAsia="Calibri" w:hAnsi="Calibri"/>
          <w:sz w:val="22"/>
          <w:szCs w:val="22"/>
          <w:lang w:eastAsia="en-US"/>
        </w:rPr>
      </w:pPr>
    </w:p>
    <w:p w14:paraId="49658171" w14:textId="77777777" w:rsidR="00D87095" w:rsidRPr="00D87095" w:rsidRDefault="00D87095" w:rsidP="00D87095">
      <w:pPr>
        <w:spacing w:line="276" w:lineRule="auto"/>
        <w:rPr>
          <w:rFonts w:ascii="Calibri" w:eastAsia="Calibri" w:hAnsi="Calibri"/>
          <w:sz w:val="22"/>
          <w:szCs w:val="22"/>
        </w:rPr>
      </w:pPr>
      <w:r>
        <w:rPr>
          <w:rFonts w:ascii="Calibri" w:hAnsi="Calibri"/>
          <w:sz w:val="22"/>
        </w:rPr>
        <w:t>(3) Przy stosowaniu niniejszego statutu bierze się pod uwagę przewodnią rolę pośredników medialnych dla odpowiednich grup użytkowników.</w:t>
      </w:r>
    </w:p>
    <w:p w14:paraId="5623A66A" w14:textId="77777777" w:rsidR="00D87095" w:rsidRPr="00D87095" w:rsidRDefault="00D87095" w:rsidP="00D87095">
      <w:pPr>
        <w:spacing w:line="276" w:lineRule="auto"/>
        <w:rPr>
          <w:rFonts w:ascii="Calibri" w:eastAsia="Calibri" w:hAnsi="Calibri"/>
          <w:sz w:val="22"/>
          <w:szCs w:val="22"/>
          <w:lang w:eastAsia="en-US"/>
        </w:rPr>
      </w:pPr>
    </w:p>
    <w:p w14:paraId="30B40C99"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 2</w:t>
      </w:r>
    </w:p>
    <w:p w14:paraId="06540621"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Zakres stosowania</w:t>
      </w:r>
    </w:p>
    <w:p w14:paraId="607BCA79" w14:textId="77777777" w:rsidR="00D87095" w:rsidRPr="00D87095" w:rsidRDefault="00D87095" w:rsidP="00D87095">
      <w:pPr>
        <w:spacing w:line="276" w:lineRule="auto"/>
        <w:rPr>
          <w:rFonts w:ascii="Calibri" w:eastAsia="Calibri" w:hAnsi="Calibri"/>
          <w:sz w:val="22"/>
          <w:szCs w:val="22"/>
          <w:lang w:eastAsia="en-US"/>
        </w:rPr>
      </w:pPr>
    </w:p>
    <w:p w14:paraId="08135D6D" w14:textId="77777777" w:rsidR="00D87095" w:rsidRDefault="00D87095" w:rsidP="00D87095">
      <w:pPr>
        <w:spacing w:line="276" w:lineRule="auto"/>
        <w:rPr>
          <w:rFonts w:ascii="Calibri" w:eastAsia="Calibri" w:hAnsi="Calibri"/>
          <w:sz w:val="22"/>
          <w:szCs w:val="22"/>
        </w:rPr>
      </w:pPr>
      <w:r>
        <w:rPr>
          <w:rFonts w:ascii="Calibri" w:hAnsi="Calibri"/>
          <w:sz w:val="22"/>
        </w:rPr>
        <w:t xml:space="preserve">(1) </w:t>
      </w:r>
      <w:r>
        <w:rPr>
          <w:rFonts w:ascii="Calibri" w:hAnsi="Calibri"/>
          <w:sz w:val="22"/>
          <w:vertAlign w:val="superscript"/>
        </w:rPr>
        <w:t>1</w:t>
      </w:r>
      <w:r>
        <w:rPr>
          <w:rFonts w:ascii="Calibri" w:hAnsi="Calibri"/>
          <w:sz w:val="22"/>
        </w:rPr>
        <w:t xml:space="preserve">Zakres stosowania statutu obejmuje pośredników medialnych, zintegrowanych pośredników medialnych i ich operatorów. </w:t>
      </w:r>
      <w:r>
        <w:rPr>
          <w:rFonts w:ascii="Calibri" w:hAnsi="Calibri"/>
          <w:sz w:val="22"/>
          <w:vertAlign w:val="superscript"/>
        </w:rPr>
        <w:t>2</w:t>
      </w:r>
      <w:r>
        <w:rPr>
          <w:rFonts w:ascii="Calibri" w:hAnsi="Calibri"/>
          <w:sz w:val="22"/>
        </w:rPr>
        <w:t>Termin „zintegrowany pośrednik medialny” zgodnie z § 91 ust. 1 MStV obejmuje każdą integrację funkcji pośrednika w ofertach osób trzecich, która umożliwia użytkownikom ofert stron trzecich korzystanie z funkcji pośrednika.</w:t>
      </w:r>
    </w:p>
    <w:p w14:paraId="69F3CD6D" w14:textId="77777777" w:rsidR="00D87095" w:rsidRPr="00D87095" w:rsidRDefault="00D87095" w:rsidP="00D87095">
      <w:pPr>
        <w:spacing w:line="276" w:lineRule="auto"/>
        <w:rPr>
          <w:rFonts w:ascii="Calibri" w:eastAsia="Calibri" w:hAnsi="Calibri"/>
          <w:sz w:val="22"/>
          <w:szCs w:val="22"/>
          <w:lang w:eastAsia="en-US"/>
        </w:rPr>
      </w:pPr>
    </w:p>
    <w:p w14:paraId="491CBC98" w14:textId="77777777" w:rsidR="00D87095" w:rsidRDefault="00D87095" w:rsidP="00D87095">
      <w:pPr>
        <w:spacing w:line="276" w:lineRule="auto"/>
        <w:rPr>
          <w:rFonts w:ascii="Calibri" w:eastAsia="Calibri" w:hAnsi="Calibri"/>
          <w:sz w:val="22"/>
          <w:szCs w:val="22"/>
        </w:rPr>
      </w:pPr>
      <w:r>
        <w:rPr>
          <w:rFonts w:ascii="Calibri" w:hAnsi="Calibri"/>
          <w:sz w:val="22"/>
        </w:rPr>
        <w:t xml:space="preserve">(2) Liczba użytkowników zgodnie z § 91 ust. 2 akapit 1 MStV jest sumą miesięcznych jednostkowych użytkowników. </w:t>
      </w:r>
    </w:p>
    <w:p w14:paraId="6E7BDF91" w14:textId="77777777" w:rsidR="00D87095" w:rsidRDefault="00D87095" w:rsidP="00D87095">
      <w:pPr>
        <w:spacing w:line="276" w:lineRule="auto"/>
        <w:rPr>
          <w:rFonts w:ascii="Calibri" w:eastAsia="Calibri" w:hAnsi="Calibri"/>
          <w:sz w:val="22"/>
          <w:szCs w:val="22"/>
          <w:lang w:eastAsia="en-US"/>
        </w:rPr>
      </w:pPr>
    </w:p>
    <w:p w14:paraId="213CC167" w14:textId="77777777" w:rsidR="00D87095" w:rsidRDefault="00D87095" w:rsidP="00D87095">
      <w:pPr>
        <w:spacing w:line="276" w:lineRule="auto"/>
        <w:rPr>
          <w:rFonts w:ascii="Calibri" w:eastAsia="Calibri" w:hAnsi="Calibri"/>
          <w:sz w:val="22"/>
          <w:szCs w:val="22"/>
        </w:rPr>
      </w:pPr>
      <w:r>
        <w:rPr>
          <w:rFonts w:ascii="Calibri" w:hAnsi="Calibri"/>
          <w:sz w:val="22"/>
        </w:rPr>
        <w:t>(3) Jeżeli operator pośrednika medialnego odwołuje się do rozporządzenia w § 91 ust. 2 akapit 1 MStV, na wniosek właściwego federalnego państwowego organu medialnego przedstawia i uzasadnia liczbę użytkowników w ciągu jednego miesiąca oraz przedkłada dokumenty i informacje wymagane do przeprowadzenia badania.</w:t>
      </w:r>
    </w:p>
    <w:p w14:paraId="32D44C7C" w14:textId="77777777" w:rsidR="00D87095" w:rsidRPr="00D87095" w:rsidRDefault="00D87095" w:rsidP="00D87095">
      <w:pPr>
        <w:spacing w:line="276" w:lineRule="auto"/>
        <w:rPr>
          <w:rFonts w:ascii="Calibri" w:eastAsia="Calibri" w:hAnsi="Calibri"/>
          <w:sz w:val="22"/>
          <w:szCs w:val="22"/>
          <w:lang w:eastAsia="en-US"/>
        </w:rPr>
      </w:pPr>
    </w:p>
    <w:p w14:paraId="1586F024" w14:textId="77777777" w:rsidR="00D87095" w:rsidRPr="00D87095" w:rsidRDefault="00D87095" w:rsidP="00D87095">
      <w:pPr>
        <w:spacing w:line="276" w:lineRule="auto"/>
        <w:rPr>
          <w:rFonts w:ascii="Calibri" w:eastAsia="Calibri" w:hAnsi="Calibri"/>
          <w:sz w:val="22"/>
          <w:szCs w:val="22"/>
        </w:rPr>
      </w:pPr>
      <w:r>
        <w:rPr>
          <w:rFonts w:ascii="Calibri" w:hAnsi="Calibri"/>
          <w:sz w:val="22"/>
        </w:rPr>
        <w:lastRenderedPageBreak/>
        <w:t>(4) Jeżeli funkcja pośrednictwa nie jest jeszcze oferowana lub jest oferowana przez okres krótszy niż sześć miesięcy, operator pośrednika medialnego, na wniosek właściwego federalnego państwowego organu medialnego, sporządza prognozę rozwoju liczby użytkowników w rozumieniu § 91 ust. 2 akapit 1 MStV oraz dostarcza wiarygodne dowody, a także przedkłada dokumenty i informacje wymagane do przeprowadzenia badania.</w:t>
      </w:r>
    </w:p>
    <w:p w14:paraId="74B7464E" w14:textId="77777777" w:rsidR="00D87095" w:rsidRPr="00D87095" w:rsidRDefault="00D87095" w:rsidP="00D87095">
      <w:pPr>
        <w:spacing w:line="276" w:lineRule="auto"/>
        <w:jc w:val="center"/>
        <w:rPr>
          <w:rFonts w:ascii="Calibri" w:eastAsia="Calibri" w:hAnsi="Calibri"/>
          <w:b/>
          <w:sz w:val="22"/>
          <w:szCs w:val="22"/>
          <w:lang w:eastAsia="en-US"/>
        </w:rPr>
      </w:pPr>
    </w:p>
    <w:p w14:paraId="36110523"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 3</w:t>
      </w:r>
    </w:p>
    <w:p w14:paraId="45FEF1A5"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Upoważniony przedstawiciel</w:t>
      </w:r>
    </w:p>
    <w:p w14:paraId="6089304A" w14:textId="77777777" w:rsidR="00D87095" w:rsidRPr="00D87095" w:rsidRDefault="00D87095" w:rsidP="00D87095">
      <w:pPr>
        <w:spacing w:line="276" w:lineRule="auto"/>
        <w:rPr>
          <w:rFonts w:ascii="Calibri" w:eastAsia="Calibri" w:hAnsi="Calibri"/>
          <w:sz w:val="22"/>
          <w:szCs w:val="22"/>
          <w:lang w:eastAsia="en-US"/>
        </w:rPr>
      </w:pPr>
    </w:p>
    <w:p w14:paraId="0A0E6F90" w14:textId="77777777" w:rsidR="00D87095" w:rsidRPr="00D87095" w:rsidRDefault="00D87095" w:rsidP="00D87095">
      <w:pPr>
        <w:spacing w:line="276" w:lineRule="auto"/>
        <w:rPr>
          <w:rFonts w:ascii="Calibri" w:eastAsia="Calibri" w:hAnsi="Calibri"/>
          <w:sz w:val="22"/>
          <w:szCs w:val="22"/>
        </w:rPr>
      </w:pPr>
      <w:r>
        <w:rPr>
          <w:rFonts w:ascii="Calibri" w:hAnsi="Calibri"/>
          <w:sz w:val="22"/>
        </w:rPr>
        <w:t>(1) Upoważnionym przedstawicielem może być osoba fizyczna lub prawna.</w:t>
      </w:r>
    </w:p>
    <w:p w14:paraId="66DA9145" w14:textId="77777777" w:rsidR="00D87095" w:rsidRDefault="00D87095" w:rsidP="00D87095">
      <w:pPr>
        <w:spacing w:line="276" w:lineRule="auto"/>
        <w:rPr>
          <w:rFonts w:ascii="Calibri" w:eastAsia="Calibri" w:hAnsi="Calibri"/>
          <w:sz w:val="22"/>
          <w:szCs w:val="22"/>
          <w:lang w:eastAsia="en-US"/>
        </w:rPr>
      </w:pPr>
    </w:p>
    <w:p w14:paraId="6A03F97A" w14:textId="77777777" w:rsidR="00D87095" w:rsidRPr="00D87095" w:rsidRDefault="00D87095" w:rsidP="00D87095">
      <w:pPr>
        <w:spacing w:line="276" w:lineRule="auto"/>
        <w:rPr>
          <w:rFonts w:ascii="Calibri" w:eastAsia="Calibri" w:hAnsi="Calibri"/>
          <w:sz w:val="22"/>
          <w:szCs w:val="22"/>
        </w:rPr>
      </w:pPr>
      <w:r>
        <w:rPr>
          <w:rFonts w:ascii="Calibri" w:hAnsi="Calibri"/>
          <w:sz w:val="22"/>
        </w:rPr>
        <w:t xml:space="preserve">(2) </w:t>
      </w:r>
      <w:r>
        <w:rPr>
          <w:rFonts w:ascii="Calibri" w:hAnsi="Calibri"/>
          <w:sz w:val="22"/>
          <w:vertAlign w:val="superscript"/>
        </w:rPr>
        <w:t>1</w:t>
      </w:r>
      <w:r>
        <w:rPr>
          <w:rFonts w:ascii="Calibri" w:hAnsi="Calibri"/>
          <w:sz w:val="22"/>
        </w:rPr>
        <w:t xml:space="preserve">Osoby fizyczne muszą mieć miejsce zamieszkania lub zwykłego pobytu, osoby prawne muszą mieć siedzibę statutową lub główne miejsce prowadzenia działalności w Republice Federalnej Niemiec. </w:t>
      </w:r>
      <w:r>
        <w:rPr>
          <w:rFonts w:ascii="Calibri" w:hAnsi="Calibri"/>
          <w:sz w:val="22"/>
          <w:vertAlign w:val="superscript"/>
        </w:rPr>
        <w:t>2</w:t>
      </w:r>
      <w:r>
        <w:rPr>
          <w:rFonts w:ascii="Calibri" w:hAnsi="Calibri"/>
          <w:sz w:val="22"/>
        </w:rPr>
        <w:t>Należy wskazać adres do wezwań.</w:t>
      </w:r>
    </w:p>
    <w:p w14:paraId="3586AF5D" w14:textId="77777777" w:rsidR="00D87095" w:rsidRDefault="00D87095" w:rsidP="00D87095">
      <w:pPr>
        <w:spacing w:line="276" w:lineRule="auto"/>
        <w:rPr>
          <w:rFonts w:ascii="Calibri" w:eastAsia="Calibri" w:hAnsi="Calibri"/>
          <w:sz w:val="22"/>
          <w:szCs w:val="22"/>
          <w:lang w:eastAsia="en-US"/>
        </w:rPr>
      </w:pPr>
    </w:p>
    <w:p w14:paraId="0B0247CC" w14:textId="77777777" w:rsidR="00D87095" w:rsidRPr="00D87095" w:rsidRDefault="00D87095" w:rsidP="00D87095">
      <w:pPr>
        <w:spacing w:line="276" w:lineRule="auto"/>
        <w:rPr>
          <w:rFonts w:ascii="Calibri" w:eastAsia="Calibri" w:hAnsi="Calibri"/>
          <w:sz w:val="22"/>
          <w:szCs w:val="22"/>
        </w:rPr>
      </w:pPr>
      <w:r>
        <w:rPr>
          <w:rFonts w:ascii="Calibri" w:hAnsi="Calibri"/>
          <w:sz w:val="22"/>
        </w:rPr>
        <w:t>(3) Wymogi określone w § 92 zdanie 1, druga część zdania MStV są zazwyczaj spełnione, jeżeli wyznaczony został upoważniony przedstawiciel w zakresie informacji wymaganych w § 5 ust. 1 ustawy o telemediach (TMG) oraz § 18 ust. 1 MStV.</w:t>
      </w:r>
    </w:p>
    <w:p w14:paraId="71891BBF" w14:textId="77777777" w:rsidR="00D87095" w:rsidRPr="00D87095" w:rsidRDefault="00D87095" w:rsidP="00D87095">
      <w:pPr>
        <w:spacing w:line="276" w:lineRule="auto"/>
        <w:jc w:val="center"/>
        <w:rPr>
          <w:rFonts w:ascii="Calibri" w:eastAsia="Calibri" w:hAnsi="Calibri"/>
          <w:sz w:val="22"/>
          <w:szCs w:val="22"/>
          <w:lang w:eastAsia="en-US"/>
        </w:rPr>
      </w:pPr>
    </w:p>
    <w:p w14:paraId="33FA68E5" w14:textId="77777777" w:rsidR="00D87095" w:rsidRPr="00D87095" w:rsidRDefault="00D87095" w:rsidP="00D87095">
      <w:pPr>
        <w:spacing w:line="276" w:lineRule="auto"/>
        <w:jc w:val="center"/>
        <w:rPr>
          <w:rFonts w:ascii="Calibri" w:eastAsia="Calibri" w:hAnsi="Calibri"/>
          <w:sz w:val="22"/>
          <w:szCs w:val="22"/>
          <w:lang w:eastAsia="en-US"/>
        </w:rPr>
      </w:pPr>
    </w:p>
    <w:p w14:paraId="2896F26F"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Sekcja 2: Przejrzystość</w:t>
      </w:r>
    </w:p>
    <w:p w14:paraId="41DF4C9D" w14:textId="77777777" w:rsidR="00D87095" w:rsidRPr="00D87095" w:rsidRDefault="00D87095" w:rsidP="00D87095">
      <w:pPr>
        <w:spacing w:line="276" w:lineRule="auto"/>
        <w:jc w:val="center"/>
        <w:rPr>
          <w:rFonts w:ascii="Calibri" w:eastAsia="Calibri" w:hAnsi="Calibri"/>
          <w:b/>
          <w:sz w:val="22"/>
          <w:szCs w:val="22"/>
          <w:lang w:eastAsia="en-US"/>
        </w:rPr>
      </w:pPr>
    </w:p>
    <w:p w14:paraId="2E8AF708" w14:textId="77777777" w:rsidR="00D87095" w:rsidRPr="00D87095" w:rsidRDefault="00D87095" w:rsidP="00D87095">
      <w:pPr>
        <w:spacing w:line="276" w:lineRule="auto"/>
        <w:jc w:val="center"/>
        <w:rPr>
          <w:rFonts w:ascii="Calibri" w:eastAsia="Calibri" w:hAnsi="Calibri"/>
          <w:b/>
          <w:sz w:val="22"/>
          <w:szCs w:val="22"/>
        </w:rPr>
      </w:pPr>
      <w:r>
        <w:rPr>
          <w:rFonts w:ascii="Calibri" w:hAnsi="Calibri"/>
          <w:b/>
          <w:sz w:val="22"/>
        </w:rPr>
        <w:t>§ 4</w:t>
      </w:r>
    </w:p>
    <w:p w14:paraId="2433B923" w14:textId="77777777" w:rsidR="00D87095" w:rsidRDefault="00D87095" w:rsidP="00D87095">
      <w:pPr>
        <w:spacing w:line="276" w:lineRule="auto"/>
        <w:jc w:val="center"/>
        <w:rPr>
          <w:rFonts w:ascii="Calibri" w:eastAsia="Calibri" w:hAnsi="Calibri"/>
          <w:b/>
          <w:sz w:val="22"/>
          <w:szCs w:val="22"/>
        </w:rPr>
      </w:pPr>
      <w:r>
        <w:rPr>
          <w:rFonts w:ascii="Calibri" w:hAnsi="Calibri"/>
          <w:b/>
          <w:sz w:val="22"/>
        </w:rPr>
        <w:t>Cel i założenia</w:t>
      </w:r>
    </w:p>
    <w:p w14:paraId="6F523546" w14:textId="77777777" w:rsidR="00D87095" w:rsidRPr="00D87095" w:rsidRDefault="00D87095" w:rsidP="00D87095">
      <w:pPr>
        <w:spacing w:line="276" w:lineRule="auto"/>
        <w:jc w:val="center"/>
        <w:rPr>
          <w:rFonts w:ascii="Calibri" w:eastAsia="Calibri" w:hAnsi="Calibri"/>
          <w:b/>
          <w:sz w:val="22"/>
          <w:szCs w:val="22"/>
          <w:lang w:eastAsia="en-US"/>
        </w:rPr>
      </w:pPr>
    </w:p>
    <w:p w14:paraId="3FD2BC29" w14:textId="77777777" w:rsidR="00D87095" w:rsidRPr="00D87095" w:rsidRDefault="002A4057" w:rsidP="002A4057">
      <w:pPr>
        <w:spacing w:line="276" w:lineRule="auto"/>
        <w:rPr>
          <w:rFonts w:ascii="Calibri" w:eastAsia="Calibri" w:hAnsi="Calibri"/>
          <w:sz w:val="22"/>
          <w:szCs w:val="22"/>
        </w:rPr>
      </w:pPr>
      <w:r>
        <w:rPr>
          <w:rFonts w:ascii="Calibri" w:hAnsi="Calibri"/>
          <w:sz w:val="22"/>
          <w:vertAlign w:val="superscript"/>
        </w:rPr>
        <w:t>1</w:t>
      </w:r>
      <w:r>
        <w:rPr>
          <w:rFonts w:ascii="Calibri" w:hAnsi="Calibri"/>
          <w:sz w:val="22"/>
        </w:rPr>
        <w:t xml:space="preserve">Przepisy niniejszej sekcji mają na celu zapewnienie odpowiedniej przejrzystości dla użytkowników pośredników medialnych w odniesieniu do informacji wymienionych w § 93 ust. 1 MStV i § 6 (informacje, które należy uczynić przejrzystymi) </w:t>
      </w:r>
      <w:r>
        <w:rPr>
          <w:rFonts w:ascii="Calibri" w:hAnsi="Calibri"/>
          <w:sz w:val="22"/>
          <w:vertAlign w:val="superscript"/>
        </w:rPr>
        <w:t>2</w:t>
      </w:r>
      <w:r>
        <w:rPr>
          <w:rFonts w:ascii="Calibri" w:hAnsi="Calibri"/>
          <w:sz w:val="22"/>
        </w:rPr>
        <w:t xml:space="preserve">W szczególności powinno to umożliwić świadome korzystanie z usług pośrednika medialnego w zakresie łączenia, selekcji i prezentacji treści dziennikarskich i redakcyjnych. </w:t>
      </w:r>
      <w:r>
        <w:rPr>
          <w:rFonts w:ascii="Calibri" w:hAnsi="Calibri"/>
          <w:sz w:val="22"/>
          <w:vertAlign w:val="superscript"/>
        </w:rPr>
        <w:t>3</w:t>
      </w:r>
      <w:r>
        <w:rPr>
          <w:rFonts w:ascii="Calibri" w:hAnsi="Calibri"/>
          <w:sz w:val="22"/>
        </w:rPr>
        <w:t>Odnoszą się one również do operatorów treści dziennikarskich i redakcyjnych.</w:t>
      </w:r>
    </w:p>
    <w:p w14:paraId="128942F2" w14:textId="77777777" w:rsidR="00D87095" w:rsidRPr="00D87095" w:rsidRDefault="00D87095" w:rsidP="002A4057">
      <w:pPr>
        <w:spacing w:line="276" w:lineRule="auto"/>
        <w:jc w:val="center"/>
        <w:rPr>
          <w:rFonts w:ascii="Calibri" w:eastAsia="Calibri" w:hAnsi="Calibri"/>
          <w:b/>
          <w:sz w:val="22"/>
          <w:szCs w:val="22"/>
          <w:lang w:eastAsia="en-US"/>
        </w:rPr>
      </w:pPr>
    </w:p>
    <w:p w14:paraId="36D9ED6B" w14:textId="77777777" w:rsidR="00D87095" w:rsidRPr="00D87095" w:rsidRDefault="00D87095" w:rsidP="002A4057">
      <w:pPr>
        <w:spacing w:line="276" w:lineRule="auto"/>
        <w:jc w:val="center"/>
        <w:rPr>
          <w:rFonts w:ascii="Calibri" w:eastAsia="Calibri" w:hAnsi="Calibri"/>
          <w:b/>
          <w:sz w:val="22"/>
          <w:szCs w:val="22"/>
        </w:rPr>
      </w:pPr>
      <w:r>
        <w:rPr>
          <w:rFonts w:ascii="Calibri" w:hAnsi="Calibri"/>
          <w:b/>
          <w:sz w:val="22"/>
        </w:rPr>
        <w:t>§ 5</w:t>
      </w:r>
    </w:p>
    <w:p w14:paraId="617601DA" w14:textId="77777777" w:rsidR="00D87095" w:rsidRPr="00D87095" w:rsidRDefault="00D87095" w:rsidP="002A4057">
      <w:pPr>
        <w:spacing w:line="276" w:lineRule="auto"/>
        <w:jc w:val="center"/>
        <w:rPr>
          <w:rFonts w:ascii="Calibri" w:eastAsia="Calibri" w:hAnsi="Calibri"/>
          <w:b/>
          <w:sz w:val="22"/>
          <w:szCs w:val="22"/>
        </w:rPr>
      </w:pPr>
      <w:r>
        <w:rPr>
          <w:rFonts w:ascii="Calibri" w:hAnsi="Calibri"/>
          <w:b/>
          <w:sz w:val="22"/>
        </w:rPr>
        <w:t>Wymogi formalne</w:t>
      </w:r>
    </w:p>
    <w:p w14:paraId="0731FC30" w14:textId="77777777" w:rsidR="00D87095" w:rsidRPr="00D87095" w:rsidRDefault="00D87095" w:rsidP="002A4057">
      <w:pPr>
        <w:spacing w:line="276" w:lineRule="auto"/>
        <w:rPr>
          <w:rFonts w:ascii="Calibri" w:eastAsia="Calibri" w:hAnsi="Calibri"/>
          <w:sz w:val="22"/>
          <w:szCs w:val="22"/>
          <w:lang w:eastAsia="en-US"/>
        </w:rPr>
      </w:pPr>
    </w:p>
    <w:p w14:paraId="23A477CF" w14:textId="77777777" w:rsidR="00D87095" w:rsidRDefault="00D87095" w:rsidP="002A4057">
      <w:pPr>
        <w:spacing w:line="276" w:lineRule="auto"/>
        <w:rPr>
          <w:rFonts w:ascii="Calibri" w:eastAsia="Calibri" w:hAnsi="Calibri"/>
          <w:sz w:val="22"/>
          <w:szCs w:val="22"/>
        </w:rPr>
      </w:pPr>
      <w:r>
        <w:rPr>
          <w:rFonts w:ascii="Calibri" w:hAnsi="Calibri"/>
          <w:sz w:val="22"/>
        </w:rPr>
        <w:t>(1) Informacje zgodnie z § 93 ust. 1 MStV, zmiany zgodnie z § 93 ust. 3 MStV oraz informacje zgodnie z § 6 muszą być udostępnione w języku niemieckim w celu przejrzystości.</w:t>
      </w:r>
    </w:p>
    <w:p w14:paraId="779506C7" w14:textId="77777777" w:rsidR="002A4057" w:rsidRPr="00D87095" w:rsidRDefault="002A4057" w:rsidP="002A4057">
      <w:pPr>
        <w:spacing w:line="276" w:lineRule="auto"/>
        <w:rPr>
          <w:rFonts w:ascii="Calibri" w:eastAsia="Calibri" w:hAnsi="Calibri"/>
          <w:sz w:val="22"/>
          <w:szCs w:val="22"/>
          <w:lang w:eastAsia="en-US"/>
        </w:rPr>
      </w:pPr>
    </w:p>
    <w:p w14:paraId="2B32048B" w14:textId="77777777" w:rsidR="00D87095" w:rsidRPr="00D87095" w:rsidRDefault="00D87095" w:rsidP="002A4057">
      <w:pPr>
        <w:spacing w:line="276" w:lineRule="auto"/>
        <w:rPr>
          <w:rFonts w:ascii="Calibri" w:eastAsia="Calibri" w:hAnsi="Calibri"/>
          <w:sz w:val="22"/>
          <w:szCs w:val="22"/>
        </w:rPr>
      </w:pPr>
      <w:r>
        <w:rPr>
          <w:rFonts w:ascii="Calibri" w:hAnsi="Calibri"/>
          <w:sz w:val="22"/>
        </w:rPr>
        <w:t xml:space="preserve">(2) </w:t>
      </w:r>
      <w:r>
        <w:rPr>
          <w:rFonts w:ascii="Calibri" w:hAnsi="Calibri"/>
          <w:sz w:val="22"/>
          <w:vertAlign w:val="superscript"/>
        </w:rPr>
        <w:t>1</w:t>
      </w:r>
      <w:r>
        <w:rPr>
          <w:rFonts w:ascii="Calibri" w:hAnsi="Calibri"/>
          <w:sz w:val="22"/>
        </w:rPr>
        <w:t xml:space="preserve">Informacja, którą należy uczynić przejrzystą, jest łatwo dostrzegalna w rozumieniu § 93 MStV, jeżeli jest umieszczona w miejscu wyraźnie dostrzegalnym dla przeciętnego użytkownika, biorąc pod uwagę typową sytuację użytkową pośrednika medialnego. </w:t>
      </w:r>
      <w:r>
        <w:rPr>
          <w:rFonts w:ascii="Calibri" w:hAnsi="Calibri"/>
          <w:sz w:val="22"/>
          <w:vertAlign w:val="superscript"/>
        </w:rPr>
        <w:t>2</w:t>
      </w:r>
      <w:r>
        <w:rPr>
          <w:rFonts w:ascii="Calibri" w:hAnsi="Calibri"/>
          <w:sz w:val="22"/>
        </w:rPr>
        <w:t xml:space="preserve">Dzieje się tak zazwyczaj, jeżeli informacje wyraźnie odróżniają się od reszty treści i są bezpośrednio związane z opcjami wejścia lub nawigacji niezbędnymi do korzystania z medialnego pośrednika. </w:t>
      </w:r>
      <w:r>
        <w:rPr>
          <w:rFonts w:ascii="Calibri" w:hAnsi="Calibri"/>
          <w:sz w:val="22"/>
          <w:vertAlign w:val="superscript"/>
        </w:rPr>
        <w:t>3</w:t>
      </w:r>
      <w:r>
        <w:rPr>
          <w:rFonts w:ascii="Calibri" w:hAnsi="Calibri"/>
          <w:sz w:val="22"/>
        </w:rPr>
        <w:t xml:space="preserve">W przypadku korzystania z linku </w:t>
      </w:r>
      <w:r>
        <w:rPr>
          <w:rFonts w:ascii="Calibri" w:hAnsi="Calibri"/>
          <w:sz w:val="22"/>
        </w:rPr>
        <w:lastRenderedPageBreak/>
        <w:t xml:space="preserve">internetowego odsyłającego do informacji, które mają być przejrzyste, powyższe wymogi stosuje się odpowiednio. </w:t>
      </w:r>
    </w:p>
    <w:p w14:paraId="38E512E7" w14:textId="77777777" w:rsidR="002A4057" w:rsidRDefault="002A4057" w:rsidP="002A4057">
      <w:pPr>
        <w:spacing w:line="276" w:lineRule="auto"/>
        <w:rPr>
          <w:rFonts w:ascii="Calibri" w:eastAsia="Calibri" w:hAnsi="Calibri"/>
          <w:sz w:val="22"/>
          <w:szCs w:val="22"/>
          <w:lang w:eastAsia="en-US"/>
        </w:rPr>
      </w:pPr>
    </w:p>
    <w:p w14:paraId="4712E98E" w14:textId="77777777" w:rsidR="00D87095" w:rsidRPr="00D87095" w:rsidRDefault="00D87095" w:rsidP="002A4057">
      <w:pPr>
        <w:spacing w:line="276" w:lineRule="auto"/>
        <w:rPr>
          <w:rFonts w:ascii="Calibri" w:eastAsia="Calibri" w:hAnsi="Calibri"/>
          <w:sz w:val="22"/>
          <w:szCs w:val="22"/>
        </w:rPr>
      </w:pPr>
      <w:r>
        <w:rPr>
          <w:rFonts w:ascii="Calibri" w:hAnsi="Calibri"/>
          <w:sz w:val="22"/>
        </w:rPr>
        <w:t>(3)</w:t>
      </w:r>
      <w:r>
        <w:rPr>
          <w:rFonts w:ascii="Calibri" w:hAnsi="Calibri"/>
          <w:sz w:val="22"/>
          <w:vertAlign w:val="superscript"/>
        </w:rPr>
        <w:t>1</w:t>
      </w:r>
      <w:r>
        <w:rPr>
          <w:rFonts w:ascii="Calibri" w:hAnsi="Calibri"/>
          <w:sz w:val="22"/>
        </w:rPr>
        <w:t xml:space="preserve">Informacja, którą należy uczynić przejrzystą, jest natychmiast dostępna w rozumieniu § 93 MStV, jeśli jest dostrzegalna dla użytkownika bez znaczących kroków pośrednich. </w:t>
      </w:r>
      <w:r>
        <w:rPr>
          <w:rFonts w:ascii="Calibri" w:hAnsi="Calibri"/>
          <w:sz w:val="22"/>
          <w:vertAlign w:val="superscript"/>
        </w:rPr>
        <w:t>2</w:t>
      </w:r>
      <w:r>
        <w:rPr>
          <w:rFonts w:ascii="Calibri" w:hAnsi="Calibri"/>
          <w:sz w:val="22"/>
        </w:rPr>
        <w:t>Nie dotyczy to w szczególności sytuacji, gdy informacje są dostępne za pomocą więcej niż dwóch linków internetowych i/lub gdy wyszukiwanie informacji jest uzależnione od wcześniejszej rejestracji lub logowania.</w:t>
      </w:r>
    </w:p>
    <w:p w14:paraId="3B96CAEC" w14:textId="77777777" w:rsidR="002A4057" w:rsidRDefault="002A4057" w:rsidP="002A4057">
      <w:pPr>
        <w:spacing w:line="276" w:lineRule="auto"/>
        <w:rPr>
          <w:rFonts w:ascii="Calibri" w:eastAsia="Calibri" w:hAnsi="Calibri"/>
          <w:sz w:val="22"/>
          <w:szCs w:val="22"/>
          <w:lang w:eastAsia="en-US"/>
        </w:rPr>
      </w:pPr>
    </w:p>
    <w:p w14:paraId="22F38D83" w14:textId="77777777" w:rsidR="00D87095" w:rsidRPr="00D87095" w:rsidRDefault="00D87095" w:rsidP="002A4057">
      <w:pPr>
        <w:spacing w:line="276" w:lineRule="auto"/>
        <w:rPr>
          <w:rFonts w:ascii="Calibri" w:eastAsia="Calibri" w:hAnsi="Calibri"/>
          <w:sz w:val="22"/>
          <w:szCs w:val="22"/>
        </w:rPr>
      </w:pPr>
      <w:r>
        <w:rPr>
          <w:rFonts w:ascii="Calibri" w:hAnsi="Calibri"/>
          <w:sz w:val="22"/>
        </w:rPr>
        <w:t xml:space="preserve">(4) Informacje, które mają być przejrzyste są zawsze dostępne w rozumieniu § 93 MStV, jeśli użytkownik może uzyskać do nich dostęp w dowolnym momencie. </w:t>
      </w:r>
    </w:p>
    <w:p w14:paraId="7488A2E5" w14:textId="77777777" w:rsidR="002A4057" w:rsidRDefault="002A4057" w:rsidP="002A4057">
      <w:pPr>
        <w:spacing w:line="276" w:lineRule="auto"/>
        <w:rPr>
          <w:rFonts w:ascii="Calibri" w:eastAsia="Calibri" w:hAnsi="Calibri"/>
          <w:sz w:val="22"/>
          <w:szCs w:val="22"/>
          <w:lang w:eastAsia="en-US"/>
        </w:rPr>
      </w:pPr>
    </w:p>
    <w:p w14:paraId="38DE0FE5" w14:textId="77777777" w:rsidR="00D87095" w:rsidRPr="00D87095" w:rsidRDefault="00D87095" w:rsidP="002A4057">
      <w:pPr>
        <w:spacing w:line="276" w:lineRule="auto"/>
        <w:rPr>
          <w:rFonts w:ascii="Calibri" w:eastAsia="Calibri" w:hAnsi="Calibri"/>
          <w:sz w:val="22"/>
          <w:szCs w:val="22"/>
        </w:rPr>
      </w:pPr>
      <w:r>
        <w:rPr>
          <w:rFonts w:ascii="Calibri" w:hAnsi="Calibri"/>
          <w:sz w:val="22"/>
        </w:rPr>
        <w:t>(5) Informacje, które mają być przejrzyste, są przekazywane w zrozumiałym języku w rozumieniu § 93 MStV, jeżeli mogą one zapewnić przeciętnemu użytkownikowi podstawowe zrozumienie okoliczności, o których mowa w § 93 ust. 1 MStV, wymaganych do świadomego korzystania z medialnego pośrednika.</w:t>
      </w:r>
    </w:p>
    <w:p w14:paraId="3A14A2D4" w14:textId="77777777" w:rsidR="002A4057" w:rsidRDefault="002A4057" w:rsidP="002A4057">
      <w:pPr>
        <w:spacing w:line="276" w:lineRule="auto"/>
        <w:rPr>
          <w:rFonts w:ascii="Calibri" w:eastAsia="Calibri" w:hAnsi="Calibri"/>
          <w:sz w:val="22"/>
          <w:szCs w:val="22"/>
          <w:lang w:eastAsia="en-US"/>
        </w:rPr>
      </w:pPr>
    </w:p>
    <w:p w14:paraId="44B7624D" w14:textId="77777777" w:rsidR="00D87095" w:rsidRDefault="00D87095" w:rsidP="002A4057">
      <w:pPr>
        <w:spacing w:line="276" w:lineRule="auto"/>
        <w:rPr>
          <w:rFonts w:ascii="Calibri" w:eastAsia="Calibri" w:hAnsi="Calibri"/>
          <w:sz w:val="22"/>
          <w:szCs w:val="22"/>
        </w:rPr>
      </w:pPr>
      <w:r>
        <w:rPr>
          <w:rFonts w:ascii="Calibri" w:hAnsi="Calibri"/>
          <w:sz w:val="22"/>
        </w:rPr>
        <w:t>(6) Jeżeli korzystanie z pośrednika medialnego jest w przeważającej mierze oparte na głosie, informacje, które mają być przejrzyste, powinny być również, na żądanie użytkownika, odtwarzane akustycznie, przy czym wystarczające jest akustyczne wskazanie miejsca, w którym znajdują się informacje, które mają stać się przejrzyste.</w:t>
      </w:r>
    </w:p>
    <w:p w14:paraId="4A430228" w14:textId="77777777" w:rsidR="002A4057" w:rsidRPr="00D87095" w:rsidRDefault="002A4057" w:rsidP="002A4057">
      <w:pPr>
        <w:spacing w:line="276" w:lineRule="auto"/>
        <w:jc w:val="center"/>
        <w:rPr>
          <w:rFonts w:ascii="Calibri" w:eastAsia="Calibri" w:hAnsi="Calibri"/>
          <w:b/>
          <w:sz w:val="22"/>
          <w:szCs w:val="22"/>
          <w:lang w:eastAsia="en-US"/>
        </w:rPr>
      </w:pPr>
    </w:p>
    <w:p w14:paraId="07B69EBD" w14:textId="77777777" w:rsidR="00D87095" w:rsidRPr="00D87095" w:rsidRDefault="00D87095" w:rsidP="002A4057">
      <w:pPr>
        <w:spacing w:line="276" w:lineRule="auto"/>
        <w:jc w:val="center"/>
        <w:rPr>
          <w:rFonts w:ascii="Calibri" w:eastAsia="Calibri" w:hAnsi="Calibri"/>
          <w:b/>
          <w:sz w:val="22"/>
          <w:szCs w:val="22"/>
        </w:rPr>
      </w:pPr>
      <w:r>
        <w:rPr>
          <w:rFonts w:ascii="Calibri" w:hAnsi="Calibri"/>
          <w:b/>
          <w:sz w:val="22"/>
        </w:rPr>
        <w:t>§ 6</w:t>
      </w:r>
    </w:p>
    <w:p w14:paraId="03F462D9" w14:textId="77777777" w:rsidR="00D87095" w:rsidRPr="00D87095" w:rsidRDefault="00D87095" w:rsidP="002A4057">
      <w:pPr>
        <w:spacing w:line="276" w:lineRule="auto"/>
        <w:jc w:val="center"/>
        <w:rPr>
          <w:rFonts w:ascii="Calibri" w:eastAsia="Calibri" w:hAnsi="Calibri"/>
          <w:b/>
          <w:sz w:val="22"/>
          <w:szCs w:val="22"/>
        </w:rPr>
      </w:pPr>
      <w:r>
        <w:rPr>
          <w:rFonts w:ascii="Calibri" w:hAnsi="Calibri"/>
          <w:b/>
          <w:sz w:val="22"/>
        </w:rPr>
        <w:t>Obowiązki informacyjne</w:t>
      </w:r>
    </w:p>
    <w:p w14:paraId="5180DC6C" w14:textId="77777777" w:rsidR="00D87095" w:rsidRPr="00D87095" w:rsidRDefault="00D87095" w:rsidP="002A4057">
      <w:pPr>
        <w:spacing w:line="276" w:lineRule="auto"/>
        <w:rPr>
          <w:rFonts w:ascii="Calibri" w:eastAsia="Calibri" w:hAnsi="Calibri"/>
          <w:sz w:val="22"/>
          <w:szCs w:val="22"/>
          <w:lang w:eastAsia="en-US"/>
        </w:rPr>
      </w:pPr>
    </w:p>
    <w:p w14:paraId="579500E9"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t xml:space="preserve">(1) </w:t>
      </w:r>
      <w:r>
        <w:rPr>
          <w:rFonts w:ascii="Calibri" w:hAnsi="Calibri"/>
          <w:sz w:val="22"/>
          <w:vertAlign w:val="superscript"/>
        </w:rPr>
        <w:t>1</w:t>
      </w:r>
      <w:r>
        <w:rPr>
          <w:rFonts w:ascii="Calibri" w:hAnsi="Calibri"/>
          <w:sz w:val="22"/>
        </w:rPr>
        <w:t xml:space="preserve">Operator pośrednika medialnego jest zobowiązany do przejrzystego przedstawienia kryteriów, które decydują o dostępie treści do pośrednika medialnego i ich przechowywaniu (§ 93 ust. 1 akapit 1 MStV). </w:t>
      </w:r>
      <w:r>
        <w:rPr>
          <w:rFonts w:ascii="Calibri" w:hAnsi="Calibri"/>
          <w:sz w:val="22"/>
          <w:vertAlign w:val="superscript"/>
        </w:rPr>
        <w:t>2</w:t>
      </w:r>
      <w:r>
        <w:rPr>
          <w:rFonts w:ascii="Calibri" w:hAnsi="Calibri"/>
          <w:sz w:val="22"/>
        </w:rPr>
        <w:t>W tym celu operator pośrednika medialnego musi w szczególności dostarczyć następujące informacje:</w:t>
      </w:r>
    </w:p>
    <w:p w14:paraId="0A50D725" w14:textId="77777777" w:rsidR="00D87095" w:rsidRPr="00D87095" w:rsidRDefault="00D87095" w:rsidP="002A4057">
      <w:pPr>
        <w:numPr>
          <w:ilvl w:val="0"/>
          <w:numId w:val="11"/>
        </w:numPr>
        <w:spacing w:after="200" w:line="276" w:lineRule="auto"/>
        <w:contextualSpacing/>
        <w:rPr>
          <w:rFonts w:ascii="Calibri" w:eastAsia="Calibri" w:hAnsi="Calibri"/>
          <w:sz w:val="22"/>
          <w:szCs w:val="22"/>
        </w:rPr>
      </w:pPr>
      <w:r>
        <w:rPr>
          <w:rFonts w:ascii="Calibri" w:hAnsi="Calibri"/>
          <w:sz w:val="22"/>
        </w:rPr>
        <w:t>Opis warunków technicznych, ekonomicznych, związanych z operatorem, użytkownikiem i treścią, które decydują o tym, czy treści są postrzegane za pośrednictwem pośrednika medialnego,</w:t>
      </w:r>
    </w:p>
    <w:p w14:paraId="5A5A5A84" w14:textId="77777777" w:rsidR="00D87095" w:rsidRPr="00D87095" w:rsidRDefault="00D87095" w:rsidP="002A4057">
      <w:pPr>
        <w:numPr>
          <w:ilvl w:val="0"/>
          <w:numId w:val="11"/>
        </w:numPr>
        <w:spacing w:after="200" w:line="276" w:lineRule="auto"/>
        <w:contextualSpacing/>
        <w:rPr>
          <w:rFonts w:ascii="Calibri" w:eastAsia="Calibri" w:hAnsi="Calibri"/>
          <w:sz w:val="22"/>
          <w:szCs w:val="22"/>
        </w:rPr>
      </w:pPr>
      <w:r>
        <w:rPr>
          <w:rFonts w:ascii="Calibri" w:hAnsi="Calibri"/>
          <w:sz w:val="22"/>
        </w:rPr>
        <w:t>w przypadku gdy określone treści są filtrowane lub ich jakość jest obniżana lub podwyższana pod względem percepcji podczas dostępu do pośrednika medialnego i pozostawania w nim, w szczególności również za pomocą systemów automatycznych, należy wskazać kategorię treści, których to dotyczy, oraz cele, którym służy filtrowanie lub klasyfikacja, oraz</w:t>
      </w:r>
    </w:p>
    <w:p w14:paraId="574F5D02" w14:textId="77777777" w:rsidR="00D87095" w:rsidRDefault="00D87095" w:rsidP="002A4057">
      <w:pPr>
        <w:numPr>
          <w:ilvl w:val="0"/>
          <w:numId w:val="11"/>
        </w:numPr>
        <w:spacing w:after="200" w:line="276" w:lineRule="auto"/>
        <w:contextualSpacing/>
        <w:rPr>
          <w:rFonts w:ascii="Calibri" w:eastAsia="Calibri" w:hAnsi="Calibri"/>
          <w:sz w:val="22"/>
          <w:szCs w:val="22"/>
        </w:rPr>
      </w:pPr>
      <w:r>
        <w:rPr>
          <w:rFonts w:ascii="Calibri" w:hAnsi="Calibri"/>
          <w:sz w:val="22"/>
        </w:rPr>
        <w:t>informacje na temat tego, czy płatności lub inne bezpośrednie lub pośrednie korzyści rzeczowe mają lub mogą mieć wpływ na dostęp do treści i ich pozostawanie w mediach</w:t>
      </w:r>
    </w:p>
    <w:p w14:paraId="1AAFF483" w14:textId="77777777" w:rsidR="002A4057" w:rsidRPr="00D87095" w:rsidRDefault="002A4057" w:rsidP="002A4057">
      <w:pPr>
        <w:spacing w:after="200" w:line="276" w:lineRule="auto"/>
        <w:ind w:left="720"/>
        <w:contextualSpacing/>
        <w:rPr>
          <w:rFonts w:ascii="Calibri" w:eastAsia="Calibri" w:hAnsi="Calibri"/>
          <w:sz w:val="22"/>
          <w:szCs w:val="22"/>
          <w:lang w:eastAsia="en-US"/>
        </w:rPr>
      </w:pPr>
    </w:p>
    <w:p w14:paraId="6B4416CF"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t xml:space="preserve">(2) </w:t>
      </w:r>
      <w:r>
        <w:rPr>
          <w:rFonts w:ascii="Calibri" w:hAnsi="Calibri"/>
          <w:sz w:val="22"/>
          <w:vertAlign w:val="superscript"/>
        </w:rPr>
        <w:t>1</w:t>
      </w:r>
      <w:r>
        <w:rPr>
          <w:rFonts w:ascii="Calibri" w:hAnsi="Calibri"/>
          <w:sz w:val="22"/>
        </w:rPr>
        <w:t xml:space="preserve">Operator pośrednika medialnego jest zobowiązany zgodnie z § 93 ust. 1 akapit 2 MStV do przejrzystości głównych kryteriów łączenia, selekcji i prezentacji treści oraz ich ważenia, w tym informacji na temat funkcjonowania zastosowanych algorytmów. </w:t>
      </w:r>
      <w:r>
        <w:rPr>
          <w:rFonts w:ascii="Calibri" w:hAnsi="Calibri"/>
          <w:sz w:val="22"/>
          <w:vertAlign w:val="superscript"/>
        </w:rPr>
        <w:t>2</w:t>
      </w:r>
      <w:r>
        <w:rPr>
          <w:rFonts w:ascii="Calibri" w:hAnsi="Calibri"/>
          <w:sz w:val="22"/>
        </w:rPr>
        <w:t>W tym celu operator pośrednika medialnego musi w szczególności dostarczyć następujące informacje:</w:t>
      </w:r>
    </w:p>
    <w:p w14:paraId="2E2BFF82" w14:textId="77777777" w:rsidR="00D87095" w:rsidRP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t>opis głównych kryteriów łączenia, selekcji i prezentacji stosowanych przez operatora pośrednika medialnego,</w:t>
      </w:r>
    </w:p>
    <w:p w14:paraId="68F5DEE3" w14:textId="77777777" w:rsidR="00D87095" w:rsidRP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lastRenderedPageBreak/>
        <w:t>opis względnej wagi głównych kryteriów w odniesieniu do siebie nawzajem i w odniesieniu do kryteriów pobocznych, bez czynienia tych ostatnich przejrzystymi,</w:t>
      </w:r>
    </w:p>
    <w:p w14:paraId="3B74A14D" w14:textId="77777777" w:rsidR="00D87095" w:rsidRP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t>opis celów optymalizacji realizowanych przez główne kryteria,</w:t>
      </w:r>
    </w:p>
    <w:p w14:paraId="045CE3F6" w14:textId="77777777" w:rsidR="00D87095" w:rsidRP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t>informacje na temat tego, czy i jeśli tak, to w jaki sposób na możliwość znalezienia treści u pośrednika medialnego ma lub może mieć wpływ uiszczanie opłat lub inne bezpośrednie lub pośrednie wynagrodzenie,</w:t>
      </w:r>
    </w:p>
    <w:p w14:paraId="7AA217CD" w14:textId="77777777" w:rsidR="00D87095" w:rsidRP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t>opis podstawowych etapów procesu leżącego u podstaw łączenia, selekcji i prezentacji treści, w tym opis tego, jakie dane osobowe i inne dane są włączane do łączenia, selekcji i prezentacji,</w:t>
      </w:r>
    </w:p>
    <w:p w14:paraId="3777FF98" w14:textId="77777777" w:rsidR="00D87095" w:rsidRP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t>informacje na temat rodzaju i zakresu stosowanej personalizacji oraz tego, czy - a jeśli tak, to w jaki sposób ocenia się zawartość pod kątem jej znaczenia dla danego użytkownika,</w:t>
      </w:r>
    </w:p>
    <w:p w14:paraId="11954842" w14:textId="77777777" w:rsidR="00D87095" w:rsidRP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t>informacje o tym, czy, a jeżeli tak, to w jaki sposób zachowanie użytkownika w ramach pośrednika medialnego może wpływać na łączenie, selekcję i prezentację treści, w tym wskazanie możliwości wpływu dostępnych dla użytkownika za pośrednictwem ustawień i funkcji częściowych, oraz</w:t>
      </w:r>
    </w:p>
    <w:p w14:paraId="2701BDE1" w14:textId="77777777" w:rsidR="00D87095" w:rsidRDefault="00D87095" w:rsidP="002A4057">
      <w:pPr>
        <w:numPr>
          <w:ilvl w:val="0"/>
          <w:numId w:val="34"/>
        </w:numPr>
        <w:spacing w:after="200" w:line="276" w:lineRule="auto"/>
        <w:contextualSpacing/>
        <w:rPr>
          <w:rFonts w:ascii="Calibri" w:eastAsia="Calibri" w:hAnsi="Calibri"/>
          <w:sz w:val="22"/>
          <w:szCs w:val="22"/>
        </w:rPr>
      </w:pPr>
      <w:r>
        <w:rPr>
          <w:rFonts w:ascii="Calibri" w:hAnsi="Calibri"/>
          <w:sz w:val="22"/>
        </w:rPr>
        <w:t>informacja o tym, czy i, jeśli tak, w jaki szczególny sposób operator pośrednika medialnego traktuje własną treść, treść spółki stowarzyszonej (§ 15 ustawy o spółkach akcyjnych, AktG) lub treść partnerów kooperacyjnych podczas łączenia, selekcji i/lub prezentacji.</w:t>
      </w:r>
    </w:p>
    <w:p w14:paraId="08DE3988" w14:textId="77777777" w:rsidR="002A4057" w:rsidRPr="00D87095" w:rsidRDefault="002A4057" w:rsidP="002A4057">
      <w:pPr>
        <w:spacing w:after="200" w:line="276" w:lineRule="auto"/>
        <w:ind w:left="720"/>
        <w:contextualSpacing/>
        <w:rPr>
          <w:rFonts w:ascii="Calibri" w:eastAsia="Calibri" w:hAnsi="Calibri"/>
          <w:sz w:val="22"/>
          <w:szCs w:val="22"/>
          <w:lang w:eastAsia="en-US"/>
        </w:rPr>
      </w:pPr>
    </w:p>
    <w:p w14:paraId="5051D33F"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t xml:space="preserve">(3) </w:t>
      </w:r>
      <w:r>
        <w:rPr>
          <w:rFonts w:ascii="Calibri" w:hAnsi="Calibri"/>
          <w:sz w:val="22"/>
          <w:vertAlign w:val="superscript"/>
        </w:rPr>
        <w:t>1</w:t>
      </w:r>
      <w:r>
        <w:rPr>
          <w:rFonts w:ascii="Calibri" w:hAnsi="Calibri"/>
          <w:sz w:val="22"/>
        </w:rPr>
        <w:t xml:space="preserve">Ważne zmiany kryteriów, którym należy zapewnić przejrzystość zgodnie z § 93 ust. 1 MStV, powinny być niezwłocznie widoczne. </w:t>
      </w:r>
      <w:r>
        <w:rPr>
          <w:rFonts w:ascii="Calibri" w:hAnsi="Calibri"/>
          <w:sz w:val="22"/>
          <w:vertAlign w:val="superscript"/>
        </w:rPr>
        <w:t>2</w:t>
      </w:r>
      <w:r>
        <w:rPr>
          <w:rFonts w:ascii="Calibri" w:hAnsi="Calibri"/>
          <w:sz w:val="22"/>
        </w:rPr>
        <w:t xml:space="preserve">W tym celu operator pośrednika medialnego udostępnia przegląd istotnych zmian dokonanych w czasie. </w:t>
      </w:r>
      <w:r>
        <w:rPr>
          <w:rFonts w:ascii="Calibri" w:hAnsi="Calibri"/>
          <w:sz w:val="22"/>
          <w:vertAlign w:val="superscript"/>
        </w:rPr>
        <w:t>3</w:t>
      </w:r>
      <w:r>
        <w:rPr>
          <w:rFonts w:ascii="Calibri" w:hAnsi="Calibri"/>
          <w:sz w:val="22"/>
        </w:rPr>
        <w:t>Wszystkie inne zmiany kryteriów, które należy uczynić przejrzystymi zgodnie z § 93 ust. 1 MStV, będą ujawniane przynajmniej co cztery miesiące od wejścia w życie niniejszego statutu. § 5 stosuje się odpowiednio.</w:t>
      </w:r>
    </w:p>
    <w:p w14:paraId="6E22049B" w14:textId="77777777" w:rsidR="00D87095" w:rsidRDefault="00D87095" w:rsidP="002A4057">
      <w:pPr>
        <w:spacing w:line="276" w:lineRule="auto"/>
        <w:jc w:val="center"/>
        <w:rPr>
          <w:rFonts w:ascii="Calibri" w:eastAsia="Calibri" w:hAnsi="Calibri"/>
          <w:b/>
          <w:sz w:val="22"/>
          <w:szCs w:val="22"/>
          <w:lang w:eastAsia="en-US"/>
        </w:rPr>
      </w:pPr>
    </w:p>
    <w:p w14:paraId="2A179DA7" w14:textId="77777777" w:rsidR="002A4057" w:rsidRPr="00D87095" w:rsidRDefault="002A4057" w:rsidP="002A4057">
      <w:pPr>
        <w:spacing w:line="276" w:lineRule="auto"/>
        <w:jc w:val="center"/>
        <w:rPr>
          <w:rFonts w:ascii="Calibri" w:eastAsia="Calibri" w:hAnsi="Calibri"/>
          <w:b/>
          <w:sz w:val="22"/>
          <w:szCs w:val="22"/>
          <w:lang w:eastAsia="en-US"/>
        </w:rPr>
      </w:pPr>
    </w:p>
    <w:p w14:paraId="6707E682" w14:textId="77777777" w:rsidR="00D87095" w:rsidRPr="00D87095" w:rsidRDefault="002A4057" w:rsidP="002A4057">
      <w:pPr>
        <w:spacing w:line="276" w:lineRule="auto"/>
        <w:jc w:val="center"/>
        <w:rPr>
          <w:rFonts w:ascii="Calibri" w:eastAsia="Calibri" w:hAnsi="Calibri"/>
          <w:b/>
          <w:sz w:val="22"/>
          <w:szCs w:val="22"/>
        </w:rPr>
      </w:pPr>
      <w:r>
        <w:rPr>
          <w:rFonts w:ascii="Calibri" w:hAnsi="Calibri"/>
          <w:b/>
          <w:sz w:val="22"/>
        </w:rPr>
        <w:t>Sekcja 3: Zasada niedyskryminacja</w:t>
      </w:r>
    </w:p>
    <w:p w14:paraId="3522F713" w14:textId="77777777" w:rsidR="00D87095" w:rsidRPr="00D87095" w:rsidRDefault="00D87095" w:rsidP="002A4057">
      <w:pPr>
        <w:spacing w:line="276" w:lineRule="auto"/>
        <w:jc w:val="center"/>
        <w:rPr>
          <w:rFonts w:ascii="Calibri" w:eastAsia="Calibri" w:hAnsi="Calibri"/>
          <w:b/>
          <w:sz w:val="22"/>
          <w:szCs w:val="22"/>
          <w:lang w:eastAsia="en-US"/>
        </w:rPr>
      </w:pPr>
    </w:p>
    <w:p w14:paraId="196D5252" w14:textId="77777777" w:rsidR="00D87095" w:rsidRDefault="00D87095" w:rsidP="002A4057">
      <w:pPr>
        <w:spacing w:line="276" w:lineRule="auto"/>
        <w:jc w:val="center"/>
        <w:rPr>
          <w:rFonts w:ascii="Calibri" w:eastAsia="Calibri" w:hAnsi="Calibri"/>
          <w:b/>
          <w:sz w:val="22"/>
          <w:szCs w:val="22"/>
        </w:rPr>
      </w:pPr>
      <w:r>
        <w:rPr>
          <w:rFonts w:ascii="Calibri" w:hAnsi="Calibri"/>
          <w:b/>
          <w:sz w:val="22"/>
        </w:rPr>
        <w:t>§ 7 Postanowienia ogólne</w:t>
      </w:r>
    </w:p>
    <w:p w14:paraId="11FBD308" w14:textId="77777777" w:rsidR="002A4057" w:rsidRPr="00D87095" w:rsidRDefault="002A4057" w:rsidP="002A4057">
      <w:pPr>
        <w:spacing w:line="276" w:lineRule="auto"/>
        <w:jc w:val="center"/>
        <w:rPr>
          <w:rFonts w:ascii="Calibri" w:eastAsia="Calibri" w:hAnsi="Calibri"/>
          <w:b/>
          <w:sz w:val="22"/>
          <w:szCs w:val="22"/>
          <w:lang w:eastAsia="en-US"/>
        </w:rPr>
      </w:pPr>
    </w:p>
    <w:p w14:paraId="04DB9913" w14:textId="77777777" w:rsidR="00D87095" w:rsidRDefault="00D87095" w:rsidP="002A4057">
      <w:pPr>
        <w:spacing w:after="200" w:line="276" w:lineRule="auto"/>
        <w:contextualSpacing/>
        <w:rPr>
          <w:rFonts w:ascii="Calibri" w:eastAsia="Calibri" w:hAnsi="Calibri"/>
          <w:sz w:val="22"/>
          <w:szCs w:val="22"/>
        </w:rPr>
      </w:pPr>
      <w:r>
        <w:rPr>
          <w:rFonts w:ascii="Calibri" w:hAnsi="Calibri"/>
          <w:sz w:val="22"/>
        </w:rPr>
        <w:t>(1) Obowiązek pośrednika medialnego zgodnie z sekcją 94 ust. 1 MStV obejmuje również określone części i wkłady oferty dziennikarsko-redakcyjnej.</w:t>
      </w:r>
    </w:p>
    <w:p w14:paraId="778C2618" w14:textId="77777777" w:rsidR="002A4057" w:rsidRPr="00D87095" w:rsidRDefault="002A4057" w:rsidP="002A4057">
      <w:pPr>
        <w:spacing w:after="200" w:line="276" w:lineRule="auto"/>
        <w:contextualSpacing/>
        <w:rPr>
          <w:rFonts w:ascii="Calibri" w:eastAsia="Calibri" w:hAnsi="Calibri"/>
          <w:sz w:val="22"/>
          <w:szCs w:val="22"/>
          <w:lang w:eastAsia="en-US"/>
        </w:rPr>
      </w:pPr>
    </w:p>
    <w:p w14:paraId="569E6FC3"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t xml:space="preserve">(2) </w:t>
      </w:r>
      <w:r>
        <w:rPr>
          <w:rFonts w:ascii="Calibri" w:hAnsi="Calibri"/>
          <w:sz w:val="22"/>
          <w:vertAlign w:val="superscript"/>
        </w:rPr>
        <w:t>1</w:t>
      </w:r>
      <w:r>
        <w:rPr>
          <w:rFonts w:ascii="Calibri" w:hAnsi="Calibri"/>
          <w:sz w:val="22"/>
        </w:rPr>
        <w:t xml:space="preserve">Przy określaniu szczególnie dużego wpływu w rozumieniu § 94 ust. 1 MStV decydujący jest wpływ pośrednika medialnego na postrzeganie treści dziennikarsko-redakcyjnych w procesie kształtowania opinii publicznej. </w:t>
      </w:r>
      <w:r>
        <w:rPr>
          <w:rFonts w:ascii="Calibri" w:hAnsi="Calibri"/>
          <w:sz w:val="22"/>
          <w:vertAlign w:val="superscript"/>
        </w:rPr>
        <w:t>2</w:t>
      </w:r>
      <w:r>
        <w:rPr>
          <w:rFonts w:ascii="Calibri" w:hAnsi="Calibri"/>
          <w:sz w:val="22"/>
        </w:rPr>
        <w:t>Ocena może w szczególności uwzględniać</w:t>
      </w:r>
    </w:p>
    <w:p w14:paraId="17326E39" w14:textId="77777777" w:rsidR="00D87095" w:rsidRPr="00D87095" w:rsidRDefault="00D87095" w:rsidP="002A4057">
      <w:pPr>
        <w:numPr>
          <w:ilvl w:val="0"/>
          <w:numId w:val="35"/>
        </w:numPr>
        <w:spacing w:after="200" w:line="276" w:lineRule="auto"/>
        <w:contextualSpacing/>
        <w:rPr>
          <w:rFonts w:ascii="Calibri" w:eastAsia="Calibri" w:hAnsi="Calibri"/>
          <w:sz w:val="22"/>
          <w:szCs w:val="22"/>
        </w:rPr>
      </w:pPr>
      <w:r>
        <w:rPr>
          <w:rFonts w:ascii="Calibri" w:hAnsi="Calibri"/>
          <w:sz w:val="22"/>
        </w:rPr>
        <w:t>pozycję pośrednika medialnego na odpowiednich właściwych rynkach;</w:t>
      </w:r>
    </w:p>
    <w:p w14:paraId="04BB4725" w14:textId="77777777" w:rsidR="00D87095" w:rsidRPr="00D87095" w:rsidRDefault="00D87095" w:rsidP="002A4057">
      <w:pPr>
        <w:numPr>
          <w:ilvl w:val="0"/>
          <w:numId w:val="35"/>
        </w:numPr>
        <w:spacing w:after="200" w:line="276" w:lineRule="auto"/>
        <w:contextualSpacing/>
        <w:rPr>
          <w:rFonts w:ascii="Calibri" w:eastAsia="Calibri" w:hAnsi="Calibri"/>
          <w:sz w:val="22"/>
          <w:szCs w:val="22"/>
        </w:rPr>
      </w:pPr>
      <w:r>
        <w:rPr>
          <w:rFonts w:ascii="Calibri" w:hAnsi="Calibri"/>
          <w:sz w:val="22"/>
        </w:rPr>
        <w:t xml:space="preserve">ogólny obraz wykorzystania, na przykład na podstawie dostępnego zakresu użytkowania, liczby użytkowników, czasu trwania i aktywności użytkowników lub liczby wyświetleń na użytkownika. </w:t>
      </w:r>
    </w:p>
    <w:p w14:paraId="1FA50007" w14:textId="77777777" w:rsidR="002A4057" w:rsidRPr="002A4057" w:rsidRDefault="002A4057" w:rsidP="002A4057">
      <w:pPr>
        <w:spacing w:line="276" w:lineRule="auto"/>
        <w:jc w:val="center"/>
        <w:rPr>
          <w:rFonts w:ascii="Calibri" w:eastAsia="Calibri" w:hAnsi="Calibri"/>
          <w:b/>
          <w:sz w:val="22"/>
          <w:szCs w:val="22"/>
          <w:lang w:eastAsia="en-US"/>
        </w:rPr>
      </w:pPr>
    </w:p>
    <w:p w14:paraId="17FEDF1E" w14:textId="77777777" w:rsidR="00D87095" w:rsidRPr="00D87095" w:rsidRDefault="00D87095" w:rsidP="002A4057">
      <w:pPr>
        <w:spacing w:line="276" w:lineRule="auto"/>
        <w:jc w:val="center"/>
        <w:rPr>
          <w:rFonts w:ascii="Calibri" w:eastAsia="Calibri" w:hAnsi="Calibri"/>
          <w:b/>
          <w:sz w:val="22"/>
          <w:szCs w:val="22"/>
        </w:rPr>
      </w:pPr>
      <w:r>
        <w:rPr>
          <w:rFonts w:ascii="Calibri" w:hAnsi="Calibri"/>
          <w:b/>
          <w:sz w:val="22"/>
        </w:rPr>
        <w:t>§ 8 Odchylenie systemowe zgodnie z § 94 ust. 2, pierwsza alternatywa MStV</w:t>
      </w:r>
    </w:p>
    <w:p w14:paraId="27C23BD2" w14:textId="77777777" w:rsidR="00D87095" w:rsidRPr="00D87095" w:rsidRDefault="00D87095" w:rsidP="002A4057">
      <w:pPr>
        <w:spacing w:line="276" w:lineRule="auto"/>
        <w:jc w:val="center"/>
        <w:rPr>
          <w:rFonts w:ascii="Calibri" w:eastAsia="Calibri" w:hAnsi="Calibri"/>
          <w:b/>
          <w:sz w:val="22"/>
          <w:szCs w:val="22"/>
          <w:lang w:eastAsia="en-US"/>
        </w:rPr>
      </w:pPr>
    </w:p>
    <w:p w14:paraId="617DAA6C"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lastRenderedPageBreak/>
        <w:t>(1) Decydujące dla oceny, czy ma zastosowanie naruszenie przepisów § 94 ust. 2, pierwsza alternatywa MStV</w:t>
      </w:r>
    </w:p>
    <w:p w14:paraId="2CFFE7D9" w14:textId="77777777" w:rsidR="00D87095" w:rsidRPr="00D87095" w:rsidRDefault="00D87095" w:rsidP="002A4057">
      <w:pPr>
        <w:numPr>
          <w:ilvl w:val="0"/>
          <w:numId w:val="36"/>
        </w:numPr>
        <w:spacing w:after="200" w:line="276" w:lineRule="auto"/>
        <w:contextualSpacing/>
        <w:rPr>
          <w:rFonts w:ascii="Calibri" w:eastAsia="Calibri" w:hAnsi="Calibri"/>
          <w:sz w:val="22"/>
          <w:szCs w:val="22"/>
        </w:rPr>
      </w:pPr>
      <w:r>
        <w:rPr>
          <w:rFonts w:ascii="Calibri" w:hAnsi="Calibri"/>
          <w:sz w:val="22"/>
        </w:rPr>
        <w:t>są kryteria i informacje na temat wagi kryteriów publikowanych przez operatora pośrednika medialnego w celu wypełnienia swojego zobowiązania zgodnie z § 93 ust. 1 MStV lub</w:t>
      </w:r>
    </w:p>
    <w:p w14:paraId="706E37E9" w14:textId="77777777" w:rsidR="00D87095" w:rsidRDefault="00D87095" w:rsidP="002A4057">
      <w:pPr>
        <w:numPr>
          <w:ilvl w:val="0"/>
          <w:numId w:val="36"/>
        </w:numPr>
        <w:spacing w:after="200" w:line="276" w:lineRule="auto"/>
        <w:contextualSpacing/>
        <w:rPr>
          <w:rFonts w:ascii="Calibri" w:eastAsia="Calibri" w:hAnsi="Calibri"/>
          <w:sz w:val="22"/>
          <w:szCs w:val="22"/>
        </w:rPr>
      </w:pPr>
      <w:r>
        <w:rPr>
          <w:rFonts w:ascii="Calibri" w:hAnsi="Calibri"/>
          <w:sz w:val="22"/>
        </w:rPr>
        <w:t>kryteria i informacje dotyczące wagi kryteriów, które operator pośrednika medialnego musiałby opublikować w celu wypełnienia swojego zobowiązania zgodnie z § 93 ust. 1 MStV.</w:t>
      </w:r>
    </w:p>
    <w:p w14:paraId="4F63DBCE" w14:textId="77777777" w:rsidR="002A4057" w:rsidRPr="00D87095" w:rsidRDefault="002A4057" w:rsidP="002A4057">
      <w:pPr>
        <w:spacing w:after="200" w:line="276" w:lineRule="auto"/>
        <w:ind w:left="720"/>
        <w:contextualSpacing/>
        <w:rPr>
          <w:rFonts w:ascii="Calibri" w:eastAsia="Calibri" w:hAnsi="Calibri"/>
          <w:sz w:val="22"/>
          <w:szCs w:val="22"/>
          <w:lang w:eastAsia="en-US"/>
        </w:rPr>
      </w:pPr>
    </w:p>
    <w:p w14:paraId="44F458E9"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t xml:space="preserve">(2) Za odstępstwo w rozumieniu § 94 ust. 2 alternatywa pierwsza MStV uznaje się w szczególności sytuację, w której operator pośrednika medialnego </w:t>
      </w:r>
    </w:p>
    <w:p w14:paraId="6D03ABC6" w14:textId="77777777" w:rsidR="00D87095" w:rsidRPr="00D87095" w:rsidRDefault="00D87095" w:rsidP="002A4057">
      <w:pPr>
        <w:numPr>
          <w:ilvl w:val="0"/>
          <w:numId w:val="37"/>
        </w:numPr>
        <w:spacing w:after="200" w:line="276" w:lineRule="auto"/>
        <w:contextualSpacing/>
        <w:rPr>
          <w:rFonts w:ascii="Calibri" w:eastAsia="Calibri" w:hAnsi="Calibri"/>
          <w:sz w:val="22"/>
          <w:szCs w:val="22"/>
        </w:rPr>
      </w:pPr>
      <w:r>
        <w:rPr>
          <w:rFonts w:ascii="Calibri" w:hAnsi="Calibri"/>
          <w:sz w:val="22"/>
        </w:rPr>
        <w:t>nie stosuje opublikowanych kryteriów lub kryteriów innych niż te, które mają być opublikowane zgodnie z § 93 ust. 1 akapit 1 i 2 MStV, lub</w:t>
      </w:r>
    </w:p>
    <w:p w14:paraId="40E1AF8F" w14:textId="77777777" w:rsidR="00D87095" w:rsidRDefault="00D87095" w:rsidP="002A4057">
      <w:pPr>
        <w:numPr>
          <w:ilvl w:val="0"/>
          <w:numId w:val="37"/>
        </w:numPr>
        <w:spacing w:after="200" w:line="276" w:lineRule="auto"/>
        <w:contextualSpacing/>
        <w:rPr>
          <w:rFonts w:ascii="Calibri" w:eastAsia="Calibri" w:hAnsi="Calibri"/>
          <w:sz w:val="22"/>
          <w:szCs w:val="22"/>
        </w:rPr>
      </w:pPr>
      <w:r>
        <w:rPr>
          <w:rFonts w:ascii="Calibri" w:hAnsi="Calibri"/>
          <w:sz w:val="22"/>
        </w:rPr>
        <w:t>odstępuje od opublikowanego ważenia głównych kryteriów łączenia, selekcji i prezentacji treści.</w:t>
      </w:r>
    </w:p>
    <w:p w14:paraId="2D18D8B1" w14:textId="77777777" w:rsidR="002A4057" w:rsidRPr="00D87095" w:rsidRDefault="002A4057" w:rsidP="002A4057">
      <w:pPr>
        <w:spacing w:after="200" w:line="276" w:lineRule="auto"/>
        <w:ind w:left="720"/>
        <w:contextualSpacing/>
        <w:rPr>
          <w:rFonts w:ascii="Calibri" w:eastAsia="Calibri" w:hAnsi="Calibri"/>
          <w:sz w:val="22"/>
          <w:szCs w:val="22"/>
          <w:lang w:eastAsia="en-US"/>
        </w:rPr>
      </w:pPr>
    </w:p>
    <w:p w14:paraId="2D3DCCAD" w14:textId="77777777" w:rsidR="00D87095" w:rsidRDefault="00D87095" w:rsidP="002A4057">
      <w:pPr>
        <w:spacing w:after="200" w:line="276" w:lineRule="auto"/>
        <w:contextualSpacing/>
        <w:rPr>
          <w:rFonts w:ascii="Calibri" w:eastAsia="Calibri" w:hAnsi="Calibri"/>
          <w:sz w:val="22"/>
          <w:szCs w:val="22"/>
        </w:rPr>
      </w:pPr>
      <w:r>
        <w:rPr>
          <w:rFonts w:ascii="Calibri" w:hAnsi="Calibri"/>
          <w:sz w:val="22"/>
        </w:rPr>
        <w:t xml:space="preserve">(3) </w:t>
      </w:r>
      <w:r>
        <w:rPr>
          <w:rFonts w:ascii="Calibri" w:hAnsi="Calibri"/>
          <w:sz w:val="22"/>
          <w:vertAlign w:val="superscript"/>
        </w:rPr>
        <w:t>1</w:t>
      </w:r>
      <w:r>
        <w:rPr>
          <w:rFonts w:ascii="Calibri" w:hAnsi="Calibri"/>
          <w:sz w:val="22"/>
        </w:rPr>
        <w:t xml:space="preserve">Czy odchylenie w rozumieniu § 94 ust. 2 pierwszej alternatywy MStV jest systematyczne, ustala się na podstawie całościowego spojrzenia na wszystkie okoliczności. </w:t>
      </w:r>
      <w:r>
        <w:rPr>
          <w:rFonts w:ascii="Calibri" w:hAnsi="Calibri"/>
          <w:sz w:val="22"/>
          <w:vertAlign w:val="superscript"/>
        </w:rPr>
        <w:t>2</w:t>
      </w:r>
      <w:r>
        <w:rPr>
          <w:rFonts w:ascii="Calibri" w:hAnsi="Calibri"/>
          <w:sz w:val="22"/>
        </w:rPr>
        <w:t>W szczególności uwzględnia się czas trwania, regularność, powtarzanie i harmonogram odchylenia.</w:t>
      </w:r>
    </w:p>
    <w:p w14:paraId="36E1E28A" w14:textId="77777777" w:rsidR="002A4057" w:rsidRPr="00D87095" w:rsidRDefault="002A4057" w:rsidP="002A4057">
      <w:pPr>
        <w:spacing w:after="200" w:line="276" w:lineRule="auto"/>
        <w:contextualSpacing/>
        <w:rPr>
          <w:rFonts w:ascii="Calibri" w:eastAsia="Calibri" w:hAnsi="Calibri"/>
          <w:sz w:val="22"/>
          <w:szCs w:val="22"/>
          <w:lang w:eastAsia="en-US"/>
        </w:rPr>
      </w:pPr>
    </w:p>
    <w:p w14:paraId="12BC8BDF"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t>(4) Odchylenie jest uzasadnione, jeżeli wynika z obiektywnie uzasadnionego powodu. Przyczynami takiego stanu rzeczy mogą być w szczególności</w:t>
      </w:r>
    </w:p>
    <w:p w14:paraId="664EA547" w14:textId="77777777" w:rsidR="00D87095" w:rsidRPr="00D87095" w:rsidRDefault="00D87095" w:rsidP="002A4057">
      <w:pPr>
        <w:numPr>
          <w:ilvl w:val="0"/>
          <w:numId w:val="38"/>
        </w:numPr>
        <w:spacing w:after="200" w:line="276" w:lineRule="auto"/>
        <w:contextualSpacing/>
        <w:rPr>
          <w:rFonts w:ascii="Calibri" w:eastAsia="Calibri" w:hAnsi="Calibri"/>
          <w:sz w:val="22"/>
          <w:szCs w:val="22"/>
        </w:rPr>
      </w:pPr>
      <w:r>
        <w:rPr>
          <w:rFonts w:ascii="Calibri" w:hAnsi="Calibri"/>
          <w:sz w:val="22"/>
        </w:rPr>
        <w:t>zakazy prawne lub zobowiązania prawne;</w:t>
      </w:r>
    </w:p>
    <w:p w14:paraId="722788A1" w14:textId="77777777" w:rsidR="00D87095" w:rsidRPr="00D87095" w:rsidRDefault="00D87095" w:rsidP="002A4057">
      <w:pPr>
        <w:numPr>
          <w:ilvl w:val="0"/>
          <w:numId w:val="38"/>
        </w:numPr>
        <w:spacing w:after="200" w:line="276" w:lineRule="auto"/>
        <w:contextualSpacing/>
        <w:rPr>
          <w:rFonts w:ascii="Calibri" w:eastAsia="Calibri" w:hAnsi="Calibri"/>
          <w:sz w:val="22"/>
          <w:szCs w:val="22"/>
        </w:rPr>
      </w:pPr>
      <w:r>
        <w:rPr>
          <w:rFonts w:ascii="Calibri" w:hAnsi="Calibri"/>
          <w:sz w:val="22"/>
        </w:rPr>
        <w:t>warunki techniczne w prezentacji dla użytkownika;</w:t>
      </w:r>
    </w:p>
    <w:p w14:paraId="71B181A5" w14:textId="77777777" w:rsidR="00D87095" w:rsidRDefault="00D87095" w:rsidP="002A4057">
      <w:pPr>
        <w:numPr>
          <w:ilvl w:val="0"/>
          <w:numId w:val="38"/>
        </w:numPr>
        <w:spacing w:after="200" w:line="276" w:lineRule="auto"/>
        <w:contextualSpacing/>
        <w:rPr>
          <w:rFonts w:ascii="Calibri" w:eastAsia="Calibri" w:hAnsi="Calibri"/>
          <w:sz w:val="22"/>
          <w:szCs w:val="22"/>
        </w:rPr>
      </w:pPr>
      <w:r>
        <w:rPr>
          <w:rFonts w:ascii="Calibri" w:hAnsi="Calibri"/>
          <w:sz w:val="22"/>
        </w:rPr>
        <w:t>wymogi w celu ochrony integralności usługi.</w:t>
      </w:r>
    </w:p>
    <w:p w14:paraId="41C78C34" w14:textId="77777777" w:rsidR="002A4057" w:rsidRPr="00D87095" w:rsidRDefault="002A4057" w:rsidP="002A4057">
      <w:pPr>
        <w:spacing w:after="200" w:line="276" w:lineRule="auto"/>
        <w:ind w:left="720"/>
        <w:contextualSpacing/>
        <w:rPr>
          <w:rFonts w:ascii="Calibri" w:eastAsia="Calibri" w:hAnsi="Calibri"/>
          <w:sz w:val="22"/>
          <w:szCs w:val="22"/>
          <w:lang w:eastAsia="en-US"/>
        </w:rPr>
      </w:pPr>
    </w:p>
    <w:p w14:paraId="1F5A8B12" w14:textId="77777777" w:rsidR="00D87095" w:rsidRPr="00D87095" w:rsidRDefault="00D87095" w:rsidP="002A4057">
      <w:pPr>
        <w:spacing w:after="200" w:line="276" w:lineRule="auto"/>
        <w:contextualSpacing/>
        <w:rPr>
          <w:rFonts w:ascii="Calibri" w:eastAsia="Calibri" w:hAnsi="Calibri"/>
          <w:sz w:val="22"/>
          <w:szCs w:val="22"/>
        </w:rPr>
      </w:pPr>
      <w:r>
        <w:rPr>
          <w:rFonts w:ascii="Calibri" w:hAnsi="Calibri"/>
          <w:sz w:val="22"/>
        </w:rPr>
        <w:t xml:space="preserve">(5) Ocena, czy istnieje obiektywnie uzasadniony powód, następuje po rozważeniu interesów zainteresowanych stron z uwzględnieniem celu MStV, jakim jest zapewnienie różnorodności opinii.  </w:t>
      </w:r>
    </w:p>
    <w:p w14:paraId="6F9605C2" w14:textId="77777777" w:rsidR="00D87095" w:rsidRPr="00D87095" w:rsidRDefault="00D87095" w:rsidP="006E5D47">
      <w:pPr>
        <w:spacing w:line="276" w:lineRule="auto"/>
        <w:jc w:val="center"/>
        <w:rPr>
          <w:rFonts w:ascii="Calibri" w:eastAsia="Calibri" w:hAnsi="Calibri"/>
          <w:b/>
          <w:sz w:val="22"/>
          <w:szCs w:val="22"/>
          <w:lang w:eastAsia="en-US"/>
        </w:rPr>
      </w:pPr>
    </w:p>
    <w:p w14:paraId="6967C39B" w14:textId="77777777" w:rsidR="00D87095" w:rsidRPr="00D87095" w:rsidRDefault="00D87095" w:rsidP="006E5D47">
      <w:pPr>
        <w:spacing w:line="276" w:lineRule="auto"/>
        <w:jc w:val="center"/>
        <w:rPr>
          <w:rFonts w:ascii="Calibri" w:eastAsia="Calibri" w:hAnsi="Calibri"/>
          <w:b/>
          <w:sz w:val="22"/>
          <w:szCs w:val="22"/>
        </w:rPr>
      </w:pPr>
      <w:r>
        <w:rPr>
          <w:rFonts w:ascii="Calibri" w:hAnsi="Calibri"/>
          <w:b/>
          <w:sz w:val="22"/>
        </w:rPr>
        <w:t>§ 9</w:t>
      </w:r>
    </w:p>
    <w:p w14:paraId="4CC8134F" w14:textId="77777777" w:rsidR="00D87095" w:rsidRPr="00D87095" w:rsidRDefault="00D87095" w:rsidP="006E5D47">
      <w:pPr>
        <w:spacing w:line="276" w:lineRule="auto"/>
        <w:jc w:val="center"/>
        <w:rPr>
          <w:rFonts w:ascii="Calibri" w:eastAsia="Calibri" w:hAnsi="Calibri"/>
          <w:b/>
          <w:sz w:val="22"/>
          <w:szCs w:val="22"/>
        </w:rPr>
      </w:pPr>
      <w:r>
        <w:rPr>
          <w:rFonts w:ascii="Calibri" w:hAnsi="Calibri"/>
          <w:b/>
          <w:sz w:val="22"/>
        </w:rPr>
        <w:t>Nieuzasadniona przeszkoda zgodnie z § 94 ust. 2, druga alternatywa MStV</w:t>
      </w:r>
    </w:p>
    <w:p w14:paraId="32999D29" w14:textId="77777777" w:rsidR="00D87095" w:rsidRPr="00D87095" w:rsidRDefault="00D87095" w:rsidP="006E5D47">
      <w:pPr>
        <w:spacing w:line="276" w:lineRule="auto"/>
        <w:jc w:val="center"/>
        <w:rPr>
          <w:rFonts w:ascii="Calibri" w:eastAsia="Calibri" w:hAnsi="Calibri"/>
          <w:b/>
          <w:sz w:val="22"/>
          <w:szCs w:val="22"/>
          <w:lang w:eastAsia="en-US"/>
        </w:rPr>
      </w:pPr>
    </w:p>
    <w:p w14:paraId="4A2EF11B"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(1) Przeszkodą w rozumieniu § 94 ust. 2 drugiej alternatywy MStV jest bezpośrednie lub pośrednie zakłócenie dostępu do oferty dziennikarsko-redakcyjnej lub możliwości jej znalezienia.</w:t>
      </w:r>
    </w:p>
    <w:p w14:paraId="05E47007"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(2) Stosuje się odpowiednio § 8 ust. 1.</w:t>
      </w:r>
    </w:p>
    <w:p w14:paraId="27AA8081" w14:textId="77777777" w:rsidR="006E5D47" w:rsidRDefault="006E5D47" w:rsidP="006E5D47">
      <w:pPr>
        <w:spacing w:after="200" w:line="276" w:lineRule="auto"/>
        <w:contextualSpacing/>
        <w:rPr>
          <w:rFonts w:ascii="Calibri" w:eastAsia="Calibri" w:hAnsi="Calibri"/>
          <w:sz w:val="22"/>
          <w:szCs w:val="22"/>
          <w:lang w:eastAsia="en-US"/>
        </w:rPr>
      </w:pPr>
    </w:p>
    <w:p w14:paraId="5310A509" w14:textId="77777777" w:rsid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(3) </w:t>
      </w:r>
      <w:r>
        <w:rPr>
          <w:rFonts w:ascii="Calibri" w:hAnsi="Calibri"/>
          <w:sz w:val="22"/>
          <w:vertAlign w:val="superscript"/>
        </w:rPr>
        <w:t>1</w:t>
      </w:r>
      <w:r>
        <w:rPr>
          <w:rFonts w:ascii="Calibri" w:hAnsi="Calibri"/>
          <w:sz w:val="22"/>
        </w:rPr>
        <w:t xml:space="preserve">Na podstawie całościowego spojrzenia na wszystkie okoliczności należy ustalić, czy przeszkoda w rozumieniu § 94 ust. 2 drugiej alternatywy MStV ma charakter systematyczny. </w:t>
      </w:r>
      <w:r>
        <w:rPr>
          <w:rFonts w:ascii="Calibri" w:hAnsi="Calibri"/>
          <w:sz w:val="22"/>
          <w:vertAlign w:val="superscript"/>
        </w:rPr>
        <w:t>2</w:t>
      </w:r>
      <w:r>
        <w:rPr>
          <w:rFonts w:ascii="Calibri" w:hAnsi="Calibri"/>
          <w:sz w:val="22"/>
        </w:rPr>
        <w:t>Należy wziąć pod uwagę czas trwania, regularność, powtarzalność i regularność przeszkód.</w:t>
      </w:r>
    </w:p>
    <w:p w14:paraId="409831BF" w14:textId="77777777" w:rsidR="006E5D47" w:rsidRPr="00D87095" w:rsidRDefault="006E5D47" w:rsidP="006E5D47">
      <w:pPr>
        <w:spacing w:after="200" w:line="276" w:lineRule="auto"/>
        <w:contextualSpacing/>
        <w:rPr>
          <w:rFonts w:ascii="Calibri" w:eastAsia="Calibri" w:hAnsi="Calibri"/>
          <w:sz w:val="22"/>
          <w:szCs w:val="22"/>
          <w:lang w:eastAsia="en-US"/>
        </w:rPr>
      </w:pPr>
    </w:p>
    <w:p w14:paraId="29B9404F"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(4) </w:t>
      </w:r>
      <w:r>
        <w:rPr>
          <w:rFonts w:ascii="Calibri" w:hAnsi="Calibri"/>
          <w:sz w:val="22"/>
          <w:vertAlign w:val="superscript"/>
        </w:rPr>
        <w:t>1</w:t>
      </w:r>
      <w:r>
        <w:rPr>
          <w:rFonts w:ascii="Calibri" w:hAnsi="Calibri"/>
          <w:sz w:val="22"/>
        </w:rPr>
        <w:t xml:space="preserve">Nieuzasadniony charakter przeszkody jest oceniany na podstawie równowagi między interesami stron, z uwzględnieniem celu MStV, jakim jest ochrona różnorodności opinii. </w:t>
      </w:r>
      <w:r>
        <w:rPr>
          <w:rFonts w:ascii="Calibri" w:hAnsi="Calibri"/>
          <w:sz w:val="22"/>
          <w:vertAlign w:val="superscript"/>
        </w:rPr>
        <w:t>2</w:t>
      </w:r>
      <w:r>
        <w:rPr>
          <w:rFonts w:ascii="Calibri" w:hAnsi="Calibri"/>
          <w:sz w:val="22"/>
        </w:rPr>
        <w:t xml:space="preserve">Nieuzasadniony charakter przeszkody może wynikać z indywidualnych kryteriów lub ze skumulowanego oddziaływania kilku kryteriów.  </w:t>
      </w:r>
    </w:p>
    <w:p w14:paraId="42E4DAF6" w14:textId="77777777" w:rsidR="00D87095" w:rsidRDefault="00D87095" w:rsidP="006E5D47">
      <w:pPr>
        <w:spacing w:line="276" w:lineRule="auto"/>
        <w:jc w:val="center"/>
        <w:rPr>
          <w:rFonts w:ascii="Calibri" w:eastAsia="Calibri" w:hAnsi="Calibri"/>
          <w:b/>
          <w:sz w:val="22"/>
          <w:szCs w:val="22"/>
          <w:lang w:eastAsia="en-US"/>
        </w:rPr>
      </w:pPr>
    </w:p>
    <w:p w14:paraId="60B0D50D" w14:textId="77777777" w:rsidR="006E5D47" w:rsidRPr="00D87095" w:rsidRDefault="006E5D47" w:rsidP="006E5D47">
      <w:pPr>
        <w:spacing w:line="276" w:lineRule="auto"/>
        <w:jc w:val="center"/>
        <w:rPr>
          <w:rFonts w:ascii="Calibri" w:eastAsia="Calibri" w:hAnsi="Calibri"/>
          <w:b/>
          <w:sz w:val="22"/>
          <w:szCs w:val="22"/>
          <w:lang w:eastAsia="en-US"/>
        </w:rPr>
      </w:pPr>
    </w:p>
    <w:p w14:paraId="7AEA2AB6" w14:textId="77777777" w:rsidR="00D87095" w:rsidRPr="00D87095" w:rsidRDefault="006E5D47" w:rsidP="006E5D47">
      <w:pPr>
        <w:spacing w:line="276" w:lineRule="auto"/>
        <w:jc w:val="center"/>
        <w:rPr>
          <w:rFonts w:ascii="Calibri" w:eastAsia="Calibri" w:hAnsi="Calibri"/>
          <w:b/>
          <w:sz w:val="22"/>
          <w:szCs w:val="22"/>
        </w:rPr>
      </w:pPr>
      <w:r>
        <w:rPr>
          <w:rFonts w:ascii="Calibri" w:hAnsi="Calibri"/>
          <w:b/>
          <w:sz w:val="22"/>
        </w:rPr>
        <w:lastRenderedPageBreak/>
        <w:t>Sekcja 4: Postępowanie i dochodzenie</w:t>
      </w:r>
    </w:p>
    <w:p w14:paraId="047583E7" w14:textId="77777777" w:rsidR="00D87095" w:rsidRPr="00D87095" w:rsidRDefault="00D87095" w:rsidP="006E5D47">
      <w:pPr>
        <w:spacing w:line="276" w:lineRule="auto"/>
        <w:jc w:val="center"/>
        <w:rPr>
          <w:rFonts w:ascii="Calibri" w:eastAsia="Calibri" w:hAnsi="Calibri"/>
          <w:b/>
          <w:sz w:val="22"/>
          <w:szCs w:val="22"/>
          <w:lang w:eastAsia="en-US"/>
        </w:rPr>
      </w:pPr>
    </w:p>
    <w:p w14:paraId="2B51EB18" w14:textId="77777777" w:rsidR="00D87095" w:rsidRPr="00D87095" w:rsidRDefault="00D87095" w:rsidP="006E5D47">
      <w:pPr>
        <w:spacing w:line="276" w:lineRule="auto"/>
        <w:jc w:val="center"/>
        <w:rPr>
          <w:rFonts w:ascii="Calibri" w:eastAsia="Calibri" w:hAnsi="Calibri"/>
          <w:b/>
          <w:sz w:val="22"/>
          <w:szCs w:val="22"/>
        </w:rPr>
      </w:pPr>
      <w:r>
        <w:rPr>
          <w:rFonts w:ascii="Calibri" w:hAnsi="Calibri"/>
          <w:b/>
          <w:sz w:val="22"/>
        </w:rPr>
        <w:t>§ 10</w:t>
      </w:r>
    </w:p>
    <w:p w14:paraId="00B4B7B6" w14:textId="77777777" w:rsidR="00D87095" w:rsidRDefault="00D87095" w:rsidP="006E5D47">
      <w:pPr>
        <w:spacing w:line="276" w:lineRule="auto"/>
        <w:jc w:val="center"/>
        <w:rPr>
          <w:rFonts w:ascii="Calibri" w:eastAsia="Calibri" w:hAnsi="Calibri"/>
          <w:b/>
          <w:sz w:val="22"/>
          <w:szCs w:val="22"/>
        </w:rPr>
      </w:pPr>
      <w:r>
        <w:rPr>
          <w:rFonts w:ascii="Calibri" w:hAnsi="Calibri"/>
          <w:b/>
          <w:sz w:val="22"/>
        </w:rPr>
        <w:t>Kompetencje ZAK</w:t>
      </w:r>
    </w:p>
    <w:p w14:paraId="2FF8793D" w14:textId="77777777" w:rsidR="006E5D47" w:rsidRPr="00D87095" w:rsidRDefault="006E5D47" w:rsidP="006E5D47">
      <w:pPr>
        <w:spacing w:after="200" w:line="276" w:lineRule="auto"/>
        <w:contextualSpacing/>
        <w:rPr>
          <w:rFonts w:ascii="Calibri" w:eastAsia="Calibri" w:hAnsi="Calibri"/>
          <w:sz w:val="22"/>
          <w:szCs w:val="22"/>
          <w:lang w:eastAsia="en-US"/>
        </w:rPr>
      </w:pPr>
    </w:p>
    <w:p w14:paraId="6A4FF4DF" w14:textId="77777777" w:rsidR="00D87095" w:rsidRDefault="00D87095" w:rsidP="006E5D47">
      <w:pPr>
        <w:spacing w:after="200" w:line="276" w:lineRule="auto"/>
        <w:contextualSpacing/>
        <w:rPr>
          <w:rFonts w:ascii="Calibri" w:eastAsia="Calibri" w:hAnsi="Calibri"/>
          <w:sz w:val="22"/>
          <w:szCs w:val="22"/>
        </w:rPr>
      </w:pPr>
      <w:r>
        <w:rPr>
          <w:rFonts w:ascii="Calibri" w:hAnsi="Calibri"/>
          <w:sz w:val="22"/>
        </w:rPr>
        <w:t>(1) Odpowiednim organem do celów wykonywania zadań w ramach niniejszego statutu jest Komisja ds. Licencji i Nadzoru (ZAK) przy właściwym federalnym państwowym organie medialnym (§ 104 ust. 2 zdanie 1 nr 1, § 105 ust. 1 zdanie 1 nr 10 MStV w związku z regulaminem ZAK - GVO ZAK).</w:t>
      </w:r>
    </w:p>
    <w:p w14:paraId="187200F1" w14:textId="77777777" w:rsidR="006E5D47" w:rsidRPr="00D87095" w:rsidRDefault="006E5D47" w:rsidP="006E5D47">
      <w:pPr>
        <w:spacing w:after="200" w:line="276" w:lineRule="auto"/>
        <w:contextualSpacing/>
        <w:rPr>
          <w:rFonts w:ascii="Calibri" w:eastAsia="Calibri" w:hAnsi="Calibri"/>
          <w:sz w:val="22"/>
          <w:szCs w:val="22"/>
          <w:lang w:eastAsia="en-US"/>
        </w:rPr>
      </w:pPr>
    </w:p>
    <w:p w14:paraId="689AEB53"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(2) </w:t>
      </w:r>
      <w:r>
        <w:rPr>
          <w:rFonts w:ascii="Calibri" w:hAnsi="Calibri"/>
          <w:sz w:val="22"/>
          <w:vertAlign w:val="superscript"/>
        </w:rPr>
        <w:t>1</w:t>
      </w:r>
      <w:r>
        <w:rPr>
          <w:rFonts w:ascii="Calibri" w:hAnsi="Calibri"/>
          <w:sz w:val="22"/>
        </w:rPr>
        <w:t xml:space="preserve">Właściwy federalny państwowy organ medialny niezwłocznie przekazuje ZAK skargi za pośrednictwem wspólnego biura zgodnie z § 11 i informuje go o przeprowadzeniu kontroli z urzędu. </w:t>
      </w:r>
      <w:r>
        <w:rPr>
          <w:rFonts w:ascii="Calibri" w:hAnsi="Calibri"/>
          <w:sz w:val="22"/>
          <w:vertAlign w:val="superscript"/>
        </w:rPr>
        <w:t>2</w:t>
      </w:r>
      <w:r>
        <w:rPr>
          <w:rFonts w:ascii="Calibri" w:hAnsi="Calibri"/>
          <w:sz w:val="22"/>
        </w:rPr>
        <w:t>ZAK prowadzi postępowanie do czasu wydania decyzji.</w:t>
      </w:r>
    </w:p>
    <w:p w14:paraId="1A42BDD3" w14:textId="77777777" w:rsidR="006E5D47" w:rsidRPr="006E5D47" w:rsidRDefault="006E5D47" w:rsidP="006E5D47">
      <w:pPr>
        <w:spacing w:line="276" w:lineRule="auto"/>
        <w:jc w:val="center"/>
        <w:rPr>
          <w:rFonts w:ascii="Calibri" w:eastAsia="Calibri" w:hAnsi="Calibri"/>
          <w:b/>
          <w:sz w:val="22"/>
          <w:szCs w:val="22"/>
          <w:lang w:eastAsia="en-US"/>
        </w:rPr>
      </w:pPr>
    </w:p>
    <w:p w14:paraId="0D7905FF" w14:textId="77777777" w:rsidR="00D87095" w:rsidRPr="00D87095" w:rsidRDefault="00D87095" w:rsidP="006E5D47">
      <w:pPr>
        <w:spacing w:line="276" w:lineRule="auto"/>
        <w:jc w:val="center"/>
        <w:rPr>
          <w:rFonts w:ascii="Calibri" w:eastAsia="Calibri" w:hAnsi="Calibri"/>
          <w:b/>
          <w:sz w:val="22"/>
          <w:szCs w:val="22"/>
        </w:rPr>
      </w:pPr>
      <w:r>
        <w:rPr>
          <w:rFonts w:ascii="Calibri" w:hAnsi="Calibri"/>
          <w:b/>
          <w:sz w:val="22"/>
        </w:rPr>
        <w:t>§ 11</w:t>
      </w:r>
    </w:p>
    <w:p w14:paraId="76E7BFE8" w14:textId="77777777" w:rsidR="00D87095" w:rsidRDefault="00D87095" w:rsidP="006E5D47">
      <w:pPr>
        <w:spacing w:line="276" w:lineRule="auto"/>
        <w:jc w:val="center"/>
        <w:rPr>
          <w:rFonts w:ascii="Calibri" w:eastAsia="Calibri" w:hAnsi="Calibri"/>
          <w:b/>
          <w:sz w:val="22"/>
          <w:szCs w:val="22"/>
        </w:rPr>
      </w:pPr>
      <w:r>
        <w:rPr>
          <w:rFonts w:ascii="Calibri" w:hAnsi="Calibri"/>
          <w:b/>
          <w:sz w:val="22"/>
        </w:rPr>
        <w:t>Procedura niedyskryminacji</w:t>
      </w:r>
    </w:p>
    <w:p w14:paraId="33BA10EE" w14:textId="77777777" w:rsidR="006E5D47" w:rsidRPr="00D87095" w:rsidRDefault="006E5D47" w:rsidP="006E5D47">
      <w:pPr>
        <w:spacing w:line="276" w:lineRule="auto"/>
        <w:jc w:val="center"/>
        <w:rPr>
          <w:rFonts w:ascii="Calibri" w:eastAsia="Calibri" w:hAnsi="Calibri"/>
          <w:b/>
          <w:sz w:val="22"/>
          <w:szCs w:val="22"/>
          <w:lang w:eastAsia="en-US"/>
        </w:rPr>
      </w:pPr>
    </w:p>
    <w:p w14:paraId="042858CD"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(1) Właściwy federalny państwowy organ medialny bada za pośrednictwem ZAK, na podstawie skargi lub w oczywistych przypadkach z urzędu, czy operator pośrednika medialnego narusza przepisy § 94 ust. 1 i 2 MStV lub §§ 8 i 9.</w:t>
      </w:r>
    </w:p>
    <w:p w14:paraId="1AE357E3" w14:textId="77777777" w:rsidR="006E5D47" w:rsidRDefault="006E5D47" w:rsidP="006E5D47">
      <w:pPr>
        <w:spacing w:after="200" w:line="276" w:lineRule="auto"/>
        <w:contextualSpacing/>
        <w:rPr>
          <w:rFonts w:ascii="Calibri" w:eastAsia="Calibri" w:hAnsi="Calibri"/>
          <w:sz w:val="22"/>
          <w:szCs w:val="22"/>
          <w:lang w:eastAsia="en-US"/>
        </w:rPr>
      </w:pPr>
    </w:p>
    <w:p w14:paraId="1EAF67C6"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(2) Prawo do wniesienia odwołania w rozumieniu § 94 ust. 3 zdanie 1 MStV przysługuje </w:t>
      </w:r>
    </w:p>
    <w:p w14:paraId="4A2CD545" w14:textId="77777777" w:rsidR="00D87095" w:rsidRPr="00D87095" w:rsidRDefault="00D87095" w:rsidP="006E5D47">
      <w:pPr>
        <w:numPr>
          <w:ilvl w:val="0"/>
          <w:numId w:val="39"/>
        </w:numPr>
        <w:spacing w:after="200" w:line="276" w:lineRule="auto"/>
        <w:contextualSpacing/>
        <w:rPr>
          <w:rFonts w:ascii="Calibri" w:eastAsia="Calibri" w:hAnsi="Calibri"/>
          <w:sz w:val="22"/>
          <w:szCs w:val="22"/>
        </w:rPr>
      </w:pPr>
      <w:r>
        <w:rPr>
          <w:rFonts w:ascii="Calibri" w:hAnsi="Calibri"/>
          <w:sz w:val="22"/>
        </w:rPr>
        <w:t xml:space="preserve">dostawcy treści dziennikarsko-redakcyjnych oraz </w:t>
      </w:r>
    </w:p>
    <w:p w14:paraId="34FE96B4" w14:textId="77777777" w:rsidR="00D87095" w:rsidRDefault="00D87095" w:rsidP="006E5D47">
      <w:pPr>
        <w:numPr>
          <w:ilvl w:val="0"/>
          <w:numId w:val="39"/>
        </w:numPr>
        <w:spacing w:after="200" w:line="276" w:lineRule="auto"/>
        <w:contextualSpacing/>
        <w:rPr>
          <w:rFonts w:ascii="Calibri" w:eastAsia="Calibri" w:hAnsi="Calibri"/>
          <w:sz w:val="22"/>
          <w:szCs w:val="22"/>
        </w:rPr>
      </w:pPr>
      <w:r>
        <w:rPr>
          <w:rFonts w:ascii="Calibri" w:hAnsi="Calibri"/>
          <w:sz w:val="22"/>
        </w:rPr>
        <w:t>operatorom platform medialnych i interfejsów użytkownika, w zakresie, w jakim skarżą się na dyskryminację oferowanych przez siebie pakietów treści dziennikarsko-redakcyjnych.</w:t>
      </w:r>
    </w:p>
    <w:p w14:paraId="25E83AAE" w14:textId="77777777" w:rsidR="006E5D47" w:rsidRPr="00D87095" w:rsidRDefault="006E5D47" w:rsidP="006E5D47">
      <w:pPr>
        <w:spacing w:after="200" w:line="276" w:lineRule="auto"/>
        <w:ind w:left="720"/>
        <w:contextualSpacing/>
        <w:rPr>
          <w:rFonts w:ascii="Calibri" w:eastAsia="Calibri" w:hAnsi="Calibri"/>
          <w:sz w:val="22"/>
          <w:szCs w:val="22"/>
          <w:lang w:eastAsia="en-US"/>
        </w:rPr>
      </w:pPr>
    </w:p>
    <w:p w14:paraId="591FDD08"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(3) </w:t>
      </w:r>
      <w:r>
        <w:rPr>
          <w:rFonts w:ascii="Calibri" w:hAnsi="Calibri"/>
          <w:sz w:val="22"/>
          <w:vertAlign w:val="superscript"/>
        </w:rPr>
        <w:t>1</w:t>
      </w:r>
      <w:r>
        <w:rPr>
          <w:rFonts w:ascii="Calibri" w:hAnsi="Calibri"/>
          <w:sz w:val="22"/>
        </w:rPr>
        <w:t xml:space="preserve">Skarżący uzasadnia swoje odwołanie. W tym celu należy przedstawić odpowiedni dowód, z którego będzie wynikać wystarczająca podstawa do zarzutu dyskryminacji treści dziennikarsko-redakcyjnych w rozumieniu § 94 ust. 2 MStV lub §§ 8 i 9. </w:t>
      </w:r>
      <w:r>
        <w:rPr>
          <w:rFonts w:ascii="Calibri" w:hAnsi="Calibri"/>
          <w:sz w:val="22"/>
          <w:vertAlign w:val="superscript"/>
        </w:rPr>
        <w:t>2</w:t>
      </w:r>
      <w:r>
        <w:rPr>
          <w:rFonts w:ascii="Calibri" w:hAnsi="Calibri"/>
          <w:sz w:val="22"/>
        </w:rPr>
        <w:t>W szczególności mogą być zgłaszane:</w:t>
      </w:r>
    </w:p>
    <w:p w14:paraId="366F621C" w14:textId="77777777" w:rsidR="00D87095" w:rsidRPr="00D87095" w:rsidRDefault="00D87095" w:rsidP="006E5D47">
      <w:pPr>
        <w:numPr>
          <w:ilvl w:val="0"/>
          <w:numId w:val="40"/>
        </w:numPr>
        <w:spacing w:after="200" w:line="276" w:lineRule="auto"/>
        <w:contextualSpacing/>
        <w:rPr>
          <w:rFonts w:ascii="Calibri" w:eastAsia="Calibri" w:hAnsi="Calibri"/>
          <w:sz w:val="22"/>
          <w:szCs w:val="22"/>
        </w:rPr>
      </w:pPr>
      <w:r>
        <w:rPr>
          <w:rFonts w:ascii="Calibri" w:hAnsi="Calibri"/>
          <w:sz w:val="22"/>
        </w:rPr>
        <w:t>oceny możliwości znalezienia własnych treści dziennikarsko-redakcyjnych u pośredników medialnych oraz</w:t>
      </w:r>
    </w:p>
    <w:p w14:paraId="6A139CB8" w14:textId="77777777" w:rsidR="00D87095" w:rsidRPr="00D87095" w:rsidRDefault="00D87095" w:rsidP="006E5D47">
      <w:pPr>
        <w:numPr>
          <w:ilvl w:val="0"/>
          <w:numId w:val="40"/>
        </w:numPr>
        <w:spacing w:after="200" w:line="276" w:lineRule="auto"/>
        <w:contextualSpacing/>
        <w:rPr>
          <w:rFonts w:ascii="Calibri" w:eastAsia="Calibri" w:hAnsi="Calibri"/>
          <w:sz w:val="22"/>
          <w:szCs w:val="22"/>
        </w:rPr>
      </w:pPr>
      <w:r>
        <w:rPr>
          <w:rFonts w:ascii="Calibri" w:hAnsi="Calibri"/>
          <w:sz w:val="22"/>
        </w:rPr>
        <w:t>odpowiednie opracowania.</w:t>
      </w:r>
    </w:p>
    <w:p w14:paraId="0D7022CD" w14:textId="77777777" w:rsidR="00D87095" w:rsidRPr="00D87095" w:rsidRDefault="006E5D47" w:rsidP="006E5D47">
      <w:pPr>
        <w:spacing w:after="200" w:line="276" w:lineRule="auto"/>
        <w:contextualSpacing/>
        <w:rPr>
          <w:rFonts w:ascii="Calibri" w:eastAsia="Calibri" w:hAnsi="Calibri"/>
          <w:sz w:val="22"/>
          <w:szCs w:val="22"/>
        </w:rPr>
      </w:pPr>
      <w:r>
        <w:rPr>
          <w:rFonts w:ascii="Calibri" w:hAnsi="Calibri"/>
          <w:sz w:val="22"/>
          <w:vertAlign w:val="superscript"/>
        </w:rPr>
        <w:t>3</w:t>
      </w:r>
      <w:r>
        <w:rPr>
          <w:rFonts w:ascii="Calibri" w:hAnsi="Calibri"/>
          <w:sz w:val="22"/>
        </w:rPr>
        <w:t xml:space="preserve">Ponadto skarżący przedstawia, w miarę możliwości, odpowiedni dowód, z którego wynika, że pośrednik medialny ma szczególnie duży wpływ na odbiór treści dziennikarsko-redakcyjnych w rozumieniu § 94 ust. 1 MStV. </w:t>
      </w:r>
    </w:p>
    <w:p w14:paraId="21F3D1CA" w14:textId="77777777" w:rsidR="006E5D47" w:rsidRDefault="006E5D47" w:rsidP="006E5D47">
      <w:pPr>
        <w:spacing w:after="200" w:line="276" w:lineRule="auto"/>
        <w:contextualSpacing/>
        <w:rPr>
          <w:rFonts w:ascii="Calibri" w:eastAsia="Calibri" w:hAnsi="Calibri"/>
          <w:sz w:val="22"/>
          <w:szCs w:val="22"/>
          <w:lang w:eastAsia="en-US"/>
        </w:rPr>
      </w:pPr>
    </w:p>
    <w:p w14:paraId="21C3F885"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(4) Oczywisty przypadek na podstawie § 94 ust. 3 zdanie 2 MStV i 1 zachodzi wówczas, gdy fakty leżące u podstaw naruszenia zakazu dyskryminacji są wyraźnie rozpoznawalne dla osób trzecich. </w:t>
      </w:r>
    </w:p>
    <w:p w14:paraId="7621BA63" w14:textId="77777777" w:rsidR="00D87095" w:rsidRPr="00D87095" w:rsidRDefault="00D87095" w:rsidP="006E5D47">
      <w:pPr>
        <w:spacing w:after="200" w:line="276" w:lineRule="auto"/>
        <w:contextualSpacing/>
        <w:rPr>
          <w:rFonts w:ascii="Calibri" w:eastAsia="Calibri" w:hAnsi="Calibri"/>
          <w:sz w:val="22"/>
          <w:szCs w:val="22"/>
          <w:lang w:eastAsia="en-US"/>
        </w:rPr>
      </w:pPr>
    </w:p>
    <w:p w14:paraId="06F87163" w14:textId="77777777" w:rsidR="00D87095" w:rsidRP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 12</w:t>
      </w:r>
    </w:p>
    <w:p w14:paraId="04229B8A" w14:textId="77777777" w:rsid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Sprostowanie</w:t>
      </w:r>
    </w:p>
    <w:p w14:paraId="3EB5B5EE" w14:textId="77777777" w:rsidR="006E5D47" w:rsidRPr="00D87095" w:rsidRDefault="006E5D47" w:rsidP="006E5D47">
      <w:pPr>
        <w:spacing w:after="200" w:line="276" w:lineRule="auto"/>
        <w:contextualSpacing/>
        <w:jc w:val="center"/>
        <w:rPr>
          <w:rFonts w:ascii="Calibri" w:eastAsia="Calibri" w:hAnsi="Calibri"/>
          <w:b/>
          <w:sz w:val="22"/>
          <w:szCs w:val="22"/>
          <w:lang w:eastAsia="en-US"/>
        </w:rPr>
      </w:pPr>
    </w:p>
    <w:p w14:paraId="5C113929" w14:textId="77777777" w:rsidR="00D87095" w:rsidRPr="00D87095" w:rsidRDefault="006E5D47" w:rsidP="006E5D47">
      <w:pPr>
        <w:spacing w:after="200" w:line="276" w:lineRule="auto"/>
        <w:contextualSpacing/>
        <w:rPr>
          <w:rFonts w:ascii="Calibri" w:eastAsia="Calibri" w:hAnsi="Calibri"/>
          <w:sz w:val="22"/>
          <w:szCs w:val="22"/>
        </w:rPr>
      </w:pPr>
      <w:r>
        <w:rPr>
          <w:rFonts w:ascii="Calibri" w:hAnsi="Calibri"/>
          <w:sz w:val="22"/>
          <w:vertAlign w:val="superscript"/>
        </w:rPr>
        <w:t>1</w:t>
      </w:r>
      <w:r>
        <w:rPr>
          <w:rFonts w:ascii="Calibri" w:hAnsi="Calibri"/>
          <w:sz w:val="22"/>
        </w:rPr>
        <w:t xml:space="preserve">Jeżeli za pośrednictwem ZAK właściwy federalny państwowy organ medialny stwierdzi, że operator pośrednika medialnego narusza §§ 92-94 MStV lub postanowienia niniejszego statutu, operator pośrednika medialnego niezwłocznie prostuje pośrednika medialnego. </w:t>
      </w:r>
      <w:r>
        <w:rPr>
          <w:rFonts w:ascii="Calibri" w:hAnsi="Calibri"/>
          <w:sz w:val="22"/>
          <w:vertAlign w:val="superscript"/>
        </w:rPr>
        <w:t>2</w:t>
      </w:r>
      <w:r>
        <w:rPr>
          <w:rFonts w:ascii="Calibri" w:hAnsi="Calibri"/>
          <w:sz w:val="22"/>
        </w:rPr>
        <w:t xml:space="preserve">Operator pośrednika </w:t>
      </w:r>
      <w:r>
        <w:rPr>
          <w:rFonts w:ascii="Calibri" w:hAnsi="Calibri"/>
          <w:sz w:val="22"/>
        </w:rPr>
        <w:lastRenderedPageBreak/>
        <w:t>medialnego jest zobowiązany do przekazania dowodu sprostowania właściwemu federalnemu państwowemu organowi medialnemu w odpowiedni i zrozumiały sposób.</w:t>
      </w:r>
    </w:p>
    <w:p w14:paraId="1BCAC199" w14:textId="77777777" w:rsidR="00D87095" w:rsidRPr="00D87095" w:rsidRDefault="00D87095" w:rsidP="006E5D47">
      <w:pPr>
        <w:spacing w:after="200" w:line="276" w:lineRule="auto"/>
        <w:contextualSpacing/>
        <w:jc w:val="center"/>
        <w:rPr>
          <w:rFonts w:ascii="Calibri" w:eastAsia="Calibri" w:hAnsi="Calibri"/>
          <w:b/>
          <w:sz w:val="22"/>
          <w:szCs w:val="22"/>
          <w:lang w:eastAsia="en-US"/>
        </w:rPr>
      </w:pPr>
    </w:p>
    <w:p w14:paraId="4C71CD0B" w14:textId="77777777" w:rsidR="00D87095" w:rsidRP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 13</w:t>
      </w:r>
    </w:p>
    <w:p w14:paraId="44D3FD42" w14:textId="77777777" w:rsid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Informacje i składanie dokumentów</w:t>
      </w:r>
    </w:p>
    <w:p w14:paraId="13A793C9" w14:textId="77777777" w:rsidR="006E5D47" w:rsidRPr="00D87095" w:rsidRDefault="006E5D47" w:rsidP="006E5D47">
      <w:pPr>
        <w:spacing w:after="200" w:line="276" w:lineRule="auto"/>
        <w:contextualSpacing/>
        <w:jc w:val="center"/>
        <w:rPr>
          <w:rFonts w:ascii="Calibri" w:eastAsia="Calibri" w:hAnsi="Calibri"/>
          <w:b/>
          <w:sz w:val="22"/>
          <w:szCs w:val="22"/>
          <w:lang w:eastAsia="en-US"/>
        </w:rPr>
      </w:pPr>
    </w:p>
    <w:p w14:paraId="1EDD5273"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(1) </w:t>
      </w:r>
      <w:r>
        <w:rPr>
          <w:rFonts w:ascii="Calibri" w:hAnsi="Calibri"/>
          <w:sz w:val="22"/>
          <w:vertAlign w:val="superscript"/>
        </w:rPr>
        <w:t>1</w:t>
      </w:r>
      <w:r>
        <w:rPr>
          <w:rFonts w:ascii="Calibri" w:hAnsi="Calibri"/>
          <w:sz w:val="22"/>
        </w:rPr>
        <w:t xml:space="preserve">W celu sprawdzenia ewentualnego naruszenia, operator pośrednika medialnego jest zobowiązany do dostarczenia wszelkich niezbędnych informacji, udostępnienia informacji i przedkładania dokumentów. </w:t>
      </w:r>
      <w:r>
        <w:rPr>
          <w:rFonts w:ascii="Calibri" w:hAnsi="Calibri"/>
          <w:sz w:val="22"/>
          <w:vertAlign w:val="superscript"/>
        </w:rPr>
        <w:t>2</w:t>
      </w:r>
      <w:r>
        <w:rPr>
          <w:rFonts w:ascii="Calibri" w:hAnsi="Calibri"/>
          <w:sz w:val="22"/>
        </w:rPr>
        <w:t>Właściwy federalny państwowy organ medialny może w szczególności</w:t>
      </w:r>
    </w:p>
    <w:p w14:paraId="2BB0C3BF" w14:textId="77777777" w:rsidR="00D87095" w:rsidRPr="00D87095" w:rsidRDefault="00D87095" w:rsidP="006E5D47">
      <w:pPr>
        <w:numPr>
          <w:ilvl w:val="0"/>
          <w:numId w:val="41"/>
        </w:numPr>
        <w:spacing w:after="200" w:line="276" w:lineRule="auto"/>
        <w:contextualSpacing/>
        <w:rPr>
          <w:rFonts w:ascii="Calibri" w:eastAsia="Calibri" w:hAnsi="Calibri"/>
          <w:sz w:val="22"/>
          <w:szCs w:val="22"/>
        </w:rPr>
      </w:pPr>
      <w:r>
        <w:rPr>
          <w:rFonts w:ascii="Calibri" w:hAnsi="Calibri"/>
          <w:sz w:val="22"/>
        </w:rPr>
        <w:t>zażądać przedłożenia wszelkiej dokumentacji potwierdzającej kryteria w rozumieniu § 93 ust. 1, akapit 1 MStV lub główne kryteria i ich wagę oraz funkcjonowanie zastosowanych algorytmów w rozumieniu § 93 ust. 1 akapit 2 MStV;</w:t>
      </w:r>
    </w:p>
    <w:p w14:paraId="3752322E" w14:textId="77777777" w:rsidR="00D87095" w:rsidRPr="00D87095" w:rsidRDefault="00D87095" w:rsidP="006E5D47">
      <w:pPr>
        <w:numPr>
          <w:ilvl w:val="0"/>
          <w:numId w:val="41"/>
        </w:numPr>
        <w:spacing w:after="200" w:line="276" w:lineRule="auto"/>
        <w:contextualSpacing/>
        <w:rPr>
          <w:rFonts w:ascii="Calibri" w:eastAsia="Calibri" w:hAnsi="Calibri"/>
          <w:sz w:val="22"/>
          <w:szCs w:val="22"/>
        </w:rPr>
      </w:pPr>
      <w:r>
        <w:rPr>
          <w:rFonts w:ascii="Calibri" w:hAnsi="Calibri"/>
          <w:sz w:val="22"/>
        </w:rPr>
        <w:t>wysłuchać jako świadków pracowników operatora pośrednika medialnego zaangażowanych w definiowanie, techniczne wdrażanie i modyfikację kryteriów w rozumieniu § 93 ust. 1 akapit 1 MStV lub głównych kryteriów i ich ważenia, a także algorytmów stosowanych w rozumieniu § 93 ust. 1 akapit 2 MStV;</w:t>
      </w:r>
    </w:p>
    <w:p w14:paraId="675BE69A" w14:textId="77777777" w:rsidR="00D87095" w:rsidRPr="00D87095" w:rsidRDefault="00D87095" w:rsidP="006E5D47">
      <w:pPr>
        <w:numPr>
          <w:ilvl w:val="0"/>
          <w:numId w:val="41"/>
        </w:numPr>
        <w:spacing w:after="200" w:line="276" w:lineRule="auto"/>
        <w:contextualSpacing/>
        <w:rPr>
          <w:rFonts w:ascii="Calibri" w:eastAsia="Calibri" w:hAnsi="Calibri"/>
          <w:sz w:val="22"/>
          <w:szCs w:val="22"/>
        </w:rPr>
      </w:pPr>
      <w:r>
        <w:rPr>
          <w:rFonts w:ascii="Calibri" w:hAnsi="Calibri"/>
          <w:sz w:val="22"/>
        </w:rPr>
        <w:t>zażądać od operatora pośrednika medialnego złożenia oświadczenia dotyczącego przejrzystości informacji zgodnie z § 93 ust. 1 MStV i § 6;</w:t>
      </w:r>
    </w:p>
    <w:p w14:paraId="4BAA7E42" w14:textId="77777777" w:rsidR="00D87095" w:rsidRDefault="00D87095" w:rsidP="006E5D47">
      <w:pPr>
        <w:numPr>
          <w:ilvl w:val="0"/>
          <w:numId w:val="41"/>
        </w:numPr>
        <w:spacing w:after="200" w:line="276" w:lineRule="auto"/>
        <w:contextualSpacing/>
        <w:rPr>
          <w:rFonts w:ascii="Calibri" w:eastAsia="Calibri" w:hAnsi="Calibri"/>
          <w:sz w:val="22"/>
          <w:szCs w:val="22"/>
        </w:rPr>
      </w:pPr>
      <w:r>
        <w:rPr>
          <w:rFonts w:ascii="Calibri" w:hAnsi="Calibri"/>
          <w:sz w:val="22"/>
        </w:rPr>
        <w:t>wymagać przedłożenia pośrednikowi medialnemu umów, zobowiązań lub innych obligacji, które są obiektywnie związane z dostępem do i przechowywaniem treści, w szczególności w zakresie, w jakim dotyczą one włączenia, prezentacji i przechowywania treści dziennikarsko-redaktorskich.</w:t>
      </w:r>
    </w:p>
    <w:p w14:paraId="66BA7B6C" w14:textId="77777777" w:rsidR="00D622FF" w:rsidRPr="00D87095" w:rsidRDefault="00D622FF" w:rsidP="00D622FF">
      <w:pPr>
        <w:spacing w:after="200" w:line="276" w:lineRule="auto"/>
        <w:ind w:left="720"/>
        <w:contextualSpacing/>
        <w:rPr>
          <w:rFonts w:ascii="Calibri" w:eastAsia="Calibri" w:hAnsi="Calibri"/>
          <w:sz w:val="22"/>
          <w:szCs w:val="22"/>
          <w:lang w:eastAsia="en-US"/>
        </w:rPr>
      </w:pPr>
    </w:p>
    <w:p w14:paraId="1B1DC916" w14:textId="77777777" w:rsidR="00D87095" w:rsidRPr="00D87095" w:rsidRDefault="00D87095" w:rsidP="006E5D47">
      <w:pPr>
        <w:spacing w:after="200" w:line="276" w:lineRule="auto"/>
        <w:contextualSpacing/>
        <w:rPr>
          <w:rFonts w:ascii="Calibri" w:eastAsia="Calibri" w:hAnsi="Calibri"/>
          <w:sz w:val="22"/>
          <w:szCs w:val="22"/>
        </w:rPr>
      </w:pPr>
      <w:r>
        <w:rPr>
          <w:rFonts w:ascii="Calibri" w:hAnsi="Calibri"/>
          <w:sz w:val="22"/>
        </w:rPr>
        <w:t xml:space="preserve">(2) </w:t>
      </w:r>
      <w:r>
        <w:rPr>
          <w:rFonts w:ascii="Calibri" w:hAnsi="Calibri"/>
          <w:sz w:val="22"/>
          <w:vertAlign w:val="superscript"/>
        </w:rPr>
        <w:t>1</w:t>
      </w:r>
      <w:r>
        <w:rPr>
          <w:rFonts w:ascii="Calibri" w:hAnsi="Calibri"/>
          <w:sz w:val="22"/>
        </w:rPr>
        <w:t xml:space="preserve">Przy składaniu dokumentów, o których mowa w ust. 1, operator pośrednika medialnego oznacza te części dokumentów, które zawierają tajemnice biznesowe lub handlowe. </w:t>
      </w:r>
      <w:r>
        <w:rPr>
          <w:rFonts w:ascii="Calibri" w:hAnsi="Calibri"/>
          <w:sz w:val="22"/>
          <w:vertAlign w:val="superscript"/>
        </w:rPr>
        <w:t>2</w:t>
      </w:r>
      <w:r>
        <w:rPr>
          <w:rFonts w:ascii="Calibri" w:hAnsi="Calibri"/>
          <w:sz w:val="22"/>
        </w:rPr>
        <w:t xml:space="preserve">W tym przypadku należy dodatkowo przedłożyć wersję, która z jego punktu widzenia może być dostępna dla osób trzecich bez ujawniania tajemnic biznesowych lub handlowych. </w:t>
      </w:r>
      <w:r>
        <w:rPr>
          <w:rFonts w:ascii="Calibri" w:hAnsi="Calibri"/>
          <w:sz w:val="22"/>
          <w:vertAlign w:val="superscript"/>
        </w:rPr>
        <w:t>3</w:t>
      </w:r>
      <w:r>
        <w:rPr>
          <w:rFonts w:ascii="Calibri" w:hAnsi="Calibri"/>
          <w:sz w:val="22"/>
        </w:rPr>
        <w:t xml:space="preserve">W przeciwnym razie federalny państwowy organ medialny może domniemywać zgodę na kontrolę, o ile nie są mu znane szczególne okoliczności, które nie uzasadniają takiego domniemania. </w:t>
      </w:r>
      <w:r>
        <w:rPr>
          <w:rFonts w:ascii="Calibri" w:hAnsi="Calibri"/>
          <w:sz w:val="22"/>
          <w:vertAlign w:val="superscript"/>
        </w:rPr>
        <w:t>4</w:t>
      </w:r>
      <w:r>
        <w:rPr>
          <w:rFonts w:ascii="Calibri" w:hAnsi="Calibri"/>
          <w:sz w:val="22"/>
        </w:rPr>
        <w:t>Jeżeli federalny państwowy organ medialny uzna, że oznakowanie dokumentów jako tajemnice biznesowe lub handlowe jest nieuzasadnione, przed podjęciem decyzji o udzieleniu dostępu osobom trzecim musi umożliwić operatorowi przedstawienie swoich uwag.</w:t>
      </w:r>
    </w:p>
    <w:p w14:paraId="60B80537" w14:textId="77777777" w:rsidR="00D87095" w:rsidRDefault="006E5D47" w:rsidP="006E5D47">
      <w:pPr>
        <w:spacing w:after="200" w:line="276" w:lineRule="auto"/>
        <w:contextualSpacing/>
        <w:jc w:val="center"/>
        <w:rPr>
          <w:rFonts w:ascii="Calibri" w:eastAsia="Calibri" w:hAnsi="Calibri"/>
          <w:b/>
          <w:sz w:val="22"/>
          <w:szCs w:val="22"/>
        </w:rPr>
      </w:pPr>
      <w:r>
        <w:rPr>
          <w:rFonts w:ascii="Calibri" w:hAnsi="Calibri"/>
          <w:b/>
          <w:sz w:val="22"/>
        </w:rPr>
        <w:t xml:space="preserve"> </w:t>
      </w:r>
    </w:p>
    <w:p w14:paraId="0EACFFFA" w14:textId="77777777" w:rsidR="006E5D47" w:rsidRPr="00D87095" w:rsidRDefault="006E5D47" w:rsidP="006E5D47">
      <w:pPr>
        <w:spacing w:after="200" w:line="276" w:lineRule="auto"/>
        <w:contextualSpacing/>
        <w:jc w:val="center"/>
        <w:rPr>
          <w:rFonts w:ascii="Calibri" w:eastAsia="Calibri" w:hAnsi="Calibri"/>
          <w:b/>
          <w:sz w:val="22"/>
          <w:szCs w:val="22"/>
          <w:lang w:eastAsia="en-US"/>
        </w:rPr>
      </w:pPr>
    </w:p>
    <w:p w14:paraId="1DE4CA00" w14:textId="77777777" w:rsidR="00D87095" w:rsidRPr="00D87095" w:rsidRDefault="006E5D47" w:rsidP="006E5D47">
      <w:pPr>
        <w:spacing w:after="200" w:line="276" w:lineRule="auto"/>
        <w:contextualSpacing/>
        <w:jc w:val="center"/>
        <w:rPr>
          <w:rFonts w:ascii="Calibri" w:eastAsia="Calibri" w:hAnsi="Calibri"/>
          <w:b/>
          <w:sz w:val="22"/>
          <w:szCs w:val="22"/>
        </w:rPr>
      </w:pPr>
      <w:r>
        <w:rPr>
          <w:rFonts w:ascii="Calibri" w:hAnsi="Calibri"/>
          <w:b/>
          <w:sz w:val="22"/>
        </w:rPr>
        <w:t>Sekcja 5: Przepisy końcowe</w:t>
      </w:r>
    </w:p>
    <w:p w14:paraId="6D2633F8" w14:textId="77777777" w:rsidR="00D87095" w:rsidRPr="00D87095" w:rsidRDefault="00D87095" w:rsidP="006E5D47">
      <w:pPr>
        <w:spacing w:after="200" w:line="276" w:lineRule="auto"/>
        <w:contextualSpacing/>
        <w:jc w:val="center"/>
        <w:rPr>
          <w:rFonts w:ascii="Calibri" w:eastAsia="Calibri" w:hAnsi="Calibri"/>
          <w:b/>
          <w:sz w:val="22"/>
          <w:szCs w:val="22"/>
          <w:lang w:eastAsia="en-US"/>
        </w:rPr>
      </w:pPr>
    </w:p>
    <w:p w14:paraId="6DA4A65B" w14:textId="77777777" w:rsidR="00D87095" w:rsidRP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 14</w:t>
      </w:r>
    </w:p>
    <w:p w14:paraId="608ED53C" w14:textId="77777777" w:rsid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Ocena</w:t>
      </w:r>
    </w:p>
    <w:p w14:paraId="62975974" w14:textId="77777777" w:rsidR="006E5D47" w:rsidRPr="00D87095" w:rsidRDefault="006E5D47" w:rsidP="006E5D47">
      <w:pPr>
        <w:spacing w:after="200" w:line="276" w:lineRule="auto"/>
        <w:contextualSpacing/>
        <w:jc w:val="center"/>
        <w:rPr>
          <w:rFonts w:ascii="Calibri" w:eastAsia="Calibri" w:hAnsi="Calibri"/>
          <w:b/>
          <w:sz w:val="22"/>
          <w:szCs w:val="22"/>
          <w:lang w:eastAsia="en-US"/>
        </w:rPr>
      </w:pPr>
    </w:p>
    <w:p w14:paraId="634F9E3D" w14:textId="77777777" w:rsidR="00D87095" w:rsidRPr="00D87095" w:rsidRDefault="00D87095" w:rsidP="00DF0BF7">
      <w:pPr>
        <w:spacing w:after="200" w:line="276" w:lineRule="auto"/>
        <w:contextualSpacing/>
        <w:rPr>
          <w:rFonts w:ascii="Calibri" w:eastAsia="Calibri" w:hAnsi="Calibri"/>
          <w:sz w:val="22"/>
          <w:szCs w:val="22"/>
        </w:rPr>
      </w:pPr>
      <w:r>
        <w:rPr>
          <w:rFonts w:ascii="Calibri" w:hAnsi="Calibri"/>
          <w:sz w:val="22"/>
        </w:rPr>
        <w:t>ZAK dokonuje przeglądu niniejszego statutu co najmniej raz na trzy lata, biorąc pod uwagę w szczególności</w:t>
      </w:r>
      <w:r>
        <w:rPr>
          <w:rFonts w:ascii="Calibri" w:hAnsi="Calibri"/>
          <w:sz w:val="22"/>
        </w:rPr>
        <w:tab/>
      </w:r>
    </w:p>
    <w:p w14:paraId="007687F8" w14:textId="77777777" w:rsidR="00D87095" w:rsidRPr="00D87095" w:rsidRDefault="00D87095" w:rsidP="00DF0BF7">
      <w:pPr>
        <w:numPr>
          <w:ilvl w:val="0"/>
          <w:numId w:val="42"/>
        </w:numPr>
        <w:spacing w:after="200" w:line="276" w:lineRule="auto"/>
        <w:contextualSpacing/>
        <w:rPr>
          <w:rFonts w:ascii="Calibri" w:eastAsia="Calibri" w:hAnsi="Calibri"/>
          <w:sz w:val="22"/>
          <w:szCs w:val="22"/>
        </w:rPr>
      </w:pPr>
      <w:r>
        <w:rPr>
          <w:rFonts w:ascii="Calibri" w:hAnsi="Calibri"/>
          <w:sz w:val="22"/>
        </w:rPr>
        <w:t>doświadczenie zdobyte w wyniku praktycznego stosowania niniejszego statutu;</w:t>
      </w:r>
    </w:p>
    <w:p w14:paraId="5E4AE798" w14:textId="77777777" w:rsidR="00D87095" w:rsidRPr="00D87095" w:rsidRDefault="00D87095" w:rsidP="00DF0BF7">
      <w:pPr>
        <w:numPr>
          <w:ilvl w:val="0"/>
          <w:numId w:val="42"/>
        </w:numPr>
        <w:spacing w:after="200" w:line="276" w:lineRule="auto"/>
        <w:contextualSpacing/>
        <w:rPr>
          <w:rFonts w:ascii="Calibri" w:eastAsia="Calibri" w:hAnsi="Calibri"/>
          <w:sz w:val="22"/>
          <w:szCs w:val="22"/>
        </w:rPr>
      </w:pPr>
      <w:r>
        <w:rPr>
          <w:rFonts w:ascii="Calibri" w:hAnsi="Calibri"/>
          <w:sz w:val="22"/>
        </w:rPr>
        <w:t>rozwój techniczny i gospodarczy w dziedzinie regulacji prawnych;</w:t>
      </w:r>
    </w:p>
    <w:p w14:paraId="7AA39C64" w14:textId="77777777" w:rsidR="00D87095" w:rsidRPr="00D87095" w:rsidRDefault="00D87095" w:rsidP="00DF0BF7">
      <w:pPr>
        <w:numPr>
          <w:ilvl w:val="0"/>
          <w:numId w:val="42"/>
        </w:numPr>
        <w:spacing w:after="200" w:line="276" w:lineRule="auto"/>
        <w:contextualSpacing/>
        <w:rPr>
          <w:rFonts w:ascii="Calibri" w:eastAsia="Calibri" w:hAnsi="Calibri"/>
          <w:sz w:val="22"/>
          <w:szCs w:val="22"/>
        </w:rPr>
      </w:pPr>
      <w:r>
        <w:rPr>
          <w:rFonts w:ascii="Calibri" w:hAnsi="Calibri"/>
          <w:sz w:val="22"/>
        </w:rPr>
        <w:t>znaczenie poszczególnych pośredników medialnych dla kształtowania opinii publicznej;</w:t>
      </w:r>
    </w:p>
    <w:p w14:paraId="71B39C64" w14:textId="77777777" w:rsidR="00D87095" w:rsidRPr="00D87095" w:rsidRDefault="00D87095" w:rsidP="00DF0BF7">
      <w:pPr>
        <w:numPr>
          <w:ilvl w:val="0"/>
          <w:numId w:val="42"/>
        </w:numPr>
        <w:spacing w:after="200" w:line="276" w:lineRule="auto"/>
        <w:contextualSpacing/>
        <w:rPr>
          <w:rFonts w:ascii="Calibri" w:eastAsia="Calibri" w:hAnsi="Calibri"/>
          <w:sz w:val="22"/>
          <w:szCs w:val="22"/>
        </w:rPr>
      </w:pPr>
      <w:r>
        <w:rPr>
          <w:rFonts w:ascii="Calibri" w:hAnsi="Calibri"/>
          <w:sz w:val="22"/>
        </w:rPr>
        <w:lastRenderedPageBreak/>
        <w:t>zmiany w zakresie współregulacji, takie jak zobowiązania branżowe;</w:t>
      </w:r>
    </w:p>
    <w:p w14:paraId="1283901B" w14:textId="77777777" w:rsidR="00D87095" w:rsidRPr="00D87095" w:rsidRDefault="00D87095" w:rsidP="00DF0BF7">
      <w:pPr>
        <w:numPr>
          <w:ilvl w:val="0"/>
          <w:numId w:val="42"/>
        </w:numPr>
        <w:spacing w:after="200" w:line="276" w:lineRule="auto"/>
        <w:contextualSpacing/>
        <w:rPr>
          <w:rFonts w:ascii="Calibri" w:eastAsia="Calibri" w:hAnsi="Calibri"/>
          <w:sz w:val="22"/>
          <w:szCs w:val="22"/>
        </w:rPr>
      </w:pPr>
      <w:r>
        <w:rPr>
          <w:rFonts w:ascii="Calibri" w:hAnsi="Calibri"/>
          <w:sz w:val="22"/>
        </w:rPr>
        <w:t>rozwój badań nad przejrzystością i dyskryminacją;</w:t>
      </w:r>
    </w:p>
    <w:p w14:paraId="5C3C2550" w14:textId="77777777" w:rsidR="00D87095" w:rsidRPr="00D87095" w:rsidRDefault="00D87095" w:rsidP="00DF0BF7">
      <w:pPr>
        <w:numPr>
          <w:ilvl w:val="0"/>
          <w:numId w:val="42"/>
        </w:numPr>
        <w:spacing w:after="200" w:line="276" w:lineRule="auto"/>
        <w:contextualSpacing/>
        <w:rPr>
          <w:rFonts w:ascii="Calibri" w:eastAsia="Calibri" w:hAnsi="Calibri"/>
          <w:sz w:val="22"/>
          <w:szCs w:val="22"/>
        </w:rPr>
      </w:pPr>
      <w:r>
        <w:rPr>
          <w:rFonts w:ascii="Calibri" w:hAnsi="Calibri"/>
          <w:sz w:val="22"/>
        </w:rPr>
        <w:t>rozwój badań i nauki w zakresie analizy danych, sztucznej inteligencji i uczenia maszynowego.</w:t>
      </w:r>
    </w:p>
    <w:p w14:paraId="0A704F2C" w14:textId="77777777" w:rsidR="00D87095" w:rsidRPr="00D87095" w:rsidRDefault="00D87095" w:rsidP="006E5D47">
      <w:pPr>
        <w:spacing w:after="200" w:line="276" w:lineRule="auto"/>
        <w:contextualSpacing/>
        <w:jc w:val="center"/>
        <w:rPr>
          <w:rFonts w:ascii="Calibri" w:eastAsia="Calibri" w:hAnsi="Calibri"/>
          <w:b/>
          <w:sz w:val="22"/>
          <w:szCs w:val="22"/>
          <w:lang w:eastAsia="en-US"/>
        </w:rPr>
      </w:pPr>
    </w:p>
    <w:p w14:paraId="119A0E0C" w14:textId="77777777" w:rsidR="00D87095" w:rsidRP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 15</w:t>
      </w:r>
    </w:p>
    <w:p w14:paraId="5E19ABA3" w14:textId="77777777" w:rsidR="00D87095" w:rsidRDefault="00D87095" w:rsidP="006E5D47">
      <w:pPr>
        <w:spacing w:after="200" w:line="276" w:lineRule="auto"/>
        <w:contextualSpacing/>
        <w:jc w:val="center"/>
        <w:rPr>
          <w:rFonts w:ascii="Calibri" w:eastAsia="Calibri" w:hAnsi="Calibri"/>
          <w:b/>
          <w:sz w:val="22"/>
          <w:szCs w:val="22"/>
        </w:rPr>
      </w:pPr>
      <w:r>
        <w:rPr>
          <w:rFonts w:ascii="Calibri" w:hAnsi="Calibri"/>
          <w:b/>
          <w:sz w:val="22"/>
        </w:rPr>
        <w:t>Wejście w życie</w:t>
      </w:r>
    </w:p>
    <w:p w14:paraId="19DA7EC8" w14:textId="77777777" w:rsidR="006E5D47" w:rsidRPr="00D87095" w:rsidRDefault="006E5D47" w:rsidP="006E5D47">
      <w:pPr>
        <w:spacing w:after="200" w:line="276" w:lineRule="auto"/>
        <w:contextualSpacing/>
        <w:jc w:val="center"/>
        <w:rPr>
          <w:rFonts w:ascii="Calibri" w:eastAsia="Calibri" w:hAnsi="Calibri"/>
          <w:b/>
          <w:sz w:val="22"/>
          <w:szCs w:val="22"/>
          <w:lang w:eastAsia="en-US"/>
        </w:rPr>
      </w:pPr>
    </w:p>
    <w:p w14:paraId="6E3E8E14" w14:textId="77777777" w:rsidR="008C60A0" w:rsidRPr="008C60A0" w:rsidRDefault="006E5D47" w:rsidP="00DF0BF7">
      <w:pPr>
        <w:spacing w:after="200" w:line="276" w:lineRule="auto"/>
        <w:contextualSpacing/>
        <w:rPr>
          <w:rFonts w:ascii="Calibri" w:eastAsia="Calibri" w:hAnsi="Calibri"/>
          <w:sz w:val="22"/>
          <w:szCs w:val="22"/>
        </w:rPr>
      </w:pPr>
      <w:r>
        <w:rPr>
          <w:rFonts w:ascii="Calibri" w:hAnsi="Calibri"/>
          <w:sz w:val="22"/>
          <w:vertAlign w:val="superscript"/>
        </w:rPr>
        <w:t>1</w:t>
      </w:r>
      <w:r>
        <w:rPr>
          <w:rFonts w:ascii="Calibri" w:hAnsi="Calibri"/>
          <w:sz w:val="22"/>
        </w:rPr>
        <w:t xml:space="preserve">Niniejszy statut wchodzi w życie z dniem 1 września 2021 r. </w:t>
      </w:r>
      <w:r>
        <w:rPr>
          <w:rFonts w:ascii="Calibri" w:hAnsi="Calibri"/>
          <w:sz w:val="22"/>
          <w:vertAlign w:val="superscript"/>
        </w:rPr>
        <w:t>2</w:t>
      </w:r>
      <w:r>
        <w:rPr>
          <w:rFonts w:ascii="Calibri" w:hAnsi="Calibri"/>
          <w:sz w:val="22"/>
        </w:rPr>
        <w:t xml:space="preserve">Jeśli do dnia 31 sierpnia 2021 r. odpowiednie statuty nie zostaną uchwalone i opublikowane przez wszystkie federalne państwowe organy medialne, niniejszy statut stanie się nieaktualny. </w:t>
      </w:r>
      <w:r>
        <w:rPr>
          <w:rFonts w:ascii="Calibri" w:hAnsi="Calibri"/>
          <w:sz w:val="22"/>
          <w:vertAlign w:val="superscript"/>
        </w:rPr>
        <w:t>3</w:t>
      </w:r>
      <w:r>
        <w:rPr>
          <w:rFonts w:ascii="Calibri" w:hAnsi="Calibri"/>
          <w:sz w:val="22"/>
        </w:rPr>
        <w:t>Przewodniczący Konferencji dyrektorów federalnych państwowych organów medialnych (DLM) publikuje w Internecie pod wspólnym szyldem „die medienanstalten” informację, czy wszystkie federalne państwowe organy medialne uchwaliły i opublikowały odpowiednie statuty w terminie określonym w zdaniu 2.</w:t>
      </w:r>
      <w:r w:rsidR="00CF50DB">
        <w:rPr>
          <w:rStyle w:val="FootnoteReference"/>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1764" w14:textId="77777777" w:rsidR="009A40A4" w:rsidRDefault="009A40A4" w:rsidP="00986629">
      <w:r>
        <w:separator/>
      </w:r>
    </w:p>
  </w:endnote>
  <w:endnote w:type="continuationSeparator" w:id="0">
    <w:p w14:paraId="60482C2B" w14:textId="77777777" w:rsidR="009A40A4" w:rsidRDefault="009A40A4"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1344168373"/>
      <w:docPartObj>
        <w:docPartGallery w:val="Page Numbers (Bottom of Page)"/>
        <w:docPartUnique/>
      </w:docPartObj>
    </w:sdtPr>
    <w:sdtEndPr/>
    <w:sdtContent>
      <w:p w14:paraId="46C8430A" w14:textId="77777777" w:rsidR="00C41351" w:rsidRPr="00C41351" w:rsidRDefault="00C41351">
        <w:pPr>
          <w:pStyle w:val="Footer"/>
          <w:jc w:val="center"/>
          <w:rPr>
            <w:rFonts w:asciiTheme="minorHAnsi" w:hAnsiTheme="minorHAnsi" w:cstheme="minorHAnsi"/>
            <w:sz w:val="22"/>
            <w:szCs w:val="22"/>
          </w:rPr>
        </w:pPr>
        <w:r w:rsidRPr="00C41351">
          <w:rPr>
            <w:rFonts w:asciiTheme="minorHAnsi" w:hAnsiTheme="minorHAnsi" w:cstheme="minorHAnsi"/>
            <w:sz w:val="22"/>
          </w:rPr>
          <w:fldChar w:fldCharType="begin"/>
        </w:r>
        <w:r w:rsidRPr="00C41351">
          <w:rPr>
            <w:rFonts w:asciiTheme="minorHAnsi" w:hAnsiTheme="minorHAnsi" w:cstheme="minorHAnsi"/>
            <w:sz w:val="22"/>
          </w:rPr>
          <w:instrText>PAGE   \* MERGEFORMAT</w:instrText>
        </w:r>
        <w:r w:rsidRPr="00C41351">
          <w:rPr>
            <w:rFonts w:asciiTheme="minorHAnsi" w:hAnsiTheme="minorHAnsi" w:cstheme="minorHAnsi"/>
            <w:sz w:val="22"/>
          </w:rPr>
          <w:fldChar w:fldCharType="separate"/>
        </w:r>
        <w:r w:rsidR="00673759">
          <w:rPr>
            <w:rFonts w:asciiTheme="minorHAnsi" w:hAnsiTheme="minorHAnsi" w:cstheme="minorHAnsi"/>
            <w:sz w:val="22"/>
          </w:rPr>
          <w:t>8</w:t>
        </w:r>
        <w:r w:rsidRPr="00C41351">
          <w:rPr>
            <w:rFonts w:asciiTheme="minorHAnsi" w:hAnsiTheme="minorHAnsi" w:cstheme="minorHAnsi"/>
            <w:sz w:val="22"/>
          </w:rPr>
          <w:fldChar w:fldCharType="end"/>
        </w:r>
      </w:p>
    </w:sdtContent>
  </w:sdt>
  <w:p w14:paraId="0BC0AA42" w14:textId="77777777" w:rsidR="00793947" w:rsidRDefault="0079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7CEA" w14:textId="77777777" w:rsidR="009A40A4" w:rsidRDefault="009A40A4" w:rsidP="00986629">
      <w:r>
        <w:separator/>
      </w:r>
    </w:p>
  </w:footnote>
  <w:footnote w:type="continuationSeparator" w:id="0">
    <w:p w14:paraId="7B180533" w14:textId="77777777" w:rsidR="009A40A4" w:rsidRDefault="009A40A4" w:rsidP="00986629">
      <w:r>
        <w:continuationSeparator/>
      </w:r>
    </w:p>
  </w:footnote>
  <w:footnote w:id="1">
    <w:p w14:paraId="4EFB5392" w14:textId="77777777" w:rsidR="00CF50DB" w:rsidRDefault="00CF50DB" w:rsidP="00CF50DB">
      <w:pPr>
        <w:pStyle w:val="FootnoteText"/>
      </w:pPr>
      <w:r>
        <w:rPr>
          <w:rStyle w:val="FootnoteReference"/>
        </w:rPr>
        <w:footnoteRef/>
      </w:r>
      <w:r>
        <w:rPr>
          <w:rFonts w:asciiTheme="minorHAnsi" w:hAnsiTheme="minorHAnsi"/>
        </w:rPr>
        <w:t xml:space="preserve"> Zgłoszono zgodnie z dyrektywą Parlamentu Europejskiego i Rady (UE) 2015/1535 z dnia 9 września 2015 r. ustanawiająca procedurę udzielania informacji w dziedzinie przepisów technicznych oraz zasad dotyczących usług społeczeństwa informacyjnego (Dz.U. L 241 z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B326" w14:textId="77777777" w:rsidR="00986629" w:rsidRPr="00986629" w:rsidRDefault="00986629">
    <w:pPr>
      <w:pStyle w:val="Header"/>
      <w:rPr>
        <w:sz w:val="16"/>
      </w:rPr>
    </w:pPr>
    <w:r>
      <w:rPr>
        <w:sz w:val="20"/>
      </w:rPr>
      <w:br/>
    </w:r>
    <w:r>
      <w:rPr>
        <w:noProof/>
      </w:rPr>
      <w:drawing>
        <wp:anchor distT="0" distB="0" distL="114300" distR="114300" simplePos="0" relativeHeight="251658240" behindDoc="0" locked="1" layoutInCell="1" allowOverlap="1" wp14:anchorId="28CC3549" wp14:editId="3D24FC99">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14:paraId="6E39AA2B" w14:textId="77777777" w:rsidR="00986629" w:rsidRDefault="00986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33D53"/>
    <w:rsid w:val="00986629"/>
    <w:rsid w:val="009A40A4"/>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EDD1E"/>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BodyText">
    <w:name w:val="Body Text"/>
    <w:basedOn w:val="Normal"/>
    <w:rPr>
      <w:rFonts w:ascii="Arial" w:hAnsi="Arial"/>
      <w:sz w:val="21"/>
    </w:rPr>
  </w:style>
  <w:style w:type="character" w:customStyle="1" w:styleId="CommentTextChar">
    <w:name w:val="Comment Text Char"/>
    <w:link w:val="CommentText"/>
    <w:locked/>
    <w:rPr>
      <w:lang w:val="pl-PL" w:eastAsia="de-DE" w:bidi="ar-SA"/>
    </w:rPr>
  </w:style>
  <w:style w:type="paragraph" w:styleId="Header">
    <w:name w:val="header"/>
    <w:basedOn w:val="Normal"/>
    <w:link w:val="HeaderChar"/>
    <w:rsid w:val="00986629"/>
    <w:pPr>
      <w:tabs>
        <w:tab w:val="center" w:pos="4536"/>
        <w:tab w:val="right" w:pos="9072"/>
      </w:tabs>
    </w:pPr>
  </w:style>
  <w:style w:type="character" w:customStyle="1" w:styleId="HeaderChar">
    <w:name w:val="Header Char"/>
    <w:link w:val="Header"/>
    <w:uiPriority w:val="99"/>
    <w:rsid w:val="00986629"/>
    <w:rPr>
      <w:sz w:val="24"/>
      <w:szCs w:val="24"/>
    </w:rPr>
  </w:style>
  <w:style w:type="paragraph" w:styleId="Footer">
    <w:name w:val="footer"/>
    <w:basedOn w:val="Normal"/>
    <w:link w:val="FooterChar"/>
    <w:uiPriority w:val="99"/>
    <w:rsid w:val="00986629"/>
    <w:pPr>
      <w:tabs>
        <w:tab w:val="center" w:pos="4536"/>
        <w:tab w:val="right" w:pos="9072"/>
      </w:tabs>
    </w:pPr>
  </w:style>
  <w:style w:type="character" w:customStyle="1" w:styleId="FooterChar">
    <w:name w:val="Footer Char"/>
    <w:link w:val="Footer"/>
    <w:uiPriority w:val="99"/>
    <w:rsid w:val="00986629"/>
    <w:rPr>
      <w:sz w:val="24"/>
      <w:szCs w:val="24"/>
    </w:rPr>
  </w:style>
  <w:style w:type="paragraph" w:customStyle="1" w:styleId="GGSZ">
    <w:name w:val="GGS ZÜ"/>
    <w:basedOn w:val="Normal"/>
    <w:link w:val="GGSZZchn"/>
    <w:uiPriority w:val="4"/>
    <w:qFormat/>
    <w:rsid w:val="005D5943"/>
    <w:pPr>
      <w:spacing w:before="120"/>
    </w:pPr>
    <w:rPr>
      <w:rFonts w:asciiTheme="minorHAnsi" w:hAnsiTheme="minorHAnsi"/>
      <w:b/>
      <w:sz w:val="22"/>
    </w:rPr>
  </w:style>
  <w:style w:type="character" w:customStyle="1" w:styleId="GGSZZchn">
    <w:name w:val="GGS ZÜ Zchn"/>
    <w:basedOn w:val="DefaultParagraphFont"/>
    <w:link w:val="GGSZ"/>
    <w:uiPriority w:val="4"/>
    <w:rsid w:val="005D5943"/>
    <w:rPr>
      <w:rFonts w:asciiTheme="minorHAnsi" w:hAnsiTheme="minorHAnsi"/>
      <w:b/>
      <w:sz w:val="22"/>
      <w:szCs w:val="24"/>
    </w:rPr>
  </w:style>
  <w:style w:type="paragraph" w:styleId="ListParagraph">
    <w:name w:val="List Paragraph"/>
    <w:basedOn w:val="Normal"/>
    <w:uiPriority w:val="34"/>
    <w:qFormat/>
    <w:rsid w:val="00650B4F"/>
    <w:pPr>
      <w:ind w:left="720"/>
      <w:contextualSpacing/>
    </w:pPr>
  </w:style>
  <w:style w:type="paragraph" w:styleId="FootnoteText">
    <w:name w:val="footnote text"/>
    <w:basedOn w:val="Normal"/>
    <w:link w:val="FootnoteTextChar"/>
    <w:rsid w:val="00CF50DB"/>
    <w:rPr>
      <w:sz w:val="20"/>
      <w:szCs w:val="20"/>
    </w:rPr>
  </w:style>
  <w:style w:type="character" w:customStyle="1" w:styleId="FootnoteTextChar">
    <w:name w:val="Footnote Text Char"/>
    <w:basedOn w:val="DefaultParagraphFont"/>
    <w:link w:val="FootnoteText"/>
    <w:rsid w:val="00CF50DB"/>
  </w:style>
  <w:style w:type="character" w:styleId="FootnoteReference">
    <w:name w:val="footnote reference"/>
    <w:basedOn w:val="DefaultParagraphFon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5441</Words>
  <Characters>11918</Characters>
  <Application>Microsoft Office Word</Application>
  <DocSecurity>0</DocSecurity>
  <Lines>1324</Lines>
  <Paragraphs>1084</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class='Internal'</cp:keywords>
  <cp:lastModifiedBy>Isac Waern Kyrck</cp:lastModifiedBy>
  <cp:revision>3</cp:revision>
  <cp:lastPrinted>2014-01-13T11:15:00Z</cp:lastPrinted>
  <dcterms:created xsi:type="dcterms:W3CDTF">2021-03-16T11:15:00Z</dcterms:created>
  <dcterms:modified xsi:type="dcterms:W3CDTF">2021-03-29T14:07:00Z</dcterms:modified>
</cp:coreProperties>
</file>