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2A72"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Odlok št. 2022-539 z dne 13. aprila 2022 o izravnavi emisij ogljika in trditvah o ogljični nevtralnosti v oglaševanju</w:t>
      </w:r>
    </w:p>
    <w:p w14:paraId="57C229AF"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ŠT.: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št. 0088 z dne 14. aprila 2022</w:t>
      </w:r>
      <w:r>
        <w:rPr>
          <w:rFonts w:ascii="Times New Roman" w:hAnsi="Times New Roman"/>
          <w:sz w:val="24"/>
        </w:rPr>
        <w:br/>
        <w:t>Besedilo št. 17</w:t>
      </w:r>
    </w:p>
    <w:p w14:paraId="4EC60959"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Ciljna skupina: oglaševalci. </w:t>
      </w:r>
      <w:r>
        <w:rPr>
          <w:rFonts w:ascii="Times New Roman" w:hAnsi="Times New Roman"/>
          <w:sz w:val="24"/>
        </w:rPr>
        <w:br/>
        <w:t xml:space="preserve">Zadeva: podrobna pravila za obveščanje oglaševalcev o oznakah ogljične nevtralnosti na proizvodih in storitvah, določena v členu 12 Zakona št. 2021-1104 z dne 22. avgusta 2021 o boju proti podnebnim spremembam in krepitvi odpornosti na njihove učinke. </w:t>
      </w:r>
      <w:r>
        <w:rPr>
          <w:rFonts w:ascii="Times New Roman" w:hAnsi="Times New Roman"/>
          <w:sz w:val="24"/>
        </w:rPr>
        <w:br/>
        <w:t xml:space="preserve">Začetek veljavnosti: besedilo začne veljati 1. januarja 2023. </w:t>
      </w:r>
      <w:r>
        <w:rPr>
          <w:rFonts w:ascii="Times New Roman" w:hAnsi="Times New Roman"/>
          <w:sz w:val="24"/>
        </w:rPr>
        <w:br/>
        <w:t xml:space="preserve">Opomba: uredba določa podrobna pravila za obveščanje oglaševalcev o ogljični nevtralnosti njihovih proizvodov ali storitev. Določa tudi nasprotne tožbe zoper te trditve, da se zagotovi preglednost v odnosu do javnosti in prepreči vsakršno tveganje lažnega zelenega oglaševanja. Uporablja se za vse oglase, ki se predvajajo po začetku veljavnosti besedila. </w:t>
      </w:r>
      <w:r>
        <w:rPr>
          <w:rFonts w:ascii="Times New Roman" w:hAnsi="Times New Roman"/>
          <w:sz w:val="24"/>
        </w:rPr>
        <w:br/>
        <w:t xml:space="preserve">Sklici: okoljski zakonik, spremenjen z Odlokom, si lahko ogledate v njegovem osnutku, ki izhaja iz te spremembe, na spletni strani Légifrance (https://www.legifrance.gouv.fr). </w:t>
      </w:r>
    </w:p>
    <w:p w14:paraId="1E616EF4"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Predsednik vlade,</w:t>
      </w:r>
      <w:r>
        <w:rPr>
          <w:rFonts w:ascii="Times New Roman" w:hAnsi="Times New Roman"/>
          <w:sz w:val="24"/>
        </w:rPr>
        <w:br/>
        <w:t>na osnovi poročila ministrice za ekološki prehod,</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 in zlasti obvestila št. 2021/904/F;</w:t>
      </w:r>
      <w:r>
        <w:rPr>
          <w:rFonts w:ascii="Times New Roman" w:hAnsi="Times New Roman"/>
          <w:sz w:val="24"/>
        </w:rPr>
        <w:br/>
        <w:t>ob upoštevanju okoljskega zakonika;</w:t>
      </w:r>
      <w:r>
        <w:rPr>
          <w:rFonts w:ascii="Times New Roman" w:hAnsi="Times New Roman"/>
          <w:sz w:val="24"/>
        </w:rPr>
        <w:br/>
        <w:t>ob upoštevanju Zakona št. 2021-1104 z dne 22. avgusta 2021 o boju proti podnebnim spremembam in krepitvi odpornosti na njihove učinke ter zlasti členov 12 in 147 zakona,</w:t>
      </w:r>
      <w:r>
        <w:rPr>
          <w:rFonts w:ascii="Times New Roman" w:hAnsi="Times New Roman"/>
          <w:sz w:val="24"/>
        </w:rPr>
        <w:br/>
        <w:t>ob upoštevanju Odloka št. 97-1198 z dne 19. decembra 1997 o izvajanju prvega odstavka člena 2 Odloka št. 97-34 z dne 15. januarja 1997 o dekoncentraciji posameznih upravnih odločb na ministre, pristojne za ekološki in solidarnostni prehod, teritorialno kohezijo ter odnose z lokalnimi in regionalnimi oblastmi;</w:t>
      </w:r>
      <w:r>
        <w:rPr>
          <w:rFonts w:ascii="Times New Roman" w:hAnsi="Times New Roman"/>
          <w:sz w:val="24"/>
        </w:rPr>
        <w:br/>
        <w:t>ob upoštevanju Odloka št. 2020-457 z dne 21. aprila 2020 o nacionalnih ogljičnih proračunih in nacionalni strategiji za nizkoogljično gospodarstvo,</w:t>
      </w:r>
      <w:r>
        <w:rPr>
          <w:rFonts w:ascii="Times New Roman" w:hAnsi="Times New Roman"/>
          <w:sz w:val="24"/>
        </w:rPr>
        <w:br/>
        <w:t>ob upoštevanju pripomb, podanih med javnim posvetovanjem med 20. januarjem 2022 in 10. februarjem 2022 v skladu s členom L. 123-19-1 okoljskega zakonika;</w:t>
      </w:r>
      <w:r>
        <w:rPr>
          <w:rFonts w:ascii="Times New Roman" w:hAnsi="Times New Roman"/>
          <w:sz w:val="24"/>
        </w:rPr>
        <w:br/>
        <w:t>odreja:</w:t>
      </w:r>
    </w:p>
    <w:p w14:paraId="7446CDD0" w14:textId="77777777" w:rsidR="00E16EC3" w:rsidRDefault="00E16EC3">
      <w:pPr>
        <w:rPr>
          <w:rFonts w:ascii="Times New Roman" w:hAnsi="Times New Roman"/>
          <w:b/>
          <w:sz w:val="24"/>
        </w:rPr>
      </w:pPr>
      <w:r>
        <w:rPr>
          <w:rFonts w:ascii="Times New Roman" w:hAnsi="Times New Roman"/>
          <w:b/>
          <w:sz w:val="24"/>
        </w:rPr>
        <w:br w:type="page"/>
      </w:r>
    </w:p>
    <w:p w14:paraId="1AEA5565" w14:textId="094341FA"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Člen 1</w:t>
      </w:r>
    </w:p>
    <w:p w14:paraId="2ADAB37F"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Poglavje IX naslova II knjige II okoljskega zakonika se dopolni z oddelkom 9, kot sledi:</w:t>
      </w:r>
    </w:p>
    <w:p w14:paraId="2324E4A2" w14:textId="151D805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53AF6" w:rsidRPr="00153AF6">
        <w:rPr>
          <w:rFonts w:ascii="Times New Roman" w:hAnsi="Times New Roman"/>
          <w:sz w:val="24"/>
        </w:rPr>
        <w:t xml:space="preserve">‘ </w:t>
      </w:r>
      <w:r>
        <w:rPr>
          <w:rFonts w:ascii="Times New Roman" w:hAnsi="Times New Roman"/>
          <w:sz w:val="24"/>
        </w:rPr>
        <w:t>Oddelek 9</w:t>
      </w:r>
      <w:r>
        <w:rPr>
          <w:rFonts w:ascii="Times New Roman" w:hAnsi="Times New Roman"/>
          <w:sz w:val="24"/>
        </w:rPr>
        <w:br/>
        <w:t>Okoljske trditve</w:t>
      </w:r>
    </w:p>
    <w:p w14:paraId="5963D7FE"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Člen D. 229-106. - Oglaševalec, ki v oglasu trdi, da je proizvod ali storitev ‚ogljično nevtralna‘, ‚brez ogljika‘, ‚brez ogljičnega odtisa‘, ‚podnebno nevtralna‘, ‚popolnoma izravnana‘, ‚100-odstotno izravnana‘ ali uporablja katero koli besedilo z enakovrednim pomenom ali obsegom, mora upoštevati določbe tega oddelka.</w:t>
      </w:r>
      <w:r>
        <w:rPr>
          <w:rFonts w:ascii="Times New Roman" w:hAnsi="Times New Roman"/>
          <w:sz w:val="24"/>
        </w:rPr>
        <w:br/>
        <w:t>‘ Ta oddelek se uporablja za oglaševalsko korespondenco in oglaševalske tiskovine, oglaševalske plakate, oglase v medijskih publikacijah, oglase v kinematografih, oglase, ki jih predvajajo televizijske ali radiodifuzijske storitve in ki se predvajajo prek spletnih komunikacijskih storitev, ter trditve, pritrjene na embalažo proizvoda.</w:t>
      </w:r>
    </w:p>
    <w:p w14:paraId="66620D8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Člen D. 229-107. - Oglaševalec iz člena D. 229-106 pripravi bilanco emisij toplogrednih plinov za zadevni proizvod ali storitev, ki zajema njegov celotni življenjski cikel. Ta bilanca stanja se posodablja vsako leto.</w:t>
      </w:r>
      <w:r>
        <w:rPr>
          <w:rFonts w:ascii="Times New Roman" w:hAnsi="Times New Roman"/>
          <w:sz w:val="24"/>
        </w:rPr>
        <w:br/>
        <w:t>‘ Ta bilanca stanja se izdela v skladu z zahtevami standarda NF EN ISO 14067 ali katerega koli drugega standarda, ki je enak zahtevam tega standarda. Odredba ministra, pristojnega za okolje, lahko dopolni te zahteve, da se metodologija bilance stanja emisij uskladi z metodologijo okoljskega označevanja iz člena L. 541-9-11 tega zakonika.</w:t>
      </w:r>
    </w:p>
    <w:p w14:paraId="5AACECB9" w14:textId="7FDCA96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Člen D. 229-108. - Oglaševalec iz člena D. 229-106 na svoji spletni strani za javno komuniciranje ali, če to ni mogoče, v svoji mobilni aplikaciji objavi zbirno poročilo, v katerem opiše ogljični odtis oglaševanega proizvoda ali storitve in načine, s katerimi se tem emisijam toplogrednih plinov v prvi vrsti izogne, jih nato zmanjša in končno kompenzira. To poročilo vsebuje tri priloge, ki podrobno opisujejo njegovo vsebino in so predstavljene v naslednjem vrstnem redu:</w:t>
      </w:r>
      <w:r>
        <w:rPr>
          <w:rFonts w:ascii="Times New Roman" w:hAnsi="Times New Roman"/>
          <w:sz w:val="24"/>
        </w:rPr>
        <w:br/>
      </w:r>
      <w:r w:rsidR="00153AF6" w:rsidRPr="00153AF6">
        <w:rPr>
          <w:rFonts w:ascii="Times New Roman" w:hAnsi="Times New Roman"/>
          <w:sz w:val="24"/>
        </w:rPr>
        <w:t xml:space="preserve">‘ </w:t>
      </w:r>
      <w:r>
        <w:rPr>
          <w:rFonts w:ascii="Times New Roman" w:hAnsi="Times New Roman"/>
          <w:sz w:val="24"/>
        </w:rPr>
        <w:t>(1) prilogo, v kateri so navedeni rezultati bilance stanja, predvidene v členu D. 229-107, in povzetek metodologije, uporabljene za pripravo te bilance stanja. V tem povzetku so navedeni zlasti obseg, ki se uporablja za opredelitev zadevnega proizvoda ali storitve, uporabljene funkcionalne ali deklarirane enote, meje zadevnega sistema, metoda obdelave faze ob koncu življenjske dobe, podatki o emisijah, ki se upoštevajo za električno energijo ali plin, porabljen v omrežjih. V njem so navedene države ali geografska območja, v katerih se emisije in emisije iz mednarodnega prometa pojavljajo, če so ti podatki na voljo;</w:t>
      </w:r>
      <w:r>
        <w:rPr>
          <w:rFonts w:ascii="Times New Roman" w:hAnsi="Times New Roman"/>
          <w:sz w:val="24"/>
        </w:rPr>
        <w:br/>
      </w:r>
      <w:r w:rsidR="00153AF6" w:rsidRPr="00153AF6">
        <w:rPr>
          <w:rFonts w:ascii="Times New Roman" w:hAnsi="Times New Roman"/>
          <w:sz w:val="24"/>
        </w:rPr>
        <w:t xml:space="preserve">‘ </w:t>
      </w:r>
      <w:r>
        <w:rPr>
          <w:rFonts w:ascii="Times New Roman" w:hAnsi="Times New Roman"/>
          <w:sz w:val="24"/>
        </w:rPr>
        <w:t>(2) prilogo, ki določa ciljno usmeritev za zmanjšanje emisij toplogrednih plinov, povezanih z oglaševanim proizvodom ali storitvijo, s količinsko opredeljenimi letnimi cilji napredka, ki zajema vsaj 10 let po objavi poročila iz tega oddelka. Posodobljena krivulja, ki zajema nadaljnje obdobje 10 let, se določi vsakih 5 let po objavi prvega poročila v skladu s tem oddelkom;</w:t>
      </w:r>
      <w:r>
        <w:rPr>
          <w:rFonts w:ascii="Times New Roman" w:hAnsi="Times New Roman"/>
          <w:sz w:val="24"/>
        </w:rPr>
        <w:br/>
      </w:r>
      <w:r w:rsidR="00153AF6" w:rsidRPr="00153AF6">
        <w:rPr>
          <w:rFonts w:ascii="Times New Roman" w:hAnsi="Times New Roman"/>
          <w:sz w:val="24"/>
        </w:rPr>
        <w:t xml:space="preserve">‘ </w:t>
      </w:r>
      <w:r>
        <w:rPr>
          <w:rFonts w:ascii="Times New Roman" w:hAnsi="Times New Roman"/>
          <w:sz w:val="24"/>
        </w:rPr>
        <w:t xml:space="preserve">(3) prilogo, v kateri so podrobno opisani postopki za izravnavo preostalih emisij, zlasti vrsta in opis kompenzacijskih projektov.  V tej prilogi so predstavljeni tudi podatki o </w:t>
      </w:r>
      <w:r>
        <w:rPr>
          <w:rFonts w:ascii="Times New Roman" w:hAnsi="Times New Roman"/>
          <w:sz w:val="24"/>
        </w:rPr>
        <w:lastRenderedPageBreak/>
        <w:t>njihovih stroških, tako da so razvrščeni v skladu z naslednjimi kategorijami: manj kot 10 EUR/t CO2, med 10 in 40 EUR/t CO2 ali več kot 40 EUR/t CO2. Ta priloga kaže, da količina emisij, zmanjšanih ali zajetih s to kompenzacijo, ustreza preostalim emisijam vseh proizvodov ali storitev, ki se prodajajo in na katere oglaševanje vpliva. V tej prilogi so določena tudi sredstva, ki jih uporablja oglaševalec, da se zagotovi, da ne bo dvojno štel kompenzacije, ki jo omogočajo ti projekti. Zlasti določa metode za umik zmanjšanja in zajemanja emisij s trga, kadar se uporabljajo izravnalni krediti. V tej prilogi so podrobno opisana prizadevanja za zagotovitev najboljše možne skladnosti med geografskimi območji, na katerih se projekti izvajajo in na katerih nastajajo emisije.</w:t>
      </w:r>
      <w:r>
        <w:rPr>
          <w:rFonts w:ascii="Times New Roman" w:hAnsi="Times New Roman"/>
          <w:sz w:val="24"/>
        </w:rPr>
        <w:br/>
        <w:t>‘ Ta objava se vsako leto posodablja v celotnem tržnem obdobju proizvoda ali storitve, v katerem oglaševalec v oglasu trdi, da je isti proizvod ali storitev ogljično nevtralna ali uporablja katero koli besedilo z enakovrednim pomenom ali obsegom. Posodobitev zlasti omogoča spremljanje razvoja emisij, povezanih s proizvodom ali storitvijo, v primerjavi z zgoraj omenjenim potekom zmanjševanja emisij. Oglaševalec tako umakne trditev iz člena D. 229-106, če se izkaže, da so se emisije na enoto, povezane s proizvodom ali storitvijo pred kompenzacijo, povečale dve zaporedni leti.</w:t>
      </w:r>
      <w:r>
        <w:rPr>
          <w:rFonts w:ascii="Times New Roman" w:hAnsi="Times New Roman"/>
          <w:sz w:val="24"/>
        </w:rPr>
        <w:br/>
        <w:t xml:space="preserve">Spletna povezava ali hitra odzivna koda (koda QR) za dostop do te publikacije je navedena na oglasu ali embalaži s trditvijo o ogljični nevtralnosti. </w:t>
      </w:r>
    </w:p>
    <w:p w14:paraId="37024D66"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Člen D. 229-109. - Zmanjšanje in zajemanje emisij, ki izhajata iz kompenzacijskih projektov, ki jih uporablja oglaševalec iz člena D. 229-106, sta v skladu z načeli iz člena L. 229-55 in njegovih izvedbenih besedil.</w:t>
      </w:r>
      <w:r>
        <w:rPr>
          <w:rFonts w:ascii="Times New Roman" w:hAnsi="Times New Roman"/>
          <w:sz w:val="24"/>
        </w:rPr>
        <w:br/>
        <w:t xml:space="preserve">Kompenzacijski projekti ne smejo škodovati ohranjanju in obnovi naravnih ekosistemov in njihovih funkcij. </w:t>
      </w:r>
      <w:r>
        <w:rPr>
          <w:rFonts w:ascii="Times New Roman" w:hAnsi="Times New Roman"/>
          <w:sz w:val="24"/>
        </w:rPr>
        <w:br/>
        <w:t>‘ Za zmanjšanja emisij, priznana na podlagi Odloka št. 2018-1043 z dne 28. novembra 2018 o uvedbi oznake ‚Bas Carbone‘ (nizkoogljični), se šteje, da so v skladu s predhodnimi odstavki.</w:t>
      </w:r>
      <w:r>
        <w:rPr>
          <w:rFonts w:ascii="Times New Roman" w:hAnsi="Times New Roman"/>
          <w:sz w:val="24"/>
        </w:rPr>
        <w:br/>
        <w:t>‘ Oglaševalci lahko besede ‚kompenzacija, izvedena v Franciji‘ ali katero koli omembo z enakim pomenom ali obsegom označijo le, če se vsi kompenzacijski projekti izvajajo v Franciji.“</w:t>
      </w:r>
    </w:p>
    <w:p w14:paraId="6E6013E0"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76E75FB3"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Ta odlok začne veljati 1. januarja 2023.</w:t>
      </w:r>
      <w:r>
        <w:rPr>
          <w:rFonts w:ascii="Times New Roman" w:hAnsi="Times New Roman"/>
          <w:sz w:val="24"/>
        </w:rPr>
        <w:br/>
        <w:t>Do 31. decembra 2025 je financiranje projektov v državah članicah EU enakovredno dodelitvi oglaševalcu za zmanjševanje in zajemanje emisij v skladu z določbami člena D. 229-109, če lahko oglaševalec s pogodbo utemelji morebitno priznanje koristi preverjenega in potrjenega zmanjšanja in zajemanja emisij tega projekta. Oglaševalec zagotovi skladnost s svojimi obveznostmi glede izravnave emisij, po potrebi s pridobitvijo dodatnih kreditov za ogljik, ki ustrezajo razliki med preverjenimi in potrjenimi zmanjšanji in zajemanji emisij tega projekta in financiranimi zmanjšanji emisij.</w:t>
      </w:r>
    </w:p>
    <w:p w14:paraId="254F4273"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3</w:t>
      </w:r>
    </w:p>
    <w:p w14:paraId="6CB50952"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izvajanje te uredbe, ki bo objavljena v Uradnem listu Francoske republike, je odgovoren francoski minister za ekološki prehod.</w:t>
      </w:r>
    </w:p>
    <w:p w14:paraId="78337CEE"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Dne 13. aprila 2022.</w:t>
      </w:r>
    </w:p>
    <w:p w14:paraId="6A4CB743"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Za predsednika vlade:</w:t>
      </w:r>
    </w:p>
    <w:p w14:paraId="1C1F6879" w14:textId="69F57981"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ministrica za ekološki prehod,</w:t>
      </w:r>
      <w:r>
        <w:rPr>
          <w:rFonts w:ascii="Times New Roman" w:hAnsi="Times New Roman"/>
          <w:sz w:val="24"/>
        </w:rPr>
        <w:br/>
        <w:t xml:space="preserve">Barbara </w:t>
      </w:r>
      <w:r w:rsidR="00E16EC3">
        <w:rPr>
          <w:rFonts w:ascii="Times New Roman" w:hAnsi="Times New Roman"/>
          <w:sz w:val="24"/>
        </w:rPr>
        <w:t>Pompili</w:t>
      </w:r>
    </w:p>
    <w:p w14:paraId="7BF7A958"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53AF6"/>
    <w:rsid w:val="001A38BC"/>
    <w:rsid w:val="002A3E9F"/>
    <w:rsid w:val="00E16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B6E1"/>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7198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3</cp:revision>
  <dcterms:created xsi:type="dcterms:W3CDTF">2022-08-01T13:05:00Z</dcterms:created>
  <dcterms:modified xsi:type="dcterms:W3CDTF">2022-08-02T15:11:00Z</dcterms:modified>
</cp:coreProperties>
</file>