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rFonts w:ascii="Arial" w:hAnsi="Arial" w:cs="Arial"/>
                <w:b/>
                <w:bCs/>
                <w:sz w:val="20"/>
                <w:szCs w:val="20"/>
              </w:rPr>
            </w:pPr>
            <w:r>
              <w:rPr>
                <w:rFonts w:ascii="Arial" w:hAnsi="Arial"/>
                <w:b/>
                <w:sz w:val="20"/>
              </w:rPr>
              <w:t>KINGDOM OF BELGIUM</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rFonts w:ascii="Arial" w:hAnsi="Arial" w:cs="Arial"/>
                <w:b/>
                <w:bCs/>
                <w:sz w:val="20"/>
                <w:szCs w:val="20"/>
              </w:rPr>
            </w:pPr>
            <w:r>
              <w:rPr>
                <w:rFonts w:ascii="Arial" w:hAnsi="Arial"/>
                <w:b/>
                <w:sz w:val="20"/>
              </w:rPr>
              <w:t>FEDERAL PUBLIC SERVICE ECONOMY, SMEs, SMALL BUSINESSES AND ENERGY</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rFonts w:ascii="Arial" w:hAnsi="Arial" w:cs="Arial"/>
                <w:sz w:val="20"/>
                <w:szCs w:val="20"/>
              </w:rPr>
            </w:pPr>
            <w:r>
              <w:rPr>
                <w:rFonts w:ascii="Arial" w:hAnsi="Arial"/>
                <w:b/>
                <w:sz w:val="20"/>
              </w:rPr>
              <w:t xml:space="preserve">Draft law </w:t>
            </w:r>
            <w:bookmarkStart w:id="0" w:name="_Hlk105162992"/>
            <w:r>
              <w:rPr>
                <w:rFonts w:ascii="Arial" w:hAnsi="Arial"/>
                <w:b/>
                <w:sz w:val="20"/>
              </w:rPr>
              <w:t>amending the Law of 17 July 2013</w:t>
            </w:r>
            <w:r>
              <w:rPr>
                <w:rFonts w:ascii="Arial" w:hAnsi="Arial"/>
                <w:b/>
                <w:color w:val="000000"/>
                <w:sz w:val="20"/>
              </w:rPr>
              <w:t xml:space="preserve"> concerning the minimum nominal volumes of sustainable biofuels that must be contained in the volumes of fossil fuels released annually for consumption</w:t>
            </w:r>
            <w:bookmarkEnd w:id="0"/>
            <w:r>
              <w:rPr>
                <w:rFonts w:ascii="Arial" w:hAnsi="Arial"/>
                <w:sz w:val="20"/>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rFonts w:ascii="Arial" w:hAnsi="Arial" w:cs="Arial"/>
                <w:sz w:val="20"/>
                <w:szCs w:val="20"/>
              </w:rPr>
            </w:pPr>
            <w:r>
              <w:rPr>
                <w:rFonts w:ascii="Arial" w:hAnsi="Arial"/>
                <w:b/>
                <w:sz w:val="20"/>
              </w:rPr>
              <w:t>PHILIPPE, King of the Belgians,</w:t>
            </w:r>
          </w:p>
        </w:tc>
      </w:tr>
      <w:tr w:rsidR="006B34E9" w14:paraId="7A3BCDFF" w14:textId="77777777" w:rsidTr="006B34E9">
        <w:tc>
          <w:tcPr>
            <w:tcW w:w="9356" w:type="dxa"/>
          </w:tcPr>
          <w:p w14:paraId="18A12CAE" w14:textId="2751ADBF" w:rsidR="006B34E9" w:rsidRPr="0028568E" w:rsidRDefault="006B34E9" w:rsidP="0028568E">
            <w:pPr>
              <w:jc w:val="center"/>
              <w:rPr>
                <w:rFonts w:ascii="Arial" w:hAnsi="Arial" w:cs="Arial"/>
                <w:sz w:val="20"/>
                <w:szCs w:val="20"/>
              </w:rPr>
            </w:pPr>
            <w:r>
              <w:rPr>
                <w:rFonts w:ascii="Arial" w:hAnsi="Arial"/>
                <w:i/>
                <w:sz w:val="20"/>
              </w:rPr>
              <w:t>To all those present and to come,</w:t>
            </w:r>
            <w:r w:rsidR="0046608D">
              <w:rPr>
                <w:rFonts w:ascii="Arial" w:hAnsi="Arial"/>
                <w:i/>
                <w:sz w:val="20"/>
              </w:rPr>
              <w:t xml:space="preserve"> </w:t>
            </w:r>
            <w:r>
              <w:rPr>
                <w:rFonts w:ascii="Arial" w:hAnsi="Arial"/>
                <w:i/>
                <w:sz w:val="20"/>
              </w:rPr>
              <w:t>Greetings</w:t>
            </w:r>
            <w:r>
              <w:rPr>
                <w:rFonts w:ascii="Arial" w:hAnsi="Arial"/>
                <w:sz w:val="20"/>
              </w:rPr>
              <w:t>.</w:t>
            </w:r>
          </w:p>
        </w:tc>
      </w:tr>
      <w:tr w:rsidR="006B34E9" w14:paraId="6ADFFD81" w14:textId="77777777" w:rsidTr="006B34E9">
        <w:tc>
          <w:tcPr>
            <w:tcW w:w="9356" w:type="dxa"/>
          </w:tcPr>
          <w:p w14:paraId="4DEBD1E4" w14:textId="77777777" w:rsidR="006B34E9" w:rsidRPr="0046608D" w:rsidRDefault="006B34E9">
            <w:pPr>
              <w:rPr>
                <w:rFonts w:ascii="Arial" w:hAnsi="Arial" w:cs="Arial"/>
                <w:sz w:val="20"/>
                <w:szCs w:val="20"/>
                <w:lang w:val="en-US"/>
              </w:rPr>
            </w:pPr>
          </w:p>
        </w:tc>
      </w:tr>
      <w:tr w:rsidR="006B34E9" w:rsidRPr="0028568E" w14:paraId="207F8F88" w14:textId="77777777" w:rsidTr="006B34E9">
        <w:tc>
          <w:tcPr>
            <w:tcW w:w="9356" w:type="dxa"/>
          </w:tcPr>
          <w:p w14:paraId="2589549B" w14:textId="48E1AC9A" w:rsidR="006B34E9" w:rsidRPr="0028568E" w:rsidRDefault="006B34E9" w:rsidP="00314A9E">
            <w:pPr>
              <w:rPr>
                <w:rFonts w:ascii="Arial" w:hAnsi="Arial" w:cs="Arial"/>
                <w:sz w:val="20"/>
                <w:szCs w:val="20"/>
              </w:rPr>
            </w:pPr>
            <w:r>
              <w:rPr>
                <w:rFonts w:ascii="Arial" w:hAnsi="Arial"/>
                <w:sz w:val="20"/>
              </w:rPr>
              <w:t>On the proposal of the Minister for Energy,</w:t>
            </w:r>
          </w:p>
        </w:tc>
      </w:tr>
      <w:tr w:rsidR="006B34E9" w:rsidRPr="0028568E" w14:paraId="311BA9F2" w14:textId="77777777" w:rsidTr="006B34E9">
        <w:tc>
          <w:tcPr>
            <w:tcW w:w="9356" w:type="dxa"/>
          </w:tcPr>
          <w:p w14:paraId="2C36104A" w14:textId="2220F80D" w:rsidR="006B34E9" w:rsidRPr="0028568E" w:rsidRDefault="006B34E9" w:rsidP="0028568E">
            <w:pPr>
              <w:jc w:val="center"/>
              <w:rPr>
                <w:rFonts w:ascii="Arial" w:hAnsi="Arial" w:cs="Arial"/>
                <w:sz w:val="20"/>
                <w:szCs w:val="20"/>
              </w:rPr>
            </w:pPr>
            <w:r>
              <w:rPr>
                <w:rFonts w:ascii="Arial" w:hAnsi="Arial"/>
                <w:sz w:val="20"/>
              </w:rPr>
              <w:t>WE HAVE DECREED AND HEREBY DECREE:</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rFonts w:ascii="Arial" w:hAnsi="Arial" w:cs="Arial"/>
                <w:sz w:val="18"/>
                <w:szCs w:val="18"/>
              </w:rPr>
            </w:pPr>
            <w:r>
              <w:rPr>
                <w:rFonts w:ascii="Arial" w:hAnsi="Arial"/>
                <w:sz w:val="18"/>
              </w:rPr>
              <w:t>The Minister responsible for Energy shall be responsible for presenting, on our behalf, to the Legislative Chambers and for tabling in the House of Representatives, the following draft Law:</w:t>
            </w:r>
          </w:p>
        </w:tc>
      </w:tr>
      <w:tr w:rsidR="006B34E9" w14:paraId="15395D70" w14:textId="77777777" w:rsidTr="006B34E9">
        <w:tc>
          <w:tcPr>
            <w:tcW w:w="9356" w:type="dxa"/>
          </w:tcPr>
          <w:p w14:paraId="1D5306D2" w14:textId="77777777" w:rsidR="006B34E9" w:rsidRPr="0046608D" w:rsidRDefault="006B34E9">
            <w:pPr>
              <w:rPr>
                <w:rFonts w:ascii="Arial" w:hAnsi="Arial" w:cs="Arial"/>
                <w:sz w:val="18"/>
                <w:szCs w:val="18"/>
                <w:lang w:val="en-US"/>
              </w:rPr>
            </w:pPr>
          </w:p>
        </w:tc>
      </w:tr>
      <w:tr w:rsidR="006B34E9" w:rsidRPr="0028568E" w14:paraId="053999D2" w14:textId="77777777" w:rsidTr="006B34E9">
        <w:tc>
          <w:tcPr>
            <w:tcW w:w="9356" w:type="dxa"/>
          </w:tcPr>
          <w:p w14:paraId="7B777308" w14:textId="31F86143" w:rsidR="006B34E9" w:rsidRDefault="006B34E9" w:rsidP="0028568E">
            <w:pPr>
              <w:jc w:val="both"/>
              <w:rPr>
                <w:rFonts w:ascii="Arial" w:hAnsi="Arial"/>
                <w:sz w:val="18"/>
                <w:szCs w:val="18"/>
              </w:rPr>
            </w:pPr>
            <w:r>
              <w:rPr>
                <w:rFonts w:ascii="Arial" w:hAnsi="Arial"/>
                <w:b/>
                <w:sz w:val="18"/>
              </w:rPr>
              <w:t xml:space="preserve">Article 1. </w:t>
            </w:r>
            <w:r>
              <w:rPr>
                <w:rFonts w:ascii="Arial" w:hAnsi="Arial"/>
                <w:sz w:val="18"/>
              </w:rPr>
              <w:t>This Law regulates a matter referred to in Article 78 of the Constitution.</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rFonts w:ascii="Arial" w:hAnsi="Arial"/>
                <w:sz w:val="18"/>
                <w:szCs w:val="18"/>
              </w:rPr>
            </w:pPr>
            <w:r>
              <w:rPr>
                <w:rFonts w:ascii="Arial" w:hAnsi="Arial"/>
                <w:b/>
                <w:sz w:val="18"/>
              </w:rPr>
              <w:t xml:space="preserve">Article 2. </w:t>
            </w:r>
            <w:r>
              <w:rPr>
                <w:rFonts w:ascii="Arial" w:hAnsi="Arial"/>
                <w:sz w:val="18"/>
              </w:rPr>
              <w:t xml:space="preserve">This Law partially transposes Directive (EU) 2018/2001 of the European Parliament and of the Council of 11 December 2018 on the promotion of the use of energy produced from renewable sources. </w:t>
            </w:r>
          </w:p>
          <w:p w14:paraId="1666AA4A" w14:textId="77777777" w:rsidR="006B34E9" w:rsidRPr="0046608D" w:rsidRDefault="006B34E9" w:rsidP="0028568E">
            <w:pPr>
              <w:jc w:val="both"/>
              <w:rPr>
                <w:rFonts w:ascii="Arial" w:hAnsi="Arial"/>
                <w:sz w:val="18"/>
                <w:szCs w:val="18"/>
                <w:lang w:val="en-US"/>
              </w:rPr>
            </w:pPr>
          </w:p>
          <w:p w14:paraId="3349FBCA" w14:textId="09ED9F70" w:rsidR="006B34E9" w:rsidRPr="00261807" w:rsidRDefault="006B34E9" w:rsidP="00DF7056">
            <w:pPr>
              <w:jc w:val="both"/>
              <w:rPr>
                <w:rFonts w:ascii="Arial" w:hAnsi="Arial" w:cs="Arial"/>
                <w:color w:val="000000"/>
                <w:sz w:val="18"/>
                <w:szCs w:val="18"/>
              </w:rPr>
            </w:pPr>
            <w:r>
              <w:rPr>
                <w:rFonts w:ascii="Arial" w:hAnsi="Arial"/>
                <w:sz w:val="18"/>
              </w:rPr>
              <w:t>Existing laws, regulations and administrative provisions referring to the Directives repealed by Directive (EU) 2018/2001 shall be interpreted as referring to that Directive.</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rFonts w:ascii="Arial" w:hAnsi="Arial" w:cs="Arial"/>
                <w:color w:val="000000"/>
                <w:sz w:val="18"/>
                <w:szCs w:val="18"/>
              </w:rPr>
            </w:pPr>
            <w:r>
              <w:rPr>
                <w:rFonts w:ascii="Arial" w:hAnsi="Arial"/>
                <w:b/>
                <w:color w:val="000000"/>
                <w:sz w:val="18"/>
              </w:rPr>
              <w:t>Article 3.</w:t>
            </w:r>
            <w:r>
              <w:rPr>
                <w:rFonts w:ascii="Arial" w:hAnsi="Arial"/>
                <w:color w:val="000000"/>
                <w:sz w:val="18"/>
              </w:rPr>
              <w:t xml:space="preserve"> In Article 2 of the Law</w:t>
            </w:r>
            <w:r>
              <w:t xml:space="preserve"> </w:t>
            </w:r>
            <w:r>
              <w:rPr>
                <w:rFonts w:ascii="Arial" w:hAnsi="Arial"/>
                <w:color w:val="000000"/>
                <w:sz w:val="18"/>
              </w:rPr>
              <w:t>of 17 July 2013 on the minimum nominal volumes of sustainable biofuels that must be contained in the volumes of fossil fuels released annually for consumption, the following amendments are made:</w:t>
            </w:r>
          </w:p>
          <w:p w14:paraId="5B4BF699" w14:textId="2CB4BC0A" w:rsidR="006B34E9" w:rsidRDefault="006B34E9" w:rsidP="00260562">
            <w:pPr>
              <w:jc w:val="both"/>
              <w:rPr>
                <w:rFonts w:ascii="Arial" w:hAnsi="Arial" w:cs="Arial"/>
                <w:color w:val="000000"/>
                <w:sz w:val="18"/>
                <w:szCs w:val="18"/>
              </w:rPr>
            </w:pPr>
            <w:r>
              <w:rPr>
                <w:rFonts w:ascii="Arial" w:hAnsi="Arial"/>
                <w:color w:val="000000"/>
                <w:sz w:val="18"/>
              </w:rPr>
              <w:t>a) 3° is replaced with the following:</w:t>
            </w:r>
          </w:p>
          <w:p w14:paraId="4C328E28" w14:textId="5C6D4C05" w:rsidR="006B34E9" w:rsidRDefault="006B34E9" w:rsidP="00260562">
            <w:pPr>
              <w:jc w:val="both"/>
              <w:rPr>
                <w:rFonts w:ascii="Arial" w:hAnsi="Arial" w:cs="Arial"/>
                <w:color w:val="000000"/>
                <w:sz w:val="18"/>
                <w:szCs w:val="18"/>
              </w:rPr>
            </w:pPr>
            <w:r>
              <w:rPr>
                <w:rFonts w:ascii="Arial" w:hAnsi="Arial"/>
                <w:color w:val="000000"/>
                <w:sz w:val="18"/>
              </w:rPr>
              <w:t>‘3° ‘Royal Decree of 17 December 2021’: Royal Decree of 17 December 2021 laying down product standards for fuels intended for the transport sector of renewable origin and for fuels or combustibles based on recycled carbon intended for the transport sector’;</w:t>
            </w:r>
          </w:p>
          <w:p w14:paraId="637451A7" w14:textId="458B929A" w:rsidR="006B34E9" w:rsidRDefault="006B34E9" w:rsidP="00260562">
            <w:pPr>
              <w:jc w:val="both"/>
              <w:rPr>
                <w:rFonts w:ascii="Arial" w:hAnsi="Arial" w:cs="Arial"/>
                <w:color w:val="000000"/>
                <w:sz w:val="18"/>
                <w:szCs w:val="18"/>
              </w:rPr>
            </w:pPr>
            <w:r>
              <w:rPr>
                <w:rFonts w:ascii="Arial" w:hAnsi="Arial"/>
                <w:color w:val="000000"/>
                <w:sz w:val="18"/>
              </w:rPr>
              <w:t>b) 4° is replaced with the following:</w:t>
            </w:r>
          </w:p>
          <w:p w14:paraId="4A848094" w14:textId="2AEA12A2" w:rsidR="006B34E9" w:rsidRDefault="006B34E9" w:rsidP="00260562">
            <w:pPr>
              <w:jc w:val="both"/>
              <w:rPr>
                <w:rFonts w:ascii="Arial" w:hAnsi="Arial" w:cs="Arial"/>
                <w:color w:val="000000"/>
                <w:sz w:val="18"/>
                <w:szCs w:val="18"/>
              </w:rPr>
            </w:pPr>
            <w:r>
              <w:rPr>
                <w:rFonts w:ascii="Arial" w:hAnsi="Arial"/>
                <w:color w:val="000000"/>
                <w:sz w:val="18"/>
              </w:rPr>
              <w:t>‘4° ‘Ministerial Decree of 19 May 2021’: Ministerial Decree of 19 May 2021 on the registration of persons involved in the country’s supply chain and of consumers of oil and petroleum products’;</w:t>
            </w:r>
          </w:p>
          <w:p w14:paraId="584584C2" w14:textId="66BE9150" w:rsidR="006B34E9" w:rsidRDefault="006B34E9" w:rsidP="00260562">
            <w:pPr>
              <w:jc w:val="both"/>
              <w:rPr>
                <w:rFonts w:ascii="Arial" w:hAnsi="Arial" w:cs="Arial"/>
                <w:color w:val="000000"/>
                <w:sz w:val="18"/>
                <w:szCs w:val="18"/>
              </w:rPr>
            </w:pPr>
            <w:r>
              <w:rPr>
                <w:rFonts w:ascii="Arial" w:hAnsi="Arial"/>
                <w:color w:val="000000"/>
                <w:sz w:val="18"/>
              </w:rPr>
              <w:t>c) in 5°, the words ‘Ministerial Decree of 27 December 1978’ are replaced with the words ‘Ministerial Decree of 19 May 2021’;</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rFonts w:ascii="Arial" w:hAnsi="Arial" w:cs="Arial"/>
                <w:color w:val="000000"/>
                <w:sz w:val="18"/>
                <w:szCs w:val="18"/>
              </w:rPr>
            </w:pPr>
            <w:r>
              <w:rPr>
                <w:rFonts w:ascii="Arial" w:hAnsi="Arial"/>
                <w:color w:val="000000"/>
                <w:sz w:val="18"/>
              </w:rPr>
              <w:t>d) this Article shall be supplemented by 24°, worded as follows: ‘24° ‘Royal Decree of 16 July 2014’: the Royal Decree of 16 July 2014 concerning the information and administration obligations for biofuels in categories B and C, in accordance with the Law of 17 July 2013 on the minimum nominal volumes of sustainable biofuels that must be contained in the volumes of fossil fuels released annually for consumption;’;</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rFonts w:ascii="Arial" w:hAnsi="Arial" w:cs="Arial"/>
                <w:color w:val="000000"/>
                <w:sz w:val="18"/>
                <w:szCs w:val="18"/>
              </w:rPr>
            </w:pPr>
            <w:r>
              <w:rPr>
                <w:rFonts w:ascii="Arial" w:hAnsi="Arial"/>
                <w:color w:val="000000"/>
                <w:sz w:val="18"/>
              </w:rPr>
              <w:t>e) this Article shall be supplemented by 25°, worded as follows:</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rFonts w:ascii="Arial" w:hAnsi="Arial" w:cs="Arial"/>
                <w:color w:val="000000"/>
                <w:sz w:val="18"/>
                <w:szCs w:val="18"/>
              </w:rPr>
            </w:pPr>
            <w:r>
              <w:rPr>
                <w:rFonts w:ascii="Arial" w:hAnsi="Arial"/>
                <w:color w:val="000000"/>
                <w:sz w:val="18"/>
              </w:rPr>
              <w:t>‘25° ‘Delegated Regulation 2019/807’: Commission Delegated Regulation (EU) 2019/807 of 13 March 2019 supplementing Directive (EU) 2018/2001 of the European Parliament and of the Council as regards, on the one hand, the identification of feedstocks with a high risk of inducing indirect land-use change whose area of production gains significantly from land with a high carbon stock and, on the other hand, the certification of biofuels, bioliquids and biomass fuels with a low risk of inducing indirect land-use change.’.</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rFonts w:ascii="Arial" w:hAnsi="Arial"/>
                <w:b/>
                <w:sz w:val="18"/>
                <w:szCs w:val="18"/>
              </w:rPr>
            </w:pPr>
            <w:r>
              <w:rPr>
                <w:rFonts w:ascii="Arial" w:hAnsi="Arial"/>
                <w:b/>
                <w:sz w:val="18"/>
              </w:rPr>
              <w:t xml:space="preserve">Article 4. </w:t>
            </w:r>
            <w:r>
              <w:rPr>
                <w:rFonts w:ascii="Arial" w:hAnsi="Arial"/>
                <w:sz w:val="18"/>
              </w:rPr>
              <w:t xml:space="preserve">In the same </w:t>
            </w:r>
            <w:r>
              <w:rPr>
                <w:rFonts w:ascii="Arial" w:hAnsi="Arial"/>
                <w:color w:val="000000"/>
                <w:sz w:val="18"/>
              </w:rPr>
              <w:t>Law, as amended by the Law of 26 December 2015</w:t>
            </w:r>
            <w:r>
              <w:rPr>
                <w:rFonts w:ascii="Arial" w:hAnsi="Arial"/>
                <w:sz w:val="18"/>
              </w:rPr>
              <w:t>, Article 7/1 is inserted, worded as follows:</w:t>
            </w:r>
            <w:r>
              <w:rPr>
                <w:rFonts w:ascii="Arial" w:hAnsi="Arial"/>
                <w:b/>
                <w:sz w:val="18"/>
              </w:rPr>
              <w:t xml:space="preserve"> </w:t>
            </w:r>
          </w:p>
          <w:p w14:paraId="1D0D95C8" w14:textId="251279C4" w:rsidR="006B34E9" w:rsidRDefault="006B34E9" w:rsidP="0028568E">
            <w:pPr>
              <w:jc w:val="both"/>
              <w:rPr>
                <w:rFonts w:ascii="Arial" w:hAnsi="Arial" w:cs="Arial"/>
                <w:sz w:val="18"/>
                <w:szCs w:val="18"/>
              </w:rPr>
            </w:pPr>
            <w:r>
              <w:rPr>
                <w:rFonts w:ascii="Arial" w:hAnsi="Arial"/>
                <w:sz w:val="18"/>
              </w:rPr>
              <w:t>‘Article 7/1. § 1. From 1 January 2023, biofuels produced from palm oil, including other products derived directly or indirectly from palm, can no longer contribute to achieving the incorporation volume provided for in Article 7, § 1, and those included in the secondary objectives of Article 4, paragraph 1, 1°, 2°, 3° and 4° of the Royal Decree of 4 May 2018 laying down the minimum nominal volumes of sustainable biofuels that must be contained in the volumes of fuels released annually for consumption. </w:t>
            </w:r>
          </w:p>
          <w:p w14:paraId="0B2000C7" w14:textId="77777777" w:rsidR="006B34E9" w:rsidRPr="0046608D" w:rsidRDefault="006B34E9" w:rsidP="0028568E">
            <w:pPr>
              <w:jc w:val="both"/>
              <w:rPr>
                <w:rFonts w:ascii="Arial" w:hAnsi="Arial" w:cs="Arial"/>
                <w:sz w:val="18"/>
                <w:szCs w:val="18"/>
                <w:lang w:val="en-US"/>
              </w:rPr>
            </w:pPr>
          </w:p>
          <w:p w14:paraId="44EC2433" w14:textId="4BFC869E" w:rsidR="006B34E9" w:rsidRDefault="006B34E9" w:rsidP="002C7720">
            <w:pPr>
              <w:jc w:val="both"/>
              <w:rPr>
                <w:rFonts w:ascii="Arial" w:hAnsi="Arial" w:cs="Arial"/>
                <w:sz w:val="18"/>
                <w:szCs w:val="18"/>
              </w:rPr>
            </w:pPr>
            <w:r>
              <w:rPr>
                <w:rFonts w:ascii="Arial" w:hAnsi="Arial"/>
                <w:sz w:val="18"/>
              </w:rPr>
              <w:t>This paragraph shall not apply to raw materials listed in Annex IV of the Royal Decree of 16 July 2014 and to biofuels, bioliquids or biomass fuels certified as having a low risk of indirect land use change, in accordance with the provisions and criteria to that effect in Articles 4 and 5 of Delegated Regulation 2019/807. </w:t>
            </w:r>
          </w:p>
          <w:p w14:paraId="4E003D84" w14:textId="77777777" w:rsidR="006B34E9" w:rsidRPr="0046608D" w:rsidRDefault="006B34E9" w:rsidP="002C7720">
            <w:pPr>
              <w:jc w:val="both"/>
              <w:rPr>
                <w:rFonts w:ascii="Arial" w:hAnsi="Arial"/>
                <w:bCs/>
                <w:sz w:val="18"/>
                <w:szCs w:val="18"/>
                <w:lang w:val="en-US"/>
              </w:rPr>
            </w:pPr>
          </w:p>
          <w:p w14:paraId="0758B473" w14:textId="7519D9BD" w:rsidR="006B34E9" w:rsidRDefault="006B34E9" w:rsidP="002C7720">
            <w:pPr>
              <w:jc w:val="both"/>
              <w:rPr>
                <w:sz w:val="18"/>
                <w:szCs w:val="18"/>
              </w:rPr>
            </w:pPr>
            <w:r>
              <w:rPr>
                <w:rFonts w:ascii="Arial" w:hAnsi="Arial"/>
                <w:sz w:val="18"/>
              </w:rPr>
              <w:t xml:space="preserve">§ 2. From 1 July 2023, biofuels produced from soybean oil, including other products derived directly or indirectly from soybeans, can no longer contribute to achieving the incorporation volume provided for in Article 7, § 1, and those included in the secondary objectives of Article 4, paragraph 1, 1°, 2°, 3° and 4° of the Royal Decree of 4 May </w:t>
            </w:r>
            <w:r>
              <w:rPr>
                <w:rFonts w:ascii="Arial" w:hAnsi="Arial"/>
                <w:sz w:val="18"/>
              </w:rPr>
              <w:lastRenderedPageBreak/>
              <w:t>2018 laying down the minimum nominal volumes of sustainable biofuels that must be contained in the volumes of fuels released annually for consumption</w:t>
            </w:r>
            <w:r>
              <w:rPr>
                <w:sz w:val="18"/>
              </w:rPr>
              <w:t>. </w:t>
            </w:r>
          </w:p>
          <w:p w14:paraId="76D0F590" w14:textId="17F717C4" w:rsidR="006B34E9" w:rsidRPr="0046608D" w:rsidRDefault="006B34E9" w:rsidP="002C7720">
            <w:pPr>
              <w:jc w:val="both"/>
              <w:rPr>
                <w:rFonts w:ascii="Arial" w:hAnsi="Arial" w:cs="Arial"/>
                <w:sz w:val="18"/>
                <w:szCs w:val="18"/>
                <w:lang w:val="en-US"/>
              </w:rPr>
            </w:pPr>
          </w:p>
          <w:p w14:paraId="7D577B16" w14:textId="77777777" w:rsidR="006B34E9" w:rsidRPr="0046608D" w:rsidRDefault="006B34E9" w:rsidP="002C7720">
            <w:pPr>
              <w:jc w:val="both"/>
              <w:rPr>
                <w:rFonts w:ascii="Arial" w:hAnsi="Arial" w:cs="Arial"/>
                <w:sz w:val="18"/>
                <w:szCs w:val="18"/>
                <w:lang w:val="en-US"/>
              </w:rPr>
            </w:pPr>
          </w:p>
          <w:p w14:paraId="669E6DAB" w14:textId="114A7C02" w:rsidR="006B34E9" w:rsidRPr="008C5339" w:rsidRDefault="006B34E9" w:rsidP="0028568E">
            <w:pPr>
              <w:jc w:val="both"/>
              <w:rPr>
                <w:rFonts w:ascii="Arial" w:hAnsi="Arial"/>
                <w:b/>
                <w:sz w:val="18"/>
                <w:szCs w:val="18"/>
              </w:rPr>
            </w:pPr>
            <w:r>
              <w:rPr>
                <w:rFonts w:ascii="Arial" w:hAnsi="Arial"/>
                <w:sz w:val="18"/>
              </w:rPr>
              <w:t xml:space="preserve">This paragraph shall not apply to raw materials listed in Annex IV to the Royal Decree of 16 July 2014 and to biofuels, bioliquids or biomass fuels certified as having a low risk of indirect land-use change, in accordance with the provisions and criteria to that effect in Articles 4 and 5 of Delegated Regulation 2019/807.’;  </w:t>
            </w:r>
          </w:p>
        </w:tc>
      </w:tr>
      <w:tr w:rsidR="006B34E9" w:rsidRPr="008C5339" w14:paraId="0792654B" w14:textId="77777777" w:rsidTr="006B34E9">
        <w:tc>
          <w:tcPr>
            <w:tcW w:w="9356" w:type="dxa"/>
          </w:tcPr>
          <w:p w14:paraId="3927C6B6" w14:textId="5C5AD4C5" w:rsidR="006B34E9" w:rsidRDefault="006B34E9" w:rsidP="001722F3">
            <w:pPr>
              <w:jc w:val="both"/>
              <w:rPr>
                <w:rFonts w:ascii="Arial" w:hAnsi="Arial" w:cs="Arial"/>
                <w:color w:val="000000"/>
                <w:sz w:val="18"/>
                <w:szCs w:val="18"/>
              </w:rPr>
            </w:pPr>
            <w:r>
              <w:rPr>
                <w:rFonts w:ascii="Arial" w:hAnsi="Arial"/>
                <w:b/>
                <w:sz w:val="18"/>
              </w:rPr>
              <w:lastRenderedPageBreak/>
              <w:t xml:space="preserve">Article 5. </w:t>
            </w:r>
            <w:r>
              <w:rPr>
                <w:rFonts w:ascii="Arial" w:hAnsi="Arial"/>
                <w:sz w:val="18"/>
              </w:rPr>
              <w:t xml:space="preserve">In Article 8(1) of the same Law, </w:t>
            </w:r>
            <w:r>
              <w:rPr>
                <w:rFonts w:ascii="Arial" w:hAnsi="Arial"/>
                <w:color w:val="000000"/>
                <w:sz w:val="18"/>
              </w:rPr>
              <w:t>the words ‘§§ 2 and 4’ are replaced with the words ‘§§ 2 and 6’.</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rFonts w:ascii="Arial" w:hAnsi="Arial" w:cs="Arial"/>
                <w:color w:val="000000"/>
                <w:sz w:val="18"/>
                <w:szCs w:val="18"/>
              </w:rPr>
            </w:pPr>
            <w:r>
              <w:rPr>
                <w:rFonts w:ascii="Arial" w:hAnsi="Arial"/>
                <w:b/>
                <w:sz w:val="18"/>
              </w:rPr>
              <w:t xml:space="preserve">Article 6. </w:t>
            </w:r>
            <w:r>
              <w:rPr>
                <w:rFonts w:ascii="Arial" w:hAnsi="Arial"/>
                <w:sz w:val="18"/>
              </w:rPr>
              <w:t>In</w:t>
            </w:r>
            <w:r>
              <w:rPr>
                <w:rFonts w:ascii="Arial" w:hAnsi="Arial"/>
                <w:color w:val="000000"/>
                <w:sz w:val="18"/>
              </w:rPr>
              <w:t xml:space="preserve"> Article 9 of the same Law, the words ‘§§ 7 and 8’ are replaced with the words ‘§§ 12 and 13’.</w:t>
            </w:r>
          </w:p>
          <w:p w14:paraId="4918F9D6" w14:textId="6F25E26D" w:rsidR="006B34E9" w:rsidRPr="0046608D" w:rsidRDefault="006B34E9" w:rsidP="001722F3">
            <w:pPr>
              <w:jc w:val="both"/>
              <w:rPr>
                <w:rFonts w:ascii="Arial" w:hAnsi="Arial"/>
                <w:b/>
                <w:sz w:val="18"/>
                <w:szCs w:val="18"/>
                <w:lang w:val="en-US"/>
              </w:rPr>
            </w:pPr>
          </w:p>
        </w:tc>
      </w:tr>
      <w:tr w:rsidR="006B34E9" w:rsidRPr="007953D5" w14:paraId="0A9CA999" w14:textId="77777777" w:rsidTr="006B34E9">
        <w:tc>
          <w:tcPr>
            <w:tcW w:w="9356" w:type="dxa"/>
          </w:tcPr>
          <w:p w14:paraId="399A7EE4" w14:textId="1B230C26" w:rsidR="006B34E9" w:rsidRDefault="006B34E9" w:rsidP="007953D5">
            <w:pPr>
              <w:jc w:val="both"/>
              <w:rPr>
                <w:rFonts w:ascii="Arial" w:hAnsi="Arial"/>
                <w:bCs/>
                <w:sz w:val="18"/>
                <w:szCs w:val="18"/>
              </w:rPr>
            </w:pPr>
            <w:r>
              <w:rPr>
                <w:rFonts w:ascii="Arial" w:hAnsi="Arial"/>
                <w:b/>
                <w:sz w:val="18"/>
              </w:rPr>
              <w:t xml:space="preserve">Article 7. </w:t>
            </w:r>
            <w:r>
              <w:rPr>
                <w:rFonts w:ascii="Arial" w:hAnsi="Arial"/>
                <w:sz w:val="18"/>
              </w:rPr>
              <w:t>In Article 12, § 1, of the same law, the following amendments are made:</w:t>
            </w:r>
          </w:p>
          <w:p w14:paraId="4B19C096" w14:textId="2A95C7CD" w:rsidR="006B34E9" w:rsidRDefault="006B34E9" w:rsidP="007953D5">
            <w:pPr>
              <w:jc w:val="both"/>
              <w:rPr>
                <w:rFonts w:ascii="Arial" w:hAnsi="Arial" w:cs="Arial"/>
                <w:color w:val="000000"/>
                <w:sz w:val="18"/>
                <w:szCs w:val="18"/>
              </w:rPr>
            </w:pPr>
            <w:r>
              <w:rPr>
                <w:rFonts w:ascii="Arial" w:hAnsi="Arial"/>
                <w:sz w:val="18"/>
              </w:rPr>
              <w:t>1° the words</w:t>
            </w:r>
            <w:r>
              <w:rPr>
                <w:rFonts w:ascii="Arial" w:hAnsi="Arial"/>
                <w:b/>
                <w:sz w:val="18"/>
              </w:rPr>
              <w:t xml:space="preserve"> </w:t>
            </w:r>
            <w:r>
              <w:rPr>
                <w:rFonts w:ascii="Arial" w:hAnsi="Arial"/>
                <w:sz w:val="18"/>
              </w:rPr>
              <w:t>‘</w:t>
            </w:r>
            <w:r>
              <w:rPr>
                <w:rFonts w:ascii="Arial" w:hAnsi="Arial"/>
                <w:color w:val="000000"/>
                <w:sz w:val="18"/>
              </w:rPr>
              <w:t>the Royal Decree of 26 November 2011 laying down product standards for biofuels’ are replaced with the words ‘Royal Decree of 17 December 2021’;</w:t>
            </w:r>
          </w:p>
          <w:p w14:paraId="207381E6" w14:textId="1C37066E" w:rsidR="006B34E9" w:rsidRDefault="006B34E9" w:rsidP="007953D5">
            <w:pPr>
              <w:jc w:val="both"/>
              <w:rPr>
                <w:rFonts w:ascii="Arial" w:hAnsi="Arial" w:cs="Arial"/>
                <w:color w:val="000000"/>
                <w:sz w:val="18"/>
                <w:szCs w:val="18"/>
              </w:rPr>
            </w:pPr>
            <w:r>
              <w:rPr>
                <w:rFonts w:ascii="Arial" w:hAnsi="Arial"/>
                <w:color w:val="000000"/>
                <w:sz w:val="18"/>
              </w:rPr>
              <w:t>2° the words ‘the certifications’ are replaced with the words ‘the product declarations’.</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rFonts w:ascii="Arial" w:hAnsi="Arial" w:cs="Arial"/>
                <w:bCs/>
                <w:sz w:val="18"/>
                <w:szCs w:val="18"/>
              </w:rPr>
            </w:pPr>
            <w:r>
              <w:rPr>
                <w:rFonts w:ascii="Arial" w:hAnsi="Arial"/>
                <w:b/>
                <w:sz w:val="18"/>
              </w:rPr>
              <w:t xml:space="preserve">Article 8. </w:t>
            </w:r>
            <w:r>
              <w:rPr>
                <w:rFonts w:ascii="Arial" w:hAnsi="Arial"/>
                <w:sz w:val="18"/>
              </w:rPr>
              <w:t>In Article 13, § 2 of the same Law,</w:t>
            </w:r>
            <w:r>
              <w:rPr>
                <w:rFonts w:ascii="Arial" w:hAnsi="Arial"/>
                <w:b/>
                <w:sz w:val="18"/>
              </w:rPr>
              <w:t xml:space="preserve"> </w:t>
            </w:r>
            <w:r>
              <w:rPr>
                <w:rFonts w:ascii="Arial" w:hAnsi="Arial"/>
                <w:sz w:val="18"/>
              </w:rPr>
              <w:t>the following amendments are made:</w:t>
            </w:r>
          </w:p>
          <w:p w14:paraId="01B457E5" w14:textId="79566F67" w:rsidR="006B34E9" w:rsidRDefault="006B34E9" w:rsidP="001722F3">
            <w:pPr>
              <w:jc w:val="both"/>
              <w:rPr>
                <w:rFonts w:ascii="Arial" w:hAnsi="Arial" w:cs="Arial"/>
                <w:color w:val="000000"/>
                <w:sz w:val="18"/>
                <w:szCs w:val="18"/>
              </w:rPr>
            </w:pPr>
            <w:r>
              <w:rPr>
                <w:rFonts w:ascii="Arial" w:hAnsi="Arial"/>
                <w:color w:val="000000"/>
                <w:sz w:val="18"/>
              </w:rPr>
              <w:t>1° in paragraphs 1 and 3, the words ‘§§ 3 and 5’ are replaced with the words ‘§§ 3 and 7’;</w:t>
            </w:r>
          </w:p>
          <w:p w14:paraId="59BA53E4" w14:textId="03FCB643" w:rsidR="006B34E9" w:rsidRDefault="006B34E9" w:rsidP="001722F3">
            <w:pPr>
              <w:jc w:val="both"/>
              <w:rPr>
                <w:rFonts w:ascii="Arial" w:hAnsi="Arial" w:cs="Arial"/>
                <w:color w:val="000000"/>
                <w:sz w:val="18"/>
                <w:szCs w:val="18"/>
              </w:rPr>
            </w:pPr>
            <w:r>
              <w:rPr>
                <w:rFonts w:ascii="Arial" w:hAnsi="Arial"/>
                <w:color w:val="000000"/>
                <w:sz w:val="18"/>
              </w:rPr>
              <w:t>2° in paragraph 3, the words ‘§§ 2 and 4’ are replaced with the words ‘§§ 2 and 6’.</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rFonts w:ascii="Arial" w:hAnsi="Arial" w:cs="Arial"/>
                <w:color w:val="000000"/>
                <w:sz w:val="18"/>
                <w:szCs w:val="18"/>
              </w:rPr>
            </w:pPr>
            <w:r>
              <w:rPr>
                <w:rFonts w:ascii="Arial" w:hAnsi="Arial"/>
                <w:b/>
                <w:sz w:val="18"/>
              </w:rPr>
              <w:t xml:space="preserve">Article 9. </w:t>
            </w:r>
            <w:r>
              <w:rPr>
                <w:rFonts w:ascii="Arial" w:hAnsi="Arial"/>
                <w:sz w:val="18"/>
              </w:rPr>
              <w:t>In</w:t>
            </w:r>
            <w:r>
              <w:rPr>
                <w:rFonts w:ascii="Arial" w:hAnsi="Arial"/>
                <w:color w:val="000000"/>
                <w:sz w:val="18"/>
              </w:rPr>
              <w:t xml:space="preserve"> Article 14, § 2(1) of the same Law, the words ‘§§ 2 and 4’ are replaced with the words ‘§§ 2 and 6’.</w:t>
            </w:r>
          </w:p>
          <w:p w14:paraId="5C1523CE" w14:textId="32D4B25B" w:rsidR="006B34E9" w:rsidRPr="0046608D" w:rsidRDefault="006B34E9" w:rsidP="001722F3">
            <w:pPr>
              <w:jc w:val="both"/>
              <w:rPr>
                <w:rFonts w:ascii="Arial" w:hAnsi="Arial"/>
                <w:b/>
                <w:sz w:val="18"/>
                <w:szCs w:val="18"/>
                <w:lang w:val="en-US"/>
              </w:rPr>
            </w:pPr>
          </w:p>
        </w:tc>
      </w:tr>
      <w:tr w:rsidR="006B34E9" w:rsidRPr="008C5339" w14:paraId="182C5ADC" w14:textId="77777777" w:rsidTr="006B34E9">
        <w:tc>
          <w:tcPr>
            <w:tcW w:w="9356" w:type="dxa"/>
          </w:tcPr>
          <w:p w14:paraId="116635F0" w14:textId="00BD8FB4" w:rsidR="006B34E9" w:rsidRDefault="006B34E9" w:rsidP="001722F3">
            <w:pPr>
              <w:jc w:val="both"/>
              <w:rPr>
                <w:rFonts w:ascii="Arial" w:hAnsi="Arial" w:cs="Arial"/>
                <w:color w:val="000000"/>
                <w:sz w:val="18"/>
                <w:szCs w:val="18"/>
              </w:rPr>
            </w:pPr>
            <w:r>
              <w:rPr>
                <w:rFonts w:ascii="Arial" w:hAnsi="Arial"/>
                <w:b/>
                <w:color w:val="000000"/>
                <w:sz w:val="18"/>
              </w:rPr>
              <w:t>Article 10.</w:t>
            </w:r>
            <w:r>
              <w:rPr>
                <w:rFonts w:ascii="Arial" w:hAnsi="Arial"/>
                <w:color w:val="000000"/>
                <w:sz w:val="18"/>
              </w:rPr>
              <w:t xml:space="preserve"> In Article 2(10), in Article 4(1) and (2) and in Article 11, § 2(3) and § 3, the words ‘Royal Decree of 26 November 2011’ are replaced with the words ‘Royal Decree of 17 December 2021’.</w:t>
            </w:r>
          </w:p>
          <w:p w14:paraId="25ED358E" w14:textId="7F378E97" w:rsidR="006B34E9" w:rsidRPr="0046608D" w:rsidRDefault="006B34E9" w:rsidP="001722F3">
            <w:pPr>
              <w:jc w:val="both"/>
              <w:rPr>
                <w:rFonts w:ascii="Arial" w:hAnsi="Arial"/>
                <w:b/>
                <w:sz w:val="18"/>
                <w:szCs w:val="18"/>
                <w:lang w:val="en-US"/>
              </w:rPr>
            </w:pPr>
          </w:p>
        </w:tc>
      </w:tr>
      <w:tr w:rsidR="006B34E9" w14:paraId="56B9E05E" w14:textId="77777777" w:rsidTr="006B34E9">
        <w:tc>
          <w:tcPr>
            <w:tcW w:w="9356" w:type="dxa"/>
          </w:tcPr>
          <w:p w14:paraId="4E904D58" w14:textId="06DD74E1" w:rsidR="006B34E9" w:rsidRDefault="006B34E9" w:rsidP="00FD2B58">
            <w:pPr>
              <w:jc w:val="both"/>
              <w:rPr>
                <w:rFonts w:ascii="Arial" w:hAnsi="Arial" w:cs="Arial"/>
                <w:color w:val="000000"/>
                <w:sz w:val="18"/>
                <w:szCs w:val="18"/>
              </w:rPr>
            </w:pPr>
            <w:r>
              <w:rPr>
                <w:rFonts w:ascii="Arial" w:hAnsi="Arial"/>
                <w:color w:val="000000"/>
                <w:sz w:val="18"/>
              </w:rPr>
              <w:t xml:space="preserve">Issued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rFonts w:ascii="Arial" w:hAnsi="Arial" w:cs="Arial"/>
                <w:color w:val="000000"/>
                <w:sz w:val="18"/>
                <w:szCs w:val="18"/>
              </w:rPr>
            </w:pPr>
            <w:r>
              <w:rPr>
                <w:rFonts w:ascii="Arial" w:hAnsi="Arial"/>
                <w:color w:val="000000"/>
                <w:sz w:val="18"/>
              </w:rPr>
              <w:t>By the King:</w:t>
            </w:r>
          </w:p>
        </w:tc>
      </w:tr>
      <w:tr w:rsidR="006B34E9" w14:paraId="203D64D1" w14:textId="77777777" w:rsidTr="006B34E9">
        <w:tc>
          <w:tcPr>
            <w:tcW w:w="9356" w:type="dxa"/>
          </w:tcPr>
          <w:p w14:paraId="53F25821" w14:textId="4B0B2AA0" w:rsidR="006B34E9" w:rsidRDefault="006B34E9" w:rsidP="000F50A6">
            <w:pPr>
              <w:jc w:val="center"/>
              <w:rPr>
                <w:rFonts w:ascii="Arial" w:hAnsi="Arial" w:cs="Arial"/>
                <w:color w:val="000000"/>
                <w:sz w:val="18"/>
                <w:szCs w:val="18"/>
              </w:rPr>
            </w:pPr>
            <w:r>
              <w:rPr>
                <w:rFonts w:ascii="Arial" w:hAnsi="Arial"/>
                <w:color w:val="000000"/>
                <w:sz w:val="18"/>
              </w:rPr>
              <w:t>The Minister for Energy,</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1187FA82" w14:textId="79CFA0BE" w:rsidR="006B34E9" w:rsidRDefault="006B34E9" w:rsidP="00FD2B58">
            <w:pPr>
              <w:jc w:val="both"/>
              <w:rPr>
                <w:rFonts w:ascii="Arial" w:hAnsi="Arial" w:cs="Arial"/>
                <w:color w:val="000000"/>
                <w:sz w:val="18"/>
                <w:szCs w:val="18"/>
              </w:rPr>
            </w:pPr>
          </w:p>
          <w:p w14:paraId="2D567F74" w14:textId="0BB15742"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08D"/>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2B58"/>
    <w:rPr>
      <w:color w:val="0000FF"/>
      <w:u w:val="single"/>
    </w:rPr>
  </w:style>
  <w:style w:type="character" w:styleId="CommentReference">
    <w:name w:val="annotation reference"/>
    <w:basedOn w:val="DefaultParagraphFont"/>
    <w:uiPriority w:val="99"/>
    <w:semiHidden/>
    <w:unhideWhenUsed/>
    <w:rsid w:val="00BD33CF"/>
    <w:rPr>
      <w:sz w:val="16"/>
      <w:szCs w:val="16"/>
    </w:rPr>
  </w:style>
  <w:style w:type="paragraph" w:styleId="CommentText">
    <w:name w:val="annotation text"/>
    <w:basedOn w:val="Normal"/>
    <w:link w:val="CommentTextChar"/>
    <w:uiPriority w:val="99"/>
    <w:semiHidden/>
    <w:unhideWhenUsed/>
    <w:rsid w:val="00BD33CF"/>
    <w:pPr>
      <w:spacing w:line="240" w:lineRule="auto"/>
    </w:pPr>
    <w:rPr>
      <w:sz w:val="20"/>
      <w:szCs w:val="20"/>
    </w:rPr>
  </w:style>
  <w:style w:type="character" w:customStyle="1" w:styleId="CommentTextChar">
    <w:name w:val="Comment Text Char"/>
    <w:basedOn w:val="DefaultParagraphFont"/>
    <w:link w:val="CommentText"/>
    <w:uiPriority w:val="99"/>
    <w:semiHidden/>
    <w:rsid w:val="00BD33CF"/>
    <w:rPr>
      <w:sz w:val="20"/>
      <w:szCs w:val="20"/>
    </w:rPr>
  </w:style>
  <w:style w:type="paragraph" w:styleId="CommentSubject">
    <w:name w:val="annotation subject"/>
    <w:basedOn w:val="CommentText"/>
    <w:next w:val="CommentText"/>
    <w:link w:val="CommentSubjectChar"/>
    <w:uiPriority w:val="99"/>
    <w:semiHidden/>
    <w:unhideWhenUsed/>
    <w:rsid w:val="00BD33CF"/>
    <w:rPr>
      <w:b/>
      <w:bCs/>
    </w:rPr>
  </w:style>
  <w:style w:type="character" w:customStyle="1" w:styleId="CommentSubjectChar">
    <w:name w:val="Comment Subject Char"/>
    <w:basedOn w:val="CommentTextChar"/>
    <w:link w:val="CommentSubject"/>
    <w:uiPriority w:val="99"/>
    <w:semiHidden/>
    <w:rsid w:val="00BD33CF"/>
    <w:rPr>
      <w:b/>
      <w:bCs/>
      <w:sz w:val="20"/>
      <w:szCs w:val="20"/>
    </w:rPr>
  </w:style>
  <w:style w:type="paragraph" w:styleId="BalloonText">
    <w:name w:val="Balloon Text"/>
    <w:basedOn w:val="Normal"/>
    <w:link w:val="BalloonTextChar"/>
    <w:uiPriority w:val="99"/>
    <w:semiHidden/>
    <w:unhideWhenUsed/>
    <w:rsid w:val="002C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Dimitris Dimitriadis</cp:lastModifiedBy>
  <cp:revision>3</cp:revision>
  <dcterms:created xsi:type="dcterms:W3CDTF">2022-09-01T14:53:00Z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