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9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"/>
        <w:gridCol w:w="4356"/>
        <w:gridCol w:w="18"/>
      </w:tblGrid>
      <w:tr w:rsidR="00293B53" w:rsidRPr="00293B53" w14:paraId="50CF83BF" w14:textId="77777777" w:rsidTr="00293B53">
        <w:trPr>
          <w:gridAfter w:val="1"/>
          <w:wAfter w:w="18" w:type="dxa"/>
          <w:trHeight w:val="151"/>
          <w:jc w:val="center"/>
        </w:trPr>
        <w:tc>
          <w:tcPr>
            <w:tcW w:w="4374" w:type="dxa"/>
            <w:gridSpan w:val="2"/>
          </w:tcPr>
          <w:p w14:paraId="4A92B424" w14:textId="77777777" w:rsidR="00293B53" w:rsidRPr="00293B53" w:rsidRDefault="00293B53" w:rsidP="00293B53">
            <w:pPr>
              <w:keepNext/>
              <w:spacing w:after="0" w:line="240" w:lineRule="auto"/>
              <w:jc w:val="center"/>
              <w:outlineLvl w:val="1"/>
              <w:rPr>
                <w:b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Kraljevina Belgija</w:t>
            </w:r>
          </w:p>
        </w:tc>
      </w:tr>
      <w:tr w:rsidR="00293B53" w:rsidRPr="00293B53" w14:paraId="4E7674DA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43FE0FED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_________</w:t>
            </w:r>
          </w:p>
        </w:tc>
      </w:tr>
      <w:tr w:rsidR="00293B53" w:rsidRPr="00293B53" w14:paraId="034E8714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316D9BEC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573A68C9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76A0BD4A" w14:textId="77777777" w:rsidR="00293B53" w:rsidRPr="00293B53" w:rsidRDefault="00293B53" w:rsidP="00293B53">
            <w:pPr>
              <w:tabs>
                <w:tab w:val="left" w:pos="2410"/>
                <w:tab w:val="left" w:pos="3616"/>
                <w:tab w:val="left" w:pos="3899"/>
              </w:tabs>
              <w:spacing w:after="0" w:line="240" w:lineRule="auto"/>
              <w:jc w:val="center"/>
              <w:rPr>
                <w:b/>
                <w:bCs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ZVEZNA JAVNA SLUŽBA ZA JAVNO ZDRAVJE, VARNOST PREHRANSKE VERIGE IN OKOLJE</w:t>
            </w:r>
          </w:p>
        </w:tc>
      </w:tr>
      <w:tr w:rsidR="00293B53" w:rsidRPr="00293B53" w14:paraId="361212FE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76D2D742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bCs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________________________</w:t>
            </w:r>
          </w:p>
        </w:tc>
      </w:tr>
      <w:tr w:rsidR="00293B53" w:rsidRPr="00293B53" w14:paraId="4D46C327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6E6F6C64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val="fr-FR" w:eastAsia="nl-NL"/>
              </w:rPr>
            </w:pPr>
          </w:p>
          <w:p w14:paraId="439E3B87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val="fr-FR" w:eastAsia="nl-NL"/>
              </w:rPr>
            </w:pPr>
          </w:p>
        </w:tc>
      </w:tr>
      <w:tr w:rsidR="00293B53" w:rsidRPr="00293B53" w14:paraId="73657689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2EB98842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b/>
                <w:bCs/>
                <w:rFonts w:ascii="Garamond" w:eastAsia="Times New Roman" w:hAnsi="Garamond" w:cs="Times New Roman"/>
              </w:rPr>
            </w:pPr>
            <w:r>
              <w:rPr>
                <w:b/>
                <w:color w:val="000000"/>
                <w:rFonts w:ascii="Garamond" w:hAnsi="Garamond"/>
              </w:rPr>
              <w:t xml:space="preserve">Kraljeva uredba o prepovedi proizvodnje in dajanja v promet nekaterih podobnih izdelkov</w:t>
            </w:r>
            <w:r>
              <w:rPr>
                <w:b/>
                <w:color w:val="000000"/>
                <w:rFonts w:ascii="Garamond" w:hAnsi="Garamond"/>
              </w:rPr>
              <w:t xml:space="preserve"> </w:t>
            </w:r>
          </w:p>
        </w:tc>
      </w:tr>
      <w:tr w:rsidR="00293B53" w:rsidRPr="00293B53" w14:paraId="4F0A5BD4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1681569D" w14:textId="77777777" w:rsidR="00293B53" w:rsidRPr="00293B53" w:rsidRDefault="00293B53" w:rsidP="00293B53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nl-NL"/>
              </w:rPr>
            </w:pPr>
          </w:p>
        </w:tc>
      </w:tr>
      <w:tr w:rsidR="00293B53" w:rsidRPr="00293B53" w14:paraId="6F74941D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5B71A77C" w14:textId="77777777" w:rsidR="00293B53" w:rsidRPr="00293B53" w:rsidRDefault="00293B53" w:rsidP="00293B53">
            <w:pPr>
              <w:spacing w:after="0" w:line="240" w:lineRule="auto"/>
              <w:jc w:val="center"/>
              <w:rPr>
                <w:b/>
                <w:bCs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FILIP, kralj Belgijcev –</w:t>
            </w:r>
            <w:r>
              <w:rPr>
                <w:b/>
                <w:rFonts w:ascii="Garamond" w:hAnsi="Garamond"/>
              </w:rPr>
              <w:t xml:space="preserve"> </w:t>
            </w:r>
          </w:p>
        </w:tc>
      </w:tr>
      <w:tr w:rsidR="00293B53" w:rsidRPr="00293B53" w14:paraId="5E588F65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666317A4" w14:textId="77777777" w:rsidR="00293B53" w:rsidRPr="00293B53" w:rsidRDefault="00293B53" w:rsidP="00293B5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nl-NL"/>
              </w:rPr>
            </w:pPr>
          </w:p>
        </w:tc>
      </w:tr>
      <w:tr w:rsidR="00293B53" w:rsidRPr="00293B53" w14:paraId="125F9B8B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0682021E" w14:textId="77777777" w:rsidR="00293B53" w:rsidRPr="00293B53" w:rsidRDefault="00293B53" w:rsidP="00293B53">
            <w:pPr>
              <w:tabs>
                <w:tab w:val="left" w:pos="355"/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pozdravljam vse prisotne in prihajajoče.</w:t>
            </w:r>
          </w:p>
        </w:tc>
      </w:tr>
      <w:tr w:rsidR="00293B53" w:rsidRPr="00293B53" w14:paraId="6EE6F2B3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78DEDB8A" w14:textId="77777777" w:rsidR="00293B53" w:rsidRPr="00293B53" w:rsidRDefault="00293B53" w:rsidP="00293B53">
            <w:pPr>
              <w:keepNext/>
              <w:tabs>
                <w:tab w:val="left" w:pos="567"/>
                <w:tab w:val="left" w:pos="2410"/>
              </w:tabs>
              <w:spacing w:after="0" w:line="240" w:lineRule="auto"/>
              <w:outlineLvl w:val="0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7E32D738" w14:textId="77777777" w:rsidTr="00293B53">
        <w:trPr>
          <w:gridAfter w:val="1"/>
          <w:wAfter w:w="18" w:type="dxa"/>
          <w:trHeight w:val="824"/>
          <w:jc w:val="center"/>
        </w:trPr>
        <w:tc>
          <w:tcPr>
            <w:tcW w:w="4374" w:type="dxa"/>
            <w:gridSpan w:val="2"/>
          </w:tcPr>
          <w:p w14:paraId="2CF9BA62" w14:textId="77777777" w:rsidR="00293B53" w:rsidRPr="00293B53" w:rsidRDefault="00293B53" w:rsidP="00293B53">
            <w:pPr>
              <w:keepNext/>
              <w:tabs>
                <w:tab w:val="left" w:pos="355"/>
                <w:tab w:val="left" w:pos="2410"/>
              </w:tabs>
              <w:spacing w:after="0" w:line="240" w:lineRule="auto"/>
              <w:jc w:val="both"/>
              <w:outlineLvl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Ob upoštevanju člena 6(1)(a) Zakona z dne 24. januarja 1977 o varovanju zdravja potrošnikov v zvezi z živili in drugimi proizvodi, kakor je bil spremenjen z Zakonom z dne 22. marca 1989, in člena 18(1), nadomeščenega z Zakonom z dne 22. marca 1989 in spremenjenega z Zakonom z dne 22. decembra 2003;</w:t>
            </w:r>
          </w:p>
        </w:tc>
      </w:tr>
      <w:tr w:rsidR="00293B53" w:rsidRPr="00293B53" w14:paraId="4817417F" w14:textId="77777777" w:rsidTr="00293B53">
        <w:trPr>
          <w:gridAfter w:val="1"/>
          <w:wAfter w:w="18" w:type="dxa"/>
          <w:trHeight w:val="206"/>
          <w:jc w:val="center"/>
        </w:trPr>
        <w:tc>
          <w:tcPr>
            <w:tcW w:w="4374" w:type="dxa"/>
            <w:gridSpan w:val="2"/>
          </w:tcPr>
          <w:p w14:paraId="7F7787EF" w14:textId="77777777" w:rsidR="00293B53" w:rsidRPr="00293B53" w:rsidRDefault="00293B53" w:rsidP="00293B53">
            <w:pPr>
              <w:tabs>
                <w:tab w:val="left" w:pos="355"/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nl-NL"/>
              </w:rPr>
            </w:pPr>
          </w:p>
        </w:tc>
      </w:tr>
      <w:tr w:rsidR="00293B53" w:rsidRPr="00293B53" w14:paraId="147A46B6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3F3879CE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ob upoštevanju mnenja finančnega inšpektorja z dne </w:t>
            </w:r>
            <w:r>
              <w:rPr>
                <w:highlight w:val="yellow"/>
                <w:rFonts w:ascii="Garamond" w:hAnsi="Garamond"/>
              </w:rPr>
              <w:t xml:space="preserve">XXX</w:t>
            </w:r>
            <w:r>
              <w:rPr>
                <w:rFonts w:ascii="Garamond" w:hAnsi="Garamond"/>
              </w:rPr>
              <w:t xml:space="preserve">;</w:t>
            </w:r>
          </w:p>
        </w:tc>
      </w:tr>
      <w:tr w:rsidR="00293B53" w:rsidRPr="00293B53" w14:paraId="264511E8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31F7687E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23DC097E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42CCC414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ob upoštevanju soglasja državnega sekretarja za proračun z dne </w:t>
            </w:r>
            <w:r>
              <w:rPr>
                <w:highlight w:val="yellow"/>
                <w:rFonts w:ascii="Garamond" w:hAnsi="Garamond"/>
              </w:rPr>
              <w:t xml:space="preserve">XXX</w:t>
            </w:r>
            <w:r>
              <w:rPr>
                <w:rFonts w:ascii="Garamond" w:hAnsi="Garamond"/>
              </w:rPr>
              <w:t xml:space="preserve">;</w:t>
            </w:r>
          </w:p>
        </w:tc>
      </w:tr>
      <w:tr w:rsidR="00293B53" w:rsidRPr="00293B53" w14:paraId="72A4337F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4B64F825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28E629CC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20587FC2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ob upoštevanju ocene učinka uredbe z dne </w:t>
            </w:r>
            <w:r>
              <w:rPr>
                <w:highlight w:val="yellow"/>
                <w:rFonts w:ascii="Garamond" w:hAnsi="Garamond"/>
              </w:rPr>
              <w:t xml:space="preserve">XXX</w:t>
            </w:r>
            <w:r>
              <w:rPr>
                <w:rFonts w:ascii="Garamond" w:hAnsi="Garamond"/>
              </w:rPr>
              <w:t xml:space="preserve">, ki je bila izvedena v skladu s členoma 6 in 7 Zakona z dne 15. decembra 2013, ki vsebuje različne določbe o upravni poenostavitvi;</w:t>
            </w:r>
          </w:p>
        </w:tc>
      </w:tr>
      <w:tr w:rsidR="00293B53" w:rsidRPr="00293B53" w14:paraId="6CD5DB28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20DE402B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472FB668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63457AED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ob upoštevanju sporočila Evropski komisiji z dne </w:t>
            </w:r>
            <w:r>
              <w:rPr>
                <w:highlight w:val="yellow"/>
                <w:rFonts w:ascii="Garamond" w:hAnsi="Garamond"/>
              </w:rPr>
              <w:t xml:space="preserve">XXX</w:t>
            </w:r>
            <w:r>
              <w:rPr>
                <w:rFonts w:ascii="Garamond" w:hAnsi="Garamond"/>
              </w:rPr>
              <w:t xml:space="preserve"> v skladu s členom 5(1) Direktive (EU) 2015/1535 Evropskega parlamenta in Sveta z dne 9. septembra 2015 o določitvi postopka za zbiranje informacij na področju tehničnih predpisov in pravil za storitve informacijske družbe;</w:t>
            </w:r>
          </w:p>
          <w:p w14:paraId="7B89B76D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nl-NL"/>
              </w:rPr>
            </w:pPr>
          </w:p>
          <w:p w14:paraId="6D4ECEED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[ob upoštevanju stališča Evropske komisije po sporočilu […] z dne […];]</w:t>
            </w:r>
          </w:p>
          <w:p w14:paraId="03653D88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nl-NL"/>
              </w:rPr>
            </w:pPr>
          </w:p>
          <w:p w14:paraId="5DF63F61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ob upoštevanju mnenja </w:t>
            </w:r>
            <w:r>
              <w:rPr>
                <w:highlight w:val="yellow"/>
                <w:rFonts w:ascii="Garamond" w:hAnsi="Garamond"/>
              </w:rPr>
              <w:t xml:space="preserve">XX</w:t>
            </w:r>
            <w:r>
              <w:rPr>
                <w:rFonts w:ascii="Garamond" w:hAnsi="Garamond"/>
              </w:rPr>
              <w:t xml:space="preserve"> Državnega sveta, izdanega dne </w:t>
            </w:r>
            <w:r>
              <w:rPr>
                <w:highlight w:val="yellow"/>
                <w:rFonts w:ascii="Garamond" w:hAnsi="Garamond"/>
              </w:rPr>
              <w:t xml:space="preserve">XXX</w:t>
            </w:r>
            <w:r>
              <w:rPr>
                <w:rFonts w:ascii="Garamond" w:hAnsi="Garamond"/>
              </w:rPr>
              <w:t xml:space="preserve">, v skladu s členom 84(1)(1)(2) zakonov o Državnem svetu, usklajenih 12. januarja 1973;</w:t>
            </w:r>
          </w:p>
        </w:tc>
      </w:tr>
      <w:tr w:rsidR="00293B53" w:rsidRPr="00293B53" w14:paraId="757AB588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0C758169" w14:textId="77777777" w:rsidR="00293B53" w:rsidRPr="004C1DD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val="fr-FR" w:eastAsia="nl-NL"/>
              </w:rPr>
            </w:pPr>
          </w:p>
        </w:tc>
      </w:tr>
      <w:tr w:rsidR="00293B53" w:rsidRPr="00293B53" w14:paraId="42291B66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7F9326A7" w14:textId="77777777" w:rsidR="00293B53" w:rsidRPr="00293B53" w:rsidRDefault="00293B53" w:rsidP="00293B53">
            <w:pPr>
              <w:tabs>
                <w:tab w:val="left" w:pos="355"/>
                <w:tab w:val="left" w:pos="567"/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na predlog ministra za javno zdravje,</w:t>
            </w:r>
            <w:r>
              <w:rPr>
                <w:rFonts w:ascii="Garamond" w:hAnsi="Garamond"/>
              </w:rPr>
              <w:t xml:space="preserve"> </w:t>
            </w:r>
          </w:p>
        </w:tc>
      </w:tr>
      <w:tr w:rsidR="00293B53" w:rsidRPr="00293B53" w14:paraId="3DC3CC19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3E0CFD5C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6546F921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1B79A530" w14:textId="77777777" w:rsidR="00293B53" w:rsidRPr="00293B53" w:rsidRDefault="00293B53" w:rsidP="00293B53">
            <w:pPr>
              <w:tabs>
                <w:tab w:val="left" w:pos="355"/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ODREJAM NASLEDNJE:</w:t>
            </w:r>
          </w:p>
        </w:tc>
      </w:tr>
      <w:tr w:rsidR="00293B53" w:rsidRPr="00293B53" w14:paraId="554EB2BA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6ED059A0" w14:textId="77777777" w:rsidR="00293B53" w:rsidRPr="00293B53" w:rsidRDefault="00293B53" w:rsidP="00293B53">
            <w:pPr>
              <w:tabs>
                <w:tab w:val="left" w:pos="567"/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4971376B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472B68CE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bCs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Člen 1.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b/>
                <w:rFonts w:ascii="Garamond" w:hAnsi="Garamond"/>
              </w:rPr>
              <w:t xml:space="preserve">Opredelitev pojmov</w:t>
            </w:r>
          </w:p>
          <w:p w14:paraId="67607B81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V tej uredbi se uporabljajo naslednje opredelitve pojmov:</w:t>
            </w:r>
          </w:p>
          <w:p w14:paraId="7B6EE771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(1) nikotinska vrečka: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rFonts w:ascii="Garamond" w:hAnsi="Garamond"/>
              </w:rPr>
              <w:t xml:space="preserve">vsak izdelek brez tobaka za oralno uporabo, ki je v celoti ali delno sestavljen iz sintetičnega ali naravnega nikotina v obliki praška, delcev ali paste ali v kateri koli kombinaciji teh oblik, vključno s tistimi v vrečkah ali poroznih vrečkah;</w:t>
            </w:r>
          </w:p>
          <w:p w14:paraId="68B1C33F" w14:textId="42A6D7BF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(2) kanabinoidna vrečka: vsak izdelek za oralno uporabo, ki je sestavljen iz ali vsebuje enega ali več kanabinoidov ali njihovih derivatov, v obliki praška, delcev ali paste ali v kateri koli kombinaciji teh oblik, vključno s tistimi v vrečkah ali poroznih vrečkah;</w:t>
            </w:r>
          </w:p>
          <w:p w14:paraId="069C48FE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(3) dajanje v promet: dajanje izdelkov, ne glede na kraj proizvodnje, na voljo potrošnikom v Belgiji, ne glede na to, za plačilo ali ne, vključno s prodajo na daljavo;</w:t>
            </w:r>
          </w:p>
          <w:p w14:paraId="34A8EA7A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(4) proizvajalec: vsaka fizična ali pravna oseba, ki proizvaja izdelek ali za katero je izdelek zasnovan ali izdelan in ki ga trži pod svojim imenom ali blagovno znamko;</w:t>
            </w:r>
          </w:p>
          <w:p w14:paraId="4F38189F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(5) uvoznik v Belgiji: lastnik ali oseba, ki ima pravico razpolagati z izdelki, vnesenimi na ozemlje Belgije;</w:t>
            </w:r>
          </w:p>
          <w:p w14:paraId="36155E7C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(6)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rFonts w:ascii="Garamond" w:hAnsi="Garamond"/>
              </w:rPr>
              <w:t xml:space="preserve">trgovec na drobno: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rFonts w:ascii="Garamond" w:hAnsi="Garamond"/>
              </w:rPr>
              <w:t xml:space="preserve">vsako prodajno mesto, na katerem se izdelki dajejo v promet, vključno s strani fizične osebe.</w:t>
            </w:r>
          </w:p>
        </w:tc>
      </w:tr>
      <w:tr w:rsidR="00293B53" w:rsidRPr="00293B53" w14:paraId="75877B49" w14:textId="77777777" w:rsidTr="00293B53">
        <w:trPr>
          <w:gridAfter w:val="1"/>
          <w:wAfter w:w="18" w:type="dxa"/>
          <w:trHeight w:val="331"/>
          <w:jc w:val="center"/>
        </w:trPr>
        <w:tc>
          <w:tcPr>
            <w:tcW w:w="4374" w:type="dxa"/>
            <w:gridSpan w:val="2"/>
          </w:tcPr>
          <w:p w14:paraId="1767DBFD" w14:textId="77777777" w:rsidR="00293B53" w:rsidRPr="004C1DD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lang w:val="fr-FR" w:eastAsia="nl-NL"/>
              </w:rPr>
            </w:pPr>
          </w:p>
        </w:tc>
      </w:tr>
      <w:tr w:rsidR="00293B53" w:rsidRPr="00293B53" w14:paraId="1DC59148" w14:textId="77777777" w:rsidTr="00293B53">
        <w:trPr>
          <w:gridAfter w:val="1"/>
          <w:wAfter w:w="18" w:type="dxa"/>
          <w:trHeight w:val="322"/>
          <w:jc w:val="center"/>
        </w:trPr>
        <w:tc>
          <w:tcPr>
            <w:tcW w:w="4374" w:type="dxa"/>
            <w:gridSpan w:val="2"/>
          </w:tcPr>
          <w:p w14:paraId="69918B7D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Člen 2.</w:t>
            </w:r>
            <w:r>
              <w:rPr>
                <w:b/>
                <w:rFonts w:ascii="Garamond" w:hAnsi="Garamond"/>
              </w:rPr>
              <w:t xml:space="preserve">  </w:t>
            </w:r>
            <w:r>
              <w:rPr>
                <w:b/>
                <w:rFonts w:ascii="Garamond" w:hAnsi="Garamond"/>
              </w:rPr>
              <w:t xml:space="preserve">Prepoved</w:t>
            </w:r>
          </w:p>
          <w:p w14:paraId="0FA130E0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Cs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Prepovedano je dajanje v promet nikotinskih vrečk in kanabinoidnih vrečk.</w:t>
            </w:r>
          </w:p>
          <w:p w14:paraId="35DCBB85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Cs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</w:tr>
      <w:tr w:rsidR="00293B53" w:rsidRPr="00293B53" w14:paraId="5552DB58" w14:textId="77777777" w:rsidTr="00293B53">
        <w:trPr>
          <w:gridAfter w:val="1"/>
          <w:wAfter w:w="18" w:type="dxa"/>
          <w:trHeight w:val="322"/>
          <w:jc w:val="center"/>
        </w:trPr>
        <w:tc>
          <w:tcPr>
            <w:tcW w:w="4374" w:type="dxa"/>
            <w:gridSpan w:val="2"/>
          </w:tcPr>
          <w:p w14:paraId="3F633FB0" w14:textId="77777777" w:rsidR="00293B53" w:rsidRPr="004C1DD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lang w:val="fr-FR" w:eastAsia="nl-NL"/>
              </w:rPr>
            </w:pPr>
          </w:p>
        </w:tc>
      </w:tr>
      <w:tr w:rsidR="00293B53" w:rsidRPr="00293B53" w14:paraId="22918896" w14:textId="77777777" w:rsidTr="00293B53">
        <w:trPr>
          <w:gridAfter w:val="1"/>
          <w:wAfter w:w="18" w:type="dxa"/>
          <w:trHeight w:val="322"/>
          <w:jc w:val="center"/>
        </w:trPr>
        <w:tc>
          <w:tcPr>
            <w:tcW w:w="4374" w:type="dxa"/>
            <w:gridSpan w:val="2"/>
          </w:tcPr>
          <w:p w14:paraId="66B5A9BD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Člen 3.</w:t>
            </w:r>
            <w:r>
              <w:rPr>
                <w:b/>
                <w:rFonts w:ascii="Garamond" w:hAnsi="Garamond"/>
              </w:rPr>
              <w:t xml:space="preserve"> </w:t>
            </w:r>
            <w:r>
              <w:rPr>
                <w:b/>
                <w:rFonts w:ascii="Garamond" w:hAnsi="Garamond"/>
              </w:rPr>
              <w:t xml:space="preserve">Kazenske sankcije</w:t>
            </w:r>
          </w:p>
          <w:p w14:paraId="623DB1A4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Cs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Oddelek 1.</w:t>
            </w:r>
            <w:r>
              <w:rPr>
                <w:b/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Izdelki iz člena 2 te uredbe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rFonts w:ascii="Garamond" w:hAnsi="Garamond"/>
              </w:rPr>
              <w:t xml:space="preserve">se štejejo za škodljive v smislu člena 18 Zakona z dne 24. januarja 1977 o varovanju zdravja potrošnikov v zvezi z živili in drugimi proizvodi.</w:t>
            </w:r>
          </w:p>
          <w:p w14:paraId="73D4D5B0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Cs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Oddelek 2.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Kršitve te uredbe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rFonts w:ascii="Garamond" w:hAnsi="Garamond"/>
              </w:rPr>
              <w:t xml:space="preserve">se preiskujejo, ugotavljajo in preganjajo v skladu z določbami prej omenjenega Zakona z dne 24. januarja 1977.</w:t>
            </w:r>
          </w:p>
          <w:p w14:paraId="4716BD78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Cs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Oddelek 3.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Osebe, ki krši prepoved iz člena 2 te uredbe, se kaznuje s kaznijo iz člena 13 Zakona z dne 24. januarja 1977 o varovanju zdravja potrošnikov v zvezi z živili in drugimi proizvodi.</w:t>
            </w:r>
          </w:p>
          <w:p w14:paraId="4E6F7A3C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Oddelek 4.</w:t>
            </w:r>
            <w:r>
              <w:rPr>
                <w:b/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Proizvajalec, uvoznik v Belgiji in trgovec na drobno so lahko odgovorni v primeru neupoštevanje člena 2 te uredbe.</w:t>
            </w:r>
          </w:p>
        </w:tc>
      </w:tr>
      <w:tr w:rsidR="00293B53" w:rsidRPr="00293B53" w14:paraId="5529DEA8" w14:textId="77777777" w:rsidTr="00293B53">
        <w:trPr>
          <w:gridAfter w:val="1"/>
          <w:wAfter w:w="18" w:type="dxa"/>
          <w:trHeight w:val="322"/>
          <w:jc w:val="center"/>
        </w:trPr>
        <w:tc>
          <w:tcPr>
            <w:tcW w:w="4374" w:type="dxa"/>
            <w:gridSpan w:val="2"/>
          </w:tcPr>
          <w:p w14:paraId="4431B98F" w14:textId="77777777" w:rsidR="00293B53" w:rsidRPr="004C1DD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lang w:val="fr-FR" w:eastAsia="nl-NL"/>
              </w:rPr>
            </w:pPr>
          </w:p>
        </w:tc>
      </w:tr>
      <w:tr w:rsidR="00293B53" w:rsidRPr="00293B53" w14:paraId="395EDD39" w14:textId="77777777" w:rsidTr="00293B53">
        <w:trPr>
          <w:gridAfter w:val="1"/>
          <w:wAfter w:w="18" w:type="dxa"/>
          <w:trHeight w:val="322"/>
          <w:jc w:val="center"/>
        </w:trPr>
        <w:tc>
          <w:tcPr>
            <w:tcW w:w="4374" w:type="dxa"/>
            <w:gridSpan w:val="2"/>
          </w:tcPr>
          <w:p w14:paraId="424FB9C2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Člen 4.</w:t>
            </w:r>
            <w:r>
              <w:rPr>
                <w:b/>
                <w:rFonts w:ascii="Garamond" w:hAnsi="Garamond"/>
              </w:rPr>
              <w:t xml:space="preserve"> </w:t>
            </w:r>
            <w:r>
              <w:rPr>
                <w:b/>
                <w:rFonts w:ascii="Garamond" w:hAnsi="Garamond"/>
              </w:rPr>
              <w:t xml:space="preserve">Začetek veljavnosti</w:t>
            </w:r>
          </w:p>
          <w:p w14:paraId="07962271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Ta uredba začne veljati 3 mesece po objavi v belgijskem uradnem listu, razen za trgovce na drobno, za katere začne veljati 6 mesecev po objavi v belgijskem uradnem listu.</w:t>
            </w:r>
          </w:p>
        </w:tc>
      </w:tr>
      <w:tr w:rsidR="00293B53" w:rsidRPr="00293B53" w14:paraId="75DA5B78" w14:textId="77777777" w:rsidTr="00293B53">
        <w:trPr>
          <w:gridAfter w:val="1"/>
          <w:wAfter w:w="18" w:type="dxa"/>
          <w:trHeight w:val="322"/>
          <w:jc w:val="center"/>
        </w:trPr>
        <w:tc>
          <w:tcPr>
            <w:tcW w:w="4374" w:type="dxa"/>
            <w:gridSpan w:val="2"/>
          </w:tcPr>
          <w:p w14:paraId="0759B75E" w14:textId="77777777" w:rsidR="00293B53" w:rsidRPr="004C1DD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ab/>
            </w:r>
          </w:p>
        </w:tc>
      </w:tr>
      <w:tr w:rsidR="00293B53" w:rsidRPr="00293B53" w14:paraId="14538C3B" w14:textId="77777777" w:rsidTr="00293B53">
        <w:trPr>
          <w:gridBefore w:val="1"/>
          <w:wBefore w:w="18" w:type="dxa"/>
          <w:trHeight w:val="322"/>
          <w:jc w:val="center"/>
        </w:trPr>
        <w:tc>
          <w:tcPr>
            <w:tcW w:w="4374" w:type="dxa"/>
            <w:gridSpan w:val="2"/>
          </w:tcPr>
          <w:p w14:paraId="54F409E5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Člen 5.</w:t>
            </w:r>
            <w:r>
              <w:rPr>
                <w:b/>
                <w:rFonts w:ascii="Garamond" w:hAnsi="Garamond"/>
              </w:rPr>
              <w:t xml:space="preserve"> </w:t>
            </w:r>
            <w:r>
              <w:rPr>
                <w:b/>
                <w:rFonts w:ascii="Garamond" w:hAnsi="Garamond"/>
              </w:rPr>
              <w:t xml:space="preserve">Končna določba</w:t>
            </w:r>
            <w:r>
              <w:rPr>
                <w:b/>
                <w:rFonts w:ascii="Garamond" w:hAnsi="Garamond"/>
              </w:rPr>
              <w:t xml:space="preserve"> </w:t>
            </w:r>
          </w:p>
          <w:p w14:paraId="312C8769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Za izvajanje te uredbe je pristojen minister za javno zdravje.</w:t>
            </w:r>
            <w:r>
              <w:rPr>
                <w:rFonts w:ascii="Garamond" w:hAnsi="Garamond"/>
              </w:rPr>
              <w:t xml:space="preserve"> </w:t>
            </w:r>
          </w:p>
        </w:tc>
      </w:tr>
      <w:tr w:rsidR="00293B53" w:rsidRPr="00293B53" w14:paraId="1A5B13FB" w14:textId="77777777" w:rsidTr="00293B53">
        <w:trPr>
          <w:gridBefore w:val="1"/>
          <w:wBefore w:w="18" w:type="dxa"/>
          <w:trHeight w:val="322"/>
          <w:jc w:val="center"/>
        </w:trPr>
        <w:tc>
          <w:tcPr>
            <w:tcW w:w="4374" w:type="dxa"/>
            <w:gridSpan w:val="2"/>
          </w:tcPr>
          <w:p w14:paraId="6437790A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3F2B6B05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7FB5785A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6FD71738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29A2A95E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604855E3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5213BE08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5A6E0734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4A174EF9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7B3D94AC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047D921C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605AE6F4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b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V imenu kralja:</w:t>
            </w:r>
          </w:p>
        </w:tc>
      </w:tr>
      <w:tr w:rsidR="00293B53" w:rsidRPr="00293B53" w14:paraId="126B4253" w14:textId="77777777" w:rsidTr="00293B53">
        <w:trPr>
          <w:gridBefore w:val="1"/>
          <w:wBefore w:w="18" w:type="dxa"/>
          <w:trHeight w:val="322"/>
          <w:jc w:val="center"/>
        </w:trPr>
        <w:tc>
          <w:tcPr>
            <w:tcW w:w="4374" w:type="dxa"/>
            <w:gridSpan w:val="2"/>
          </w:tcPr>
          <w:p w14:paraId="331A48E5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val="fr-FR" w:eastAsia="nl-NL"/>
              </w:rPr>
            </w:pPr>
          </w:p>
        </w:tc>
      </w:tr>
      <w:tr w:rsidR="00293B53" w:rsidRPr="00293B53" w14:paraId="373FB4F2" w14:textId="77777777" w:rsidTr="00293B53">
        <w:trPr>
          <w:gridBefore w:val="1"/>
          <w:wBefore w:w="18" w:type="dxa"/>
          <w:trHeight w:val="322"/>
          <w:jc w:val="center"/>
        </w:trPr>
        <w:tc>
          <w:tcPr>
            <w:tcW w:w="4374" w:type="dxa"/>
            <w:gridSpan w:val="2"/>
          </w:tcPr>
          <w:p w14:paraId="7B423D89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b/>
                <w:rFonts w:ascii="Garamond" w:eastAsia="Times New Roman" w:hAnsi="Garamond" w:cs="Times New Roman"/>
              </w:rPr>
            </w:pPr>
            <w:r>
              <w:rPr>
                <w:sz w:val="20"/>
                <w:rFonts w:ascii="Garamond" w:hAnsi="Garamond"/>
              </w:rPr>
              <w:t xml:space="preserve">Minister za javno zdravje,</w:t>
            </w:r>
          </w:p>
        </w:tc>
      </w:tr>
      <w:tr w:rsidR="00293B53" w:rsidRPr="00293B53" w14:paraId="26504951" w14:textId="77777777" w:rsidTr="00293B53">
        <w:trPr>
          <w:gridBefore w:val="1"/>
          <w:wBefore w:w="18" w:type="dxa"/>
          <w:trHeight w:val="322"/>
          <w:jc w:val="center"/>
        </w:trPr>
        <w:tc>
          <w:tcPr>
            <w:tcW w:w="4374" w:type="dxa"/>
            <w:gridSpan w:val="2"/>
          </w:tcPr>
          <w:p w14:paraId="74A62E6F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nl-NL"/>
              </w:rPr>
            </w:pPr>
          </w:p>
        </w:tc>
      </w:tr>
      <w:tr w:rsidR="00293B53" w:rsidRPr="00293B53" w14:paraId="7A28C210" w14:textId="77777777" w:rsidTr="00293B53">
        <w:trPr>
          <w:gridBefore w:val="1"/>
          <w:wBefore w:w="18" w:type="dxa"/>
          <w:trHeight w:val="322"/>
          <w:jc w:val="center"/>
        </w:trPr>
        <w:tc>
          <w:tcPr>
            <w:tcW w:w="4374" w:type="dxa"/>
            <w:gridSpan w:val="2"/>
          </w:tcPr>
          <w:p w14:paraId="71197EF7" w14:textId="3F909246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sz w:val="20"/>
                <w:szCs w:val="20"/>
                <w:rFonts w:ascii="Garamond" w:eastAsia="Times New Roman" w:hAnsi="Garamond" w:cs="Times New Roman"/>
              </w:rPr>
            </w:pPr>
            <w:r>
              <w:rPr>
                <w:sz w:val="20"/>
                <w:rFonts w:ascii="Garamond" w:hAnsi="Garamond"/>
              </w:rPr>
              <w:t xml:space="preserve">Frank VANDENBROUCKE</w:t>
            </w:r>
          </w:p>
        </w:tc>
      </w:tr>
    </w:tbl>
    <w:p w14:paraId="2EF75113" w14:textId="77777777" w:rsidR="00493F25" w:rsidRPr="00293B53" w:rsidRDefault="00493F25">
      <w:pPr>
        <w:rPr>
          <w:lang w:val="fr-FR"/>
        </w:rPr>
      </w:pPr>
    </w:p>
    <w:sectPr w:rsidR="00493F25" w:rsidRPr="00293B53" w:rsidSect="00CD02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53"/>
    <w:rsid w:val="00293B53"/>
    <w:rsid w:val="00493F25"/>
    <w:rsid w:val="004C1DD3"/>
    <w:rsid w:val="007A2CB6"/>
    <w:rsid w:val="00CD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2A695"/>
  <w15:chartTrackingRefBased/>
  <w15:docId w15:val="{8D0CE7A6-4027-4852-96A3-1A6BF3AC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Eugénie Bertrand (SPF Santé Publique - FOD Volksgezondheid)</dc:creator>
  <cp:keywords/>
  <dc:description/>
  <cp:lastModifiedBy>Dimitris Dimitriadis</cp:lastModifiedBy>
  <cp:revision>4</cp:revision>
  <dcterms:created xsi:type="dcterms:W3CDTF">2022-06-15T09:12:00Z</dcterms:created>
  <dcterms:modified xsi:type="dcterms:W3CDTF">2022-06-15T09:57:00Z</dcterms:modified>
</cp:coreProperties>
</file>