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Belgijos Karalystė</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FEDERALINĖ VIEŠOJI VISUOMENĖS SVEIKATOS, MAISTO GRANDINĖS SAUGOS IR APLINKOS TARNYBA</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Karališkasis dekretas, kuriuo iš dalies keičiamas 2016 m. spalio 28 d. Karališkasis dekretas dėl elektroninių cigarečių gamybos ir prekybos</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Belgų karalius FILIPAS,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sveikina visus susirinkusius ir atvykstančius.</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Atsižvelgdamas į 1977 m. sausio 24 d. Įstatymą dėl vartotojų sveikatos apsaugos, susijusios su maisto produktais ir kitais produktais, ypač į jo 6 straipsnio 1 dalies a punktą su pakeitimais, atliktais 1989 m. kovo 22 d. įstatymu, 10 straipsnio 1 dalį, pakeistą 1994 m. vasario 9 d. įstatymu, ir 10 straipsnio 3 dalį, pakeistą 2014 m. balandžio 10 d. įstatymu, ir 18 straipsnio 1 dalį, pakeistą 1989 m. kovo 22 d. įstatymu ir iš dalies pakeistą 2003 m. gruodžio 22 d. įstatymu,</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atsižvelgdamas į 2016 m. spalio 28 d. Karališkąjį dekretą dėl elektroninių cigarečių gamybos ir prekybos,</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atsižvelgdamas į finansų inspektoriaus nuomonę, paskelbtą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atsižvelgdamas į </w:t>
            </w:r>
            <w:r>
              <w:rPr>
                <w:sz w:val="22"/>
                <w:highlight w:val="yellow"/>
                <w:rFonts w:ascii="Garamond" w:hAnsi="Garamond"/>
              </w:rPr>
              <w:t xml:space="preserve">XX</w:t>
            </w:r>
            <w:r>
              <w:rPr>
                <w:sz w:val="22"/>
                <w:rFonts w:ascii="Garamond" w:hAnsi="Garamond"/>
              </w:rPr>
              <w:t xml:space="preserve"> d. paskelbtą Valstybės tarybos nuomonę </w:t>
            </w:r>
            <w:r>
              <w:rPr>
                <w:sz w:val="22"/>
                <w:highlight w:val="yellow"/>
                <w:rFonts w:ascii="Garamond" w:hAnsi="Garamond"/>
              </w:rPr>
              <w:t xml:space="preserve">...</w:t>
            </w:r>
            <w:r>
              <w:rPr>
                <w:sz w:val="22"/>
                <w:rFonts w:ascii="Garamond" w:hAnsi="Garamond"/>
              </w:rPr>
              <w:t xml:space="preserve"> pagal 1973 m. sausio 12 d. konsoliduoto įstatymo dėl Valstybės Tarybos 84 straipsnio 1 dalies 1 punkto 2 papunktį,</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ekonomikos ministro, visuomenės sveikatos ministro ir mažųjų bei vidutinių įmonių reikalų ministro siūlymu,</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NUTARIAU IR SKELBIU:</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bCs/>
                <w:rFonts w:ascii="Garamond" w:hAnsi="Garamond"/>
              </w:rPr>
              <w:t xml:space="preserve">1 straipsnis.</w:t>
            </w:r>
            <w:r>
              <w:rPr>
                <w:sz w:val="22"/>
                <w:rFonts w:ascii="Garamond" w:hAnsi="Garamond"/>
              </w:rPr>
              <w:t xml:space="preserve"> </w:t>
            </w:r>
            <w:r>
              <w:rPr>
                <w:sz w:val="22"/>
                <w:rFonts w:ascii="Garamond" w:hAnsi="Garamond"/>
              </w:rPr>
              <w:t xml:space="preserve">Atliekami šie 2016 m. spalio 28 d. Karališkojo dekreto dėl elektroninių cigarečių gamybos ir prekybos 2 straipsnio pakeitimai:</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1 punkte tarp žodžių „garų, kuriuose yra“ ir žodžio „nikotino“ įterpiami žodžiai „arba nėra“;</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įterpiamas 2/1) punktas:</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pildomoji talpykla be nikotino – talpykla, kurioje yra skystis, kuriame nėra nikotino ir kuris gali būti naudojamas elektroninei cigaretei papildyti;“;</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įterpiamas 10/1) punktas, kuris išdėstomas taip:</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tarpvalstybinė nuotolinė prekyba – vartotojams skirta nuotolinė prekyba, kai vartotojas, užsakydamas produktą iš mažmenininko, yra kitoje valstybėje narėje nei ta valstybė narė ar trečioji šalis, kurioje tas mažmenininkas yra įsisteigęs;</w:t>
            </w:r>
            <w:r>
              <w:rPr>
                <w:sz w:val="22"/>
                <w:rFonts w:ascii="Garamond" w:hAnsi="Garamond"/>
              </w:rPr>
              <w:t xml:space="preserve"> </w:t>
            </w:r>
            <w:r>
              <w:rPr>
                <w:sz w:val="22"/>
                <w:rFonts w:ascii="Garamond" w:hAnsi="Garamond"/>
              </w:rPr>
              <w:t xml:space="preserve">mažmenininkas laikomas įsisteigusiu valstybėje narėje:</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fizinių asmenų atveju: jei jos verslo vieta yra toje valstybėje narėje;</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kitais atvejais: jei jo registruota buveinė, centrinė administracija arba veiklos vieta, įskaitant filialą, agentūrą ar kitą padalinį, yra toje valstybėje narėje;“;</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13 punktas pakeičiamas taip:</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importuotojas – į Europos Sąjungos teritoriją įvežtų elektroninių cigarečių, pildomųjų talpyklų ir nikotino neturinčių pildomųjų talpyklų savininkas arba asmuo, turintis teisę disponuoti;“;</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įterpiamas 13/1) punktas: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importuotojas į Belgiją –</w:t>
            </w:r>
            <w:r>
              <w:rPr>
                <w:sz w:val="22"/>
                <w:rFonts w:ascii="Garamond" w:hAnsi="Garamond"/>
              </w:rPr>
              <w:t xml:space="preserve">  </w:t>
            </w:r>
            <w:r>
              <w:rPr>
                <w:sz w:val="22"/>
                <w:rFonts w:ascii="Garamond" w:hAnsi="Garamond"/>
              </w:rPr>
              <w:t xml:space="preserve">į Belgijos teritoriją įvežtų elektroninių cigarečių, pildomųjų talpyklų ir nikotino neturinčių pildomųjų talpyklų savininkas arba asmuo, turintis teisę disponuoti jomis;“;</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sąrašas papildomas 18, 19 ir 20 punktais, kurie išdėstomi taip:</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įspėjimas apie pavojų sveikatai – įspėjimas apie neigiamą produkto poveikį žmonių sveikatai arba apie kitas nenumatytas jo vartojimo pasekmes;</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aromatas – priedas, suteikiantis kvapą ir (arba) skonį;</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mažmenininkas – bet kuri prekybos vieta, kurioje rinkai pateikiamos elektroninės cigaretės, pildomosios talpyklos ir nikotino neturinčios pildomosios talpyklos, įskaitant tas, kurias pateikia fizinis asmuo.“.</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2 straipsnis.</w:t>
            </w:r>
            <w:r>
              <w:rPr>
                <w:sz w:val="22"/>
                <w:rFonts w:ascii="Garamond" w:hAnsi="Garamond"/>
              </w:rPr>
              <w:t xml:space="preserve"> </w:t>
            </w:r>
            <w:r>
              <w:rPr>
                <w:sz w:val="22"/>
                <w:rFonts w:ascii="Garamond" w:hAnsi="Garamond"/>
              </w:rPr>
              <w:t xml:space="preserve">To paties dekreto su pakeitimais, atliktais 2017 m. gegužės 17 d. Karališkuoju dekretu, 3 straipsnis pakeičiamas taip:</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 straipsnis. Pranešimas</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Apie elektroninių cigarečių ir pildomųjų talpyklų pardavimą turi būti pranešta tarnybai.</w:t>
            </w:r>
            <w:r>
              <w:rPr>
                <w:sz w:val="22"/>
                <w:rFonts w:ascii="Garamond" w:hAnsi="Garamond"/>
              </w:rPr>
              <w:t xml:space="preserve"> </w:t>
            </w:r>
            <w:r>
              <w:rPr>
                <w:sz w:val="22"/>
                <w:rFonts w:ascii="Garamond" w:hAnsi="Garamond"/>
              </w:rPr>
              <w:t xml:space="preserve">Gamintojas, importuotojas ar importuotojas į Belgiją, jei pirmieji du neturi registruotos buveinės Belgijoje ir nepranešė apie gaminį, praneša Tarnybai apie visas elektronines cigaretes ir pildomąsias talpyklas, kurias jie ketina pateikti rinkai.</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Šis pranešimas pateikiamas elektronine forma likus šešiems mėnesiams iki numatytos prekybos dienos.</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Pranešime, atsižvelgiant į tai, ar jis susijęs su elektronine cigarete ar pildomąja talpykla, pateikiama ši informacija:</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gamintojo, importuotojo ir importuotojo į Belgiją pavadinimas ir kontaktiniai duomenys;</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visų gaminyje esančių sudedamųjų dalių sąrašas ir teršalų, išmetamų naudojant tokį gaminį, sąrašas pagal prekės ženklą ir tipą, nurodant jų kiekius;</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toksikologiniai duomenys, susiję su produkto sudedamosiomis dalimis ir išmetamaisiais teršalais, įskaitant kaitinant, ypač apie jų poveikį vartotojų sveikatai įkvėpus ir atsižvelgiant, </w:t>
            </w:r>
            <w:r>
              <w:rPr>
                <w:sz w:val="22"/>
                <w:i/>
                <w:iCs/>
                <w:rFonts w:ascii="Garamond" w:hAnsi="Garamond"/>
              </w:rPr>
              <w:t xml:space="preserve">inter alia</w:t>
            </w:r>
            <w:r>
              <w:rPr>
                <w:sz w:val="22"/>
                <w:rFonts w:ascii="Garamond" w:hAnsi="Garamond"/>
              </w:rPr>
              <w:t xml:space="preserve">, į bet kokią priklausomybę;</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informacija apie nikotino dozavimą ir įkvėpimą įprastomis ar pagrįstai numatomomis vartojimo sąlygomis;</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gaminio sudedamųjų dalių aprašymas, įskaitant, kai taikoma, elektroninės cigaretės ar pildomosios talpyklos atidarymo ir papildymo mechanizmą;</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gamybos proceso aprašymas, visų pirma nurodant, ar jis susijęs su masine gamyba, ir deklaracija, kad gamybos procesu užtikrinama atitiktis šio straipsnio reikalavimams;</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deklaracija, kad gamintojas, importuotojas ir importuotojas į Belgiją prisiima visą atsakomybę už gaminio kokybę ir saugą, kai jis pateikiamas rinkai įprastomis ar pagrįstai numatomomis naudojimo sąlygomis;</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pakuotės vienetų ir bet kokios išorinės pakuotės bei informacinio lapelio turinio ženklinimas, kaip nurodyta šio dekreto 5 straipsnio 9 dalyje.</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Jei tarnyba mano, kad pateikta informacija yra neišsami, ji turi teisę prašyti ją papildyti.</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Informacija apie gaminį, pateikta pagal šio straipsnio 3 dalį, pateikiama tarnybos interneto svetainėje, jei, tarnybos nuomone, ji yra išsami ir apmokėta šio straipsnio 7 dalyje nurodyta sąskaita faktūra.</w:t>
            </w:r>
            <w:r>
              <w:rPr>
                <w:sz w:val="22"/>
                <w:rFonts w:ascii="Garamond" w:hAnsi="Garamond"/>
              </w:rPr>
              <w:t xml:space="preserve"> </w:t>
            </w:r>
            <w:r>
              <w:rPr>
                <w:sz w:val="22"/>
                <w:rFonts w:ascii="Garamond" w:hAnsi="Garamond"/>
              </w:rPr>
              <w:t xml:space="preserve">Gaminiai, kurie nėra įtraukti į patvirtintų produktų sąrašą, paskelbtą tarnybos svetainėje, negali būti pateikiami rinkai.</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Kai informacija įvedama, informacija, kuri yra komercinė paslaptis arba yra konfidenciali kokiu nors kitu būdu, turi būti pažymėta.</w:t>
            </w:r>
            <w:r>
              <w:rPr>
                <w:sz w:val="22"/>
                <w:rFonts w:ascii="Garamond" w:hAnsi="Garamond"/>
              </w:rPr>
              <w:t xml:space="preserve"> </w:t>
            </w:r>
            <w:r>
              <w:rPr>
                <w:sz w:val="22"/>
                <w:rFonts w:ascii="Garamond" w:hAnsi="Garamond"/>
              </w:rPr>
              <w:t xml:space="preserve">Šie teiginiai turi būti pagrįsti pateikus prašymą.</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Ši informacija nelaikoma konfidencialia arba komercine paslaptimi:</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sudedamosios dalys, naudojamos kiekiais, didesniais nei 0,1 % skysčio galutinės sudėties;</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pagal šį straipsnį perduoti tyrimai ir duomenys, visų pirma susiję su gaminių toksiškumu ar priklausomybe.</w:t>
            </w:r>
            <w:r>
              <w:rPr>
                <w:sz w:val="22"/>
                <w:rFonts w:ascii="Garamond" w:hAnsi="Garamond"/>
              </w:rPr>
              <w:t xml:space="preserve"> </w:t>
            </w:r>
            <w:r>
              <w:rPr>
                <w:sz w:val="22"/>
                <w:rFonts w:ascii="Garamond" w:hAnsi="Garamond"/>
              </w:rPr>
              <w:t xml:space="preserve">Kai šie tyrimai yra susiję su konkrečiais prekių ženklais, aiškios ir numanomos nuorodos į prekių ženklą išbraukiamos ir pateikiama peržiūrėta versija.</w:t>
            </w:r>
            <w:r>
              <w:rPr>
                <w:sz w:val="22"/>
                <w:rFonts w:ascii="Garamond" w:hAnsi="Garamond"/>
              </w:rPr>
              <w:t xml:space="preserve"> </w:t>
            </w:r>
            <w:r>
              <w:rPr>
                <w:sz w:val="22"/>
                <w:rFonts w:ascii="Garamond" w:hAnsi="Garamond"/>
              </w:rPr>
              <w:t xml:space="preserve">Bet kuris pranešantis asmuo turi perduoti tarnybai visus tyrimus ir duomenis bei patikslintą versiją.</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Bet kuris asmuo, kuris pateikia tarnybai pranešimą pagal 1–4 dalis, už žaliavas ir produktus Biudžeto fondui sumoka 200 EUR mokestį už gaminį.</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Šis mokestis turi būti sumokėtas per 30 dienų nuo sąskaitos faktūros išsiuntimo.</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Šis mokestis mokamas, kai tik duomenys įvedami į pranešimo sistemą,</w:t>
            </w:r>
            <w:r>
              <w:t xml:space="preserve"> </w:t>
            </w:r>
            <w:r>
              <w:rPr>
                <w:sz w:val="22"/>
                <w:rFonts w:ascii="Garamond" w:hAnsi="Garamond"/>
              </w:rPr>
              <w:t xml:space="preserve">kaip nustatyta ministro pagal 3 straipsnio 13 dalį, ir yra nesusigrąžinama.</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Gamintojas, importuotojas arba importuotojas į Belgiją, jei pirmieji du neturi registruotos buveinės Belgijoje ir nepranešė apie gaminį, apie kiekvieną gaminio pakeitimą, dėl kurio pasikeičia pagal 1–4 dalis perduoti duomenys, pateikia naują susijusią informaciją.</w:t>
            </w:r>
            <w:r>
              <w:rPr>
                <w:sz w:val="22"/>
                <w:rFonts w:ascii="Garamond" w:hAnsi="Garamond"/>
              </w:rPr>
              <w:t xml:space="preserve"> </w:t>
            </w:r>
            <w:r>
              <w:rPr>
                <w:sz w:val="22"/>
                <w:rFonts w:ascii="Garamond" w:hAnsi="Garamond"/>
              </w:rPr>
              <w:t xml:space="preserve">Šie pakeitimai laikomi esminiais pakeitimais, išskyrus tarnybos prašomus pakeitimus, kontaktinės informacijos pakeitimus ir praėjusių metų pardavimo apimties duomenų įtraukimą, kaip apibrėžta šio straipsnio 10 dalyje.</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Bet kuris asmuo, kuris pateikia tarnybai esminį pakeitimą pagal 8 dalį, už žaliavas ir produktus Biudžeto fondui sumoka 100 EUR mokestį už kiekvieną produktą.</w:t>
            </w:r>
            <w:r>
              <w:rPr>
                <w:sz w:val="22"/>
                <w:rFonts w:ascii="Garamond" w:hAnsi="Garamond"/>
              </w:rPr>
              <w:t xml:space="preserve"> </w:t>
            </w:r>
            <w:r>
              <w:rPr>
                <w:sz w:val="22"/>
                <w:rFonts w:ascii="Garamond" w:hAnsi="Garamond"/>
              </w:rPr>
              <w:t xml:space="preserve">Šis mokestis turi būti sumokėtas per 30 dienų nuo sąskaitos faktūros išsiuntimo.</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Šis mokestis mokamas, kai tik duomenys pakeičiami pranešimo sistemoje, kurią ministras apibrėžia pagal 3 straipsnio 13 dalį, ir yra negrąžinamas.</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Gamintojas, importuotojas ar importuotojas į Belgiją, jei pirmieji du neturi registruotos buveinės Belgijoje ir nepranešė apie gaminį, kiekvienais metais ne vėliau kaip kovo 1 d. pateikia tarnybai:</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išsamius duomenis apie praėjusių metų pardavimo apimtį pagal prekės ženklą ir produkto rūšį;</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informaciją apie įvairių vartotojų grupių, įskaitant jaunimą, nerūkančiuosius ir pagrindinius tikrųjų vartotojų tipus, prioritetus;</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produktų pardavimo būdas;</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visų rinkos tyrimų, atliktų dėl pirmiau minėtų dalykų, santraukas, įskaitant jų vertimą į anglų kalbą.</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Asmuo, kuris teikia tarnybai metinius duomenis pagal 10 dalį, už žaliavas ir produktus Biudžeto fondui sumoka 50 EUR mokestį už kiekvieną gaminį.</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Šis mokestis turi būti sumokėtas per 30 dienų nuo sąskaitos faktūros išsiuntimo.</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Šis mokestis mokamas, kai tik duomenys įvedami į pranešimo sistemą, kurią ministras apibrėžia pagal 3 straipsnio 13 dalį, ir yra negrąžinamas.</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Gamintojas, importuotojas ar importuotojas į Belgiją, jei pirmieji du neturi pagrindinės buveinės Belgijoje, sukuria ir prižiūri informacijos, susijusios su visais įtariamais neigiamais šių produktų padariniais žmonių sveikatai, rinkimo sistemą.</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Jei vienas iš šių ekonominės veiklos vykdytojų mano arba turi pagrindo manyti, kad jo turimos elektroninės cigaretės arba pildomosios talpyklos, kurias ketinama pateikti rinkai arba tiekti į rinką, yra nesaugios, nekokybiškos arba neatitinka šio dekreto, jis nedelsdamas imasi būtinų korekcinių priemonių, kad užtikrintų atitinkamo gaminio atitiktį šiam dekretui, jį pašalintų arba susigrąžintų, atsižvelgiant į konkretų atvejį.</w:t>
            </w:r>
            <w:r>
              <w:rPr>
                <w:sz w:val="22"/>
                <w:rFonts w:ascii="Garamond" w:hAnsi="Garamond"/>
              </w:rPr>
              <w:t xml:space="preserve"> </w:t>
            </w:r>
            <w:r>
              <w:rPr>
                <w:sz w:val="22"/>
                <w:rFonts w:ascii="Garamond" w:hAnsi="Garamond"/>
              </w:rPr>
              <w:t xml:space="preserve">Tokiais atvejais ekonominės veiklos vykdytojas taip pat privalo nedelsdamas informuoti tarnybą, visų pirma nurodydamas riziką žmonių sveikatai ir saugai ir visas taisomąsias priemones, kurių buvo imtasi, taip pat šių taisomųjų priemonių rezultatus.</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Tarnyba taip pat gali prašyti ekonominės veiklos vykdytojų pateikti papildomos informacijos, pavyzdžiui, apie saugos ir kokybės aspektus arba bet kokį galimą neigiamą elektroninių cigarečių ar pildomųjų talpyklų poveikį.</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Šiame straipsnyje nurodytos informacijos perdavimui ir pateikimui taikytiną pavyzdį ir šiame straipsnyje reikalaujamos informacijos perdavimo būdą gali nustatyti ministras.“</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3 straipsnis.</w:t>
            </w:r>
            <w:r>
              <w:rPr>
                <w:sz w:val="22"/>
                <w:rFonts w:ascii="Garamond" w:hAnsi="Garamond"/>
              </w:rPr>
              <w:t xml:space="preserve"> </w:t>
            </w:r>
            <w:r>
              <w:rPr>
                <w:sz w:val="22"/>
                <w:rFonts w:ascii="Garamond" w:hAnsi="Garamond"/>
              </w:rPr>
              <w:t xml:space="preserve">To paties dekreto 4 straipsnis pakeičiamas taip:</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„4 straipsnis. Sudėtis ir techniniai standartai</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Skystis, kuriame yra nikotino, pateikiamas rinkai tik:</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specialiose pildomosiose talpyklose, kurių tūris yra ne didesnis kaip 10 mililitrų;</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vienkartinėse kasetėse.</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Kasetės arba rezervuarai turi būti ne didesni kaip 2 mililitrai.</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Vienkartinės elektroninės cigaretės yra draudžiamos.</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Draudžiama pateikti rinkai elektronines cigaretes, kurios pasižymi patraukliomis savybėmis, kurios nėra naudingos prietaisui valdyti.</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Nikotino turinčiame skystyje yra ne daugiau kaip 20 miligramų nikotino viename mililitre.</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Nikotino turinčiame skystyje nėra šių priedų:</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vitaminų ar kitų priedų, sudarančių įspūdį, kad elektroninė cigaretė turi teigiamą poveikį sveikatai arba kad jos keliamas pavojus sveikatai buvo sumažintas;</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kofeinas, taurinas ar kiti priedai ir stimuliatoriai, susiję su energija ir (arba) gyvybingumu;</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priedai, kurie suteikia dažomųjų savybių emisijoms;</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priedai, kurie, be degimo, pasižymi CMR savybėmis.</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Ministras sudaro kitų draudžiamų priedų sąrašą ir (arba) leidžiamų priedų sąrašą.</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Gaminant nikotino turintį skystį naudojamos tik didelio grynumo sudedamosios dalys.</w:t>
            </w:r>
            <w:r>
              <w:rPr>
                <w:sz w:val="22"/>
                <w:rFonts w:ascii="Garamond" w:hAnsi="Garamond"/>
              </w:rPr>
              <w:t xml:space="preserve"> </w:t>
            </w:r>
            <w:r>
              <w:rPr>
                <w:sz w:val="22"/>
                <w:rFonts w:ascii="Garamond" w:hAnsi="Garamond"/>
              </w:rPr>
              <w:t xml:space="preserve">Medžiagos, išskyrus 3 straipsnio 3 dalies 2 punkte nurodytas sudedamąsias dalis, turi būti nikotino turinčiame skystyje pėdsakų pavidalu, jei tokie pėdsakai gamybos metu yra techniškai neišvengiami.</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Nikotino turinčiame skystyje, išskyrus nikotiną, naudojamos tik tos sudedamosios dalys, kurios, nepaisant to, ar jos yra šildomos, ar ne, nekelia pavojaus žmonių sveikatai.</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Naudojant elektronines cigaretes įprastinėmis sąlygomis galima naudoti pastovias nikotino dozes.</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Elektroninėse cigaretėse ir pildomosiose talpyklose yra įtaisas, kurio negali atidaryti vaikai ir kuris apsaugotas nuo klastojimo;</w:t>
            </w:r>
            <w:r>
              <w:rPr>
                <w:sz w:val="22"/>
                <w:rFonts w:ascii="Garamond" w:hAnsi="Garamond"/>
              </w:rPr>
              <w:t xml:space="preserve"> </w:t>
            </w:r>
            <w:r>
              <w:rPr>
                <w:sz w:val="22"/>
                <w:rFonts w:ascii="Garamond" w:hAnsi="Garamond"/>
              </w:rPr>
              <w:t xml:space="preserve">jos yra apsaugotos nuo sulūžimo ir nuotėkio, jose yra įtaisas, užtikrinantis, kad užpildžius nebus nuotėkio.</w:t>
            </w:r>
            <w:r>
              <w:rPr>
                <w:sz w:val="22"/>
                <w:rFonts w:ascii="Garamond" w:hAnsi="Garamond"/>
              </w:rPr>
              <w:t xml:space="preserve"> </w:t>
            </w:r>
            <w:r>
              <w:rPr>
                <w:sz w:val="22"/>
                <w:rFonts w:ascii="Garamond" w:hAnsi="Garamond"/>
              </w:rPr>
              <w:t xml:space="preserve">Jos atitinka standartą ISO 8317:2003.</w:t>
            </w:r>
            <w:r>
              <w:rPr>
                <w:sz w:val="22"/>
                <w:rFonts w:ascii="Garamond" w:hAnsi="Garamond"/>
              </w:rPr>
              <w:t xml:space="preserve"> </w:t>
            </w:r>
            <w:r>
              <w:rPr>
                <w:sz w:val="22"/>
                <w:rFonts w:ascii="Garamond" w:hAnsi="Garamond"/>
              </w:rPr>
              <w:t xml:space="preserve">Ministras nustato pildymo mechanizmo techninius standartus.</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Ministras nustato standartus ir analizės metodus, taikytinus tikrinant, kaip įgyvendinamos šio straipsnio nuostatos dėl sudėties ir išmetamųjų teršalų.“</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4 straipsnis</w:t>
            </w:r>
            <w:r>
              <w:rPr>
                <w:sz w:val="22"/>
                <w:b/>
                <w:rFonts w:ascii="Garamond" w:hAnsi="Garamond"/>
              </w:rPr>
              <w:t xml:space="preserve"> </w:t>
            </w:r>
            <w:r>
              <w:rPr>
                <w:sz w:val="22"/>
                <w:rFonts w:ascii="Garamond" w:hAnsi="Garamond"/>
              </w:rPr>
              <w:t xml:space="preserve">To paties dekreto 5 straipsnis pakeičiamas taip:</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„5 straipsnis. Ženklinimas</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Ant kiekvienos elektroninės cigarečių ar pildomosios talpyklos pakuotės, taip pat bet kokios išorinės pakuotės šiame straipsnyje numatytas įspėjimas apie pavojų sveikatai pateikiamas olandų, prancūzų ir vokiečių kalbomis.</w:t>
            </w:r>
            <w:r>
              <w:rPr>
                <w:sz w:val="22"/>
                <w:rFonts w:ascii="Garamond" w:hAnsi="Garamond"/>
              </w:rPr>
              <w:t xml:space="preserve"> </w:t>
            </w:r>
            <w:r>
              <w:rPr>
                <w:sz w:val="22"/>
                <w:rFonts w:ascii="Garamond" w:hAnsi="Garamond"/>
              </w:rPr>
              <w:t xml:space="preserve">Tekstas kiekviena kalba spausdinamas naujoje eilutėje.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Įspėjimas apie pavojų sveikatai turi užimti visą pakuotės vieneto arba jam skirtos išorinės pakuotės paviršių. Jis niekaip nekomentuojamas, neperfrazuojamas ar nenurodomas.</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Įspėjimas apie pavojų sveikatai ant pakuotės arba bet kokios išorinės pakuotės turi būti nenutrinamai atspausdintas ir visiškai matomas.</w:t>
            </w:r>
            <w:r>
              <w:rPr>
                <w:sz w:val="22"/>
                <w:rFonts w:ascii="Garamond" w:hAnsi="Garamond"/>
              </w:rPr>
              <w:t xml:space="preserve"> </w:t>
            </w:r>
            <w:r>
              <w:rPr>
                <w:sz w:val="22"/>
                <w:rFonts w:ascii="Garamond" w:hAnsi="Garamond"/>
              </w:rPr>
              <w:t xml:space="preserve">Jis neturi būti visiškai ar iš dalies paslėptas ar pertrauktas naudojant mokestines banderoles, kainų žymenis, apsauginius įtaisus, vyniojamąjį popierių, vokus, dėžes ar bet kokį kitą daiktą.</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Atidarius pakuotės vienetą, įspėjimas apie pavojų sveikatai lieka nepažeistas.</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5.</w:t>
            </w:r>
            <w:r>
              <w:rPr>
                <w:sz w:val="22"/>
                <w:rFonts w:ascii="Garamond" w:hAnsi="Garamond"/>
              </w:rPr>
              <w:t xml:space="preserve"> </w:t>
            </w:r>
            <w:r>
              <w:rPr>
                <w:sz w:val="22"/>
                <w:rFonts w:ascii="Garamond" w:hAnsi="Garamond"/>
              </w:rPr>
              <w:t xml:space="preserve">Įspėjimas apie pavojų sveikatai turi būti įrėmintas juodu 1 mm pločio rėmeliu šiam įspėjimui skirtoje srityje.</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6.</w:t>
            </w:r>
            <w:r>
              <w:rPr>
                <w:sz w:val="22"/>
                <w:rFonts w:ascii="Garamond" w:hAnsi="Garamond"/>
              </w:rPr>
              <w:t xml:space="preserve"> </w:t>
            </w:r>
            <w:r>
              <w:rPr>
                <w:sz w:val="22"/>
                <w:rFonts w:ascii="Garamond" w:hAnsi="Garamond"/>
              </w:rPr>
              <w:t xml:space="preserve">Elektroninių cigarečių ir pildomųjų talpyklų pakuotėse ir bet kokioje išorinėje pakuotėje turi būti toks įspėjimas apie pavojų sveikatai:</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i/>
                <w:iCs/>
                <w:rFonts w:ascii="Garamond" w:hAnsi="Garamond"/>
              </w:rPr>
              <w:t xml:space="preserve">„</w:t>
            </w:r>
            <w:r>
              <w:rPr>
                <w:sz w:val="22"/>
                <w:i/>
                <w:iCs/>
                <w:i/>
                <w:iCs/>
                <w:rFonts w:ascii="Garamond" w:hAnsi="Garamond"/>
              </w:rPr>
              <w:t xml:space="preserve">L</w:t>
            </w:r>
            <w:r>
              <w:rPr>
                <w:sz w:val="22"/>
                <w:i/>
                <w:iCs/>
                <w:rFonts w:ascii="Garamond" w:hAnsi="Garamond"/>
              </w:rPr>
              <w:t xml:space="preserve">a nicotine contenue dans ce produit crée une forte dépendance.</w:t>
            </w:r>
            <w:r>
              <w:rPr>
                <w:sz w:val="22"/>
                <w:rFonts w:ascii="Garamond" w:hAnsi="Garamond"/>
              </w:rPr>
              <w:t xml:space="preserve"> </w:t>
            </w:r>
            <w:r>
              <w:rPr>
                <w:sz w:val="22"/>
                <w:i/>
                <w:iCs/>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[Dėl šiame gaminyje esančio nikotino išsivysto stipri priklausomybė.</w:t>
            </w:r>
            <w:r>
              <w:rPr>
                <w:sz w:val="22"/>
                <w:rFonts w:ascii="Garamond" w:hAnsi="Garamond"/>
              </w:rPr>
              <w:t xml:space="preserve"> </w:t>
            </w:r>
            <w:r>
              <w:rPr>
                <w:sz w:val="22"/>
                <w:rFonts w:ascii="Garamond" w:hAnsi="Garamond"/>
              </w:rPr>
              <w:t xml:space="preserve">Jo vartoti nerūkantiems asmenims nerekomenduojama.]</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i/>
                <w:iCs/>
                <w:rFonts w:ascii="Garamond" w:hAnsi="Garamond"/>
              </w:rPr>
              <w:t xml:space="preserve">Dit product bevat de zeer verslavende stof nicotine.</w:t>
            </w:r>
            <w:r>
              <w:rPr>
                <w:sz w:val="22"/>
                <w:rFonts w:ascii="Garamond" w:hAnsi="Garamond"/>
              </w:rPr>
              <w:t xml:space="preserve"> </w:t>
            </w:r>
            <w:r>
              <w:rPr>
                <w:sz w:val="22"/>
                <w:i/>
                <w:iCs/>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i/>
                <w:iCs/>
                <w:rFonts w:ascii="Garamond" w:hAnsi="Garamond"/>
              </w:rPr>
              <w:t xml:space="preserve">Dieses Produkt enthält Nikotin: Einen Stoff, der sehr stark abhängig macht.</w:t>
            </w:r>
            <w:r>
              <w:rPr>
                <w:sz w:val="22"/>
                <w:rFonts w:ascii="Garamond" w:hAnsi="Garamond"/>
              </w:rPr>
              <w:t xml:space="preserve"> </w:t>
            </w:r>
            <w:r>
              <w:rPr>
                <w:sz w:val="22"/>
                <w:i/>
                <w:iCs/>
                <w:rFonts w:ascii="Garamond" w:hAnsi="Garamond"/>
              </w:rPr>
              <w:t xml:space="preserve">Es wird nicht für den Gebrauch durch Nichtraucher empfohlen</w:t>
            </w:r>
            <w:r>
              <w:rPr>
                <w:sz w:val="22"/>
                <w:rFonts w:ascii="Garamond" w:hAnsi="Garamond"/>
              </w:rPr>
              <w:t xml:space="preserve">.“.</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7.</w:t>
            </w:r>
            <w:r>
              <w:rPr>
                <w:sz w:val="22"/>
                <w:rFonts w:ascii="Garamond" w:hAnsi="Garamond"/>
              </w:rPr>
              <w:t xml:space="preserve"> </w:t>
            </w:r>
            <w:r>
              <w:rPr>
                <w:sz w:val="22"/>
                <w:rFonts w:ascii="Garamond" w:hAnsi="Garamond"/>
              </w:rPr>
              <w:t xml:space="preserve">Įspėjimas apie pavojų sveikatai</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turi būti pateiktas ant dviejų didžiausių paviršių pakuotės vieneto ir bet kokios išorinės pakuotės.</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Ant pakuočių su keturiais panašaus dydžio paviršiais įspėjimas pateikiamas ant dviejų priešingų paviršių, iš kurių vienas yra pagrindinis prekių ženklo paviršius.</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Ant cilindrinių pakuočių įspėjimas apie pavojų sveikatai pateikiamas tik vieną kartą ir apima visą perimetrą.</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turi dengti 35 % atitinkamo pakuotės vieneto ir bet kokios išorinės pakuotės paviršiaus ploto;</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turi būti atitinkamo pakuotės vieneto ir bet kokios išorinės pakuotės paviršiaus apačioje, o ant gretasienių pakuočių vienetų ir bet kokios išorinės pakuotės yra lygiagretus pakuotės vieneto arba išorinės pakuotės šoniniam kraštui.</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8.</w:t>
            </w:r>
            <w:r>
              <w:rPr>
                <w:sz w:val="22"/>
                <w:rFonts w:ascii="Garamond" w:hAnsi="Garamond"/>
              </w:rPr>
              <w:t xml:space="preserve"> </w:t>
            </w:r>
            <w:r>
              <w:rPr>
                <w:sz w:val="22"/>
                <w:rFonts w:ascii="Garamond" w:hAnsi="Garamond"/>
              </w:rPr>
              <w:t xml:space="preserve">Įspėjimo apie pavojų sveikatai tekstas turi būti:</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lygiagrečiai pagrindiniam tekstui, kuris pateiktas ant šiam įspėjimui skirto paviršiaus;</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atspausdintas pusjuodžiu šriftu </w:t>
            </w:r>
            <w:r>
              <w:rPr>
                <w:sz w:val="22"/>
                <w:i/>
                <w:iCs/>
                <w:rFonts w:ascii="Garamond" w:hAnsi="Garamond"/>
              </w:rPr>
              <w:t xml:space="preserve">Helvetica</w:t>
            </w:r>
            <w:r>
              <w:rPr>
                <w:sz w:val="22"/>
                <w:rFonts w:ascii="Garamond" w:hAnsi="Garamond"/>
              </w:rPr>
              <w:t xml:space="preserve"> baltame fone, kurio rašmenų dydis būtų toks, kad tekstas užimtų didžiausią jam skirto paviršiaus dalį, nedarant poveikio jo įskaitomumui;</w:t>
            </w:r>
            <w:r>
              <w:rPr>
                <w:sz w:val="22"/>
                <w:rFonts w:ascii="Garamond" w:hAnsi="Garamond"/>
              </w:rPr>
              <w:t xml:space="preserve"> </w:t>
            </w:r>
            <w:r>
              <w:rPr>
                <w:sz w:val="22"/>
                <w:rFonts w:ascii="Garamond" w:hAnsi="Garamond"/>
              </w:rPr>
              <w:t xml:space="preserve">ir</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jam skirto paviršiaus centre.</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9.</w:t>
            </w:r>
            <w:r>
              <w:rPr>
                <w:sz w:val="22"/>
                <w:rFonts w:ascii="Garamond" w:hAnsi="Garamond"/>
              </w:rPr>
              <w:t xml:space="preserve"> </w:t>
            </w:r>
            <w:r>
              <w:rPr>
                <w:sz w:val="22"/>
                <w:rFonts w:ascii="Garamond" w:hAnsi="Garamond"/>
              </w:rPr>
              <w:t xml:space="preserve">Elektroninių cigarečių ir pildomųjų talpyklų pakuotėse turi būti bent olandų, prancūzų ir vokiečių kalbomis parengtas informacinis lapelis, kuriame pateikiamos:</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produkto naudojimo ir laikymo instrukcijos, įskaitant pastabą, kad vartoti produktą nerekomenduojama jauniems žmonėms ir nerūkantiems asmenims;</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kontraindikacijos;</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įspėjimai apie konkrečias rizikos grupes;</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galimas šalutinis poveikis;</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priklausomybė ir toksiškumas;</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gamintojo, importuotojo ar importuotojo į Belgiją ir Europos Sąjungoje esančio fizinio ar juridinio asmens kontaktiniai duomenys;</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Apsinuodijimų kontrolės centro numeris.</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10.</w:t>
            </w:r>
            <w:r>
              <w:rPr>
                <w:sz w:val="22"/>
                <w:rFonts w:ascii="Garamond" w:hAnsi="Garamond"/>
              </w:rPr>
              <w:t xml:space="preserve"> </w:t>
            </w:r>
            <w:r>
              <w:rPr>
                <w:sz w:val="22"/>
                <w:rFonts w:ascii="Garamond" w:hAnsi="Garamond"/>
              </w:rPr>
              <w:t xml:space="preserve">Elektroninių cigarečių ir pildomųjų talpyklų pakuotėse ir visose išorinėse pakuotėse pateikiamas sąrašas bent olandų, prancūzų ir vokiečių kalbomis, kuriame nurodomos:</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visos produkto sudedamosios dalys, įskaitant kvapiąsias medžiagas ir alergenus, išvardytas pagal svorį mažėjančia tvarka;</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informacija apie nikotino kiekį gaminyje ir kiekvienoje dozėje esantį kiekį;</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partijos numeris, prieš kurį rašomas žodis „partija“;</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rekomendacija, kad gaminys būtų laikomas vaikams nepasiekiamoje vietoje teksto arba logotipo forma;</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gaminio ID, išduotą pagal 3 straipsnio 13 dalį ministro apibrėžta pranešimo sistema.</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11.</w:t>
            </w:r>
            <w:r>
              <w:rPr>
                <w:sz w:val="22"/>
                <w:rFonts w:ascii="Garamond" w:hAnsi="Garamond"/>
              </w:rPr>
              <w:t xml:space="preserve"> </w:t>
            </w:r>
            <w:r>
              <w:rPr>
                <w:sz w:val="22"/>
                <w:rFonts w:ascii="Garamond" w:hAnsi="Garamond"/>
              </w:rPr>
              <w:t xml:space="preserve">Pildomųjų talpyklų galiojimo laikas yra pasibaigęs.</w:t>
            </w:r>
            <w:r>
              <w:rPr>
                <w:sz w:val="22"/>
                <w:rFonts w:ascii="Garamond" w:hAnsi="Garamond"/>
              </w:rPr>
              <w:t xml:space="preserve"> </w:t>
            </w:r>
            <w:r>
              <w:rPr>
                <w:sz w:val="22"/>
                <w:rFonts w:ascii="Garamond" w:hAnsi="Garamond"/>
              </w:rPr>
              <w:t xml:space="preserve">Pildomosios talpyklos, kurių tinkamumo laikas yra pasibaigęs, nebegali būti pateikiamos rinkai.</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12.</w:t>
            </w:r>
            <w:r>
              <w:rPr>
                <w:sz w:val="22"/>
                <w:rFonts w:ascii="Garamond" w:hAnsi="Garamond"/>
              </w:rPr>
              <w:t xml:space="preserve"> </w:t>
            </w:r>
            <w:r>
              <w:rPr>
                <w:sz w:val="22"/>
                <w:rFonts w:ascii="Garamond" w:hAnsi="Garamond"/>
              </w:rPr>
              <w:t xml:space="preserve">Nepažeidžiant 10 dalies, elektroninių cigarečių ir pildomųjų talpyklų pakuotėse ir bet kokioje išorinėje pakuotėje neturi būti:</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jokio pasiūlymo, kad tam tikra elektroninė cigaretė ar pildomoji talpykla yra mažiau kenksminga už kitas arba yra skirta tam tikrų kenksmingų dūmų komponentų poveikiui sumažinti ar turi gyvybiškai svarbų, energijos suteikiantį, gydomąjį, atjauninantį, natūralų, biologinį ar teigiamą poveikį sveikatai ar gyvenimo būdui;</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jokių panašumų į maistą ar kosmetikos gaminius;</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jokio pasiūlymo, kad tam tikra elektroninė cigaretė arba pildomoji talpykla yra lengviau biologiškai skaidi arba turi kitokios naudos aplinkai;</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jokio su skoniu, kvapu, aromatu ar jų nebuvimu susijusio pasiūlymo.</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13.</w:t>
            </w:r>
            <w:r>
              <w:rPr>
                <w:sz w:val="22"/>
                <w:rFonts w:ascii="Garamond" w:hAnsi="Garamond"/>
              </w:rPr>
              <w:t xml:space="preserve"> </w:t>
            </w:r>
            <w:r>
              <w:rPr>
                <w:sz w:val="22"/>
                <w:rFonts w:ascii="Garamond" w:hAnsi="Garamond"/>
              </w:rPr>
              <w:t xml:space="preserve">Ant pakuotės vienetų ir jokios išorinės pakuotės nėra pasiūlymo, susijusio su jokia ekonomine nauda naudojant čekius, taikant nuolaidų pasiūlymus, nemokamą platinimą, „du už vienos“ kainą ar teikiant kitus panašius pasiūlymus.</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14.</w:t>
            </w:r>
            <w:r>
              <w:rPr>
                <w:sz w:val="22"/>
                <w:rFonts w:ascii="Garamond" w:hAnsi="Garamond"/>
              </w:rPr>
              <w:t xml:space="preserve"> </w:t>
            </w:r>
            <w:r>
              <w:rPr>
                <w:sz w:val="22"/>
                <w:rFonts w:ascii="Garamond" w:hAnsi="Garamond"/>
              </w:rPr>
              <w:t xml:space="preserve">Pagal 12 ir 13 dalis draudžiami elementai ir įtaisai gali būti, </w:t>
            </w:r>
            <w:r>
              <w:rPr>
                <w:sz w:val="22"/>
                <w:i/>
                <w:iCs/>
                <w:rFonts w:ascii="Garamond" w:hAnsi="Garamond"/>
              </w:rPr>
              <w:t xml:space="preserve">inter alia</w:t>
            </w:r>
            <w:r>
              <w:rPr>
                <w:sz w:val="22"/>
                <w:rFonts w:ascii="Garamond" w:hAnsi="Garamond"/>
              </w:rPr>
              <w:t xml:space="preserve">, pranešimai, simboliai, pavadinimai, prekių ženklai ir vaizdiniai ar kiti ženklai.</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15.</w:t>
            </w:r>
            <w:r>
              <w:rPr>
                <w:sz w:val="22"/>
                <w:rFonts w:ascii="Garamond" w:hAnsi="Garamond"/>
              </w:rPr>
              <w:t xml:space="preserve"> </w:t>
            </w:r>
            <w:r>
              <w:rPr>
                <w:sz w:val="22"/>
                <w:rFonts w:ascii="Garamond" w:hAnsi="Garamond"/>
              </w:rPr>
              <w:t xml:space="preserve">Pakuotės vieneto ir išorinės pakuotės prekės ženklas ir išvestinis prekių ženklas turi būti identiški tiems, kurie įrašyti į pranešimo sistemą</w:t>
            </w:r>
            <w:r>
              <w:t xml:space="preserve"> </w:t>
            </w:r>
            <w:r>
              <w:rPr>
                <w:sz w:val="22"/>
                <w:rFonts w:ascii="Garamond" w:hAnsi="Garamond"/>
              </w:rPr>
              <w:t xml:space="preserve">kaip apibrėžta ministro pagal 3 straipsnio 13 dalį.</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16.</w:t>
            </w:r>
            <w:r>
              <w:rPr>
                <w:sz w:val="22"/>
                <w:rFonts w:ascii="Garamond" w:hAnsi="Garamond"/>
              </w:rPr>
              <w:t xml:space="preserve"> </w:t>
            </w:r>
            <w:r>
              <w:rPr>
                <w:sz w:val="22"/>
                <w:rFonts w:ascii="Garamond" w:hAnsi="Garamond"/>
              </w:rPr>
              <w:t xml:space="preserve">Ministras gali nustatyti papildomas sąlygas dėl šiame straipsnyje nurodytos informacijos turinio ir pateikimo.“</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5 straipsnis.</w:t>
            </w:r>
            <w:r>
              <w:rPr>
                <w:sz w:val="22"/>
                <w:rFonts w:ascii="Garamond" w:hAnsi="Garamond"/>
              </w:rPr>
              <w:t xml:space="preserve"> </w:t>
            </w:r>
            <w:r>
              <w:rPr>
                <w:sz w:val="22"/>
                <w:rFonts w:ascii="Garamond" w:hAnsi="Garamond"/>
              </w:rPr>
              <w:t xml:space="preserve">To paties dekreto 6 straipsnis pakeičiamas taip:</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„6 straipsnis.</w:t>
            </w:r>
            <w:r>
              <w:rPr>
                <w:sz w:val="22"/>
                <w:rFonts w:ascii="Garamond" w:hAnsi="Garamond"/>
              </w:rPr>
              <w:t xml:space="preserve"> </w:t>
            </w:r>
            <w:r>
              <w:rPr>
                <w:sz w:val="22"/>
                <w:rFonts w:ascii="Garamond" w:hAnsi="Garamond"/>
              </w:rPr>
              <w:t xml:space="preserve">Nuotolinė prekyba elektroninėmis cigaretėmis</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Draudžiama nuotolinė prekyba vartotojams ir nuotolinis elektroninių cigarečių ir pildomųjų talpyklų pirkimas vartotojams.</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Nukrypstant nuo 1 dalies, tarpvalstybinė nuotolinė prekyba leidžiama, jei tai leidžiama pagal paskirties valstybės narės teisės aktus.“</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6 straipsnis.</w:t>
            </w:r>
            <w:r>
              <w:rPr>
                <w:sz w:val="22"/>
                <w:b/>
                <w:rFonts w:ascii="Garamond" w:hAnsi="Garamond"/>
              </w:rPr>
              <w:t xml:space="preserve">  </w:t>
            </w:r>
            <w:r>
              <w:rPr>
                <w:sz w:val="22"/>
                <w:rFonts w:ascii="Garamond" w:hAnsi="Garamond"/>
              </w:rPr>
              <w:t xml:space="preserve">Į tą patį dekretą įterpiama 6 straipsnio 1 dalis, kuri išdėstoma taip:</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„6/1 straipsnis.</w:t>
            </w:r>
            <w:r>
              <w:rPr>
                <w:sz w:val="22"/>
                <w:rFonts w:ascii="Garamond" w:hAnsi="Garamond"/>
              </w:rPr>
              <w:t xml:space="preserve"> </w:t>
            </w:r>
            <w:r>
              <w:rPr>
                <w:sz w:val="22"/>
                <w:rFonts w:ascii="Garamond" w:hAnsi="Garamond"/>
              </w:rPr>
              <w:t xml:space="preserve">Pildomosios talpyklos, kuriose nėra nikotino</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3 straipsnio nuostatos dėl pranešimo taikomos pildomosioms talpykloms, kuriose nėra nikotino.</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4 straipsnio nuostatos dėl sudėties ir techninių standartų taikomos pildomosioms talpykloms, kuriose nėra nikotino, išskyrus 1, 4 ir 8 dalis.</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5 straipsnio nuostatos, išskyrus 6 dalį, taikomos pildomosioms talpykloms, kuriose nėra nikotino.</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Įspėjimas apie šio tipo gaminio pavojų sveikatai yra toks:</w:t>
            </w:r>
          </w:p>
          <w:p w14:paraId="79368114" w14:textId="77777777" w:rsidR="00304BBF" w:rsidRPr="00613047" w:rsidRDefault="00304BBF" w:rsidP="00A6570A">
            <w:pPr>
              <w:tabs>
                <w:tab w:val="left" w:pos="2410"/>
              </w:tabs>
              <w:jc w:val="both"/>
              <w:rPr>
                <w:bCs/>
                <w:sz w:val="22"/>
                <w:szCs w:val="22"/>
                <w:rFonts w:ascii="Garamond" w:hAnsi="Garamond"/>
              </w:rPr>
            </w:pPr>
            <w:r>
              <w:rPr>
                <w:sz w:val="22"/>
                <w:i/>
                <w:iCs/>
                <w:rFonts w:ascii="Garamond" w:hAnsi="Garamond"/>
              </w:rPr>
              <w:t xml:space="preserve">„Ce produit nuit à votre santé.</w:t>
            </w:r>
            <w:r>
              <w:rPr>
                <w:sz w:val="22"/>
                <w:rFonts w:ascii="Garamond" w:hAnsi="Garamond"/>
              </w:rPr>
              <w:t xml:space="preserve"> </w:t>
            </w:r>
            <w:r>
              <w:rPr>
                <w:sz w:val="22"/>
                <w:i/>
                <w:iCs/>
                <w:rFonts w:ascii="Garamond" w:hAnsi="Garamond"/>
              </w:rPr>
              <w:t xml:space="preserve">Son use par les non-Fumeurs n’est pas recommandée.</w:t>
            </w:r>
            <w:r>
              <w:rPr>
                <w:sz w:val="22"/>
                <w:rFonts w:ascii="Garamond" w:hAnsi="Garamond"/>
              </w:rPr>
              <w:t xml:space="preserve"> </w:t>
            </w:r>
            <w:r>
              <w:rPr>
                <w:sz w:val="22"/>
                <w:rFonts w:ascii="Garamond" w:hAnsi="Garamond"/>
              </w:rPr>
              <w:t xml:space="preserve">[Šis gaminys kenkia jūsų sveikatai.</w:t>
            </w:r>
            <w:r>
              <w:rPr>
                <w:sz w:val="22"/>
                <w:rFonts w:ascii="Garamond" w:hAnsi="Garamond"/>
              </w:rPr>
              <w:t xml:space="preserve"> </w:t>
            </w:r>
            <w:r>
              <w:rPr>
                <w:sz w:val="22"/>
                <w:rFonts w:ascii="Garamond" w:hAnsi="Garamond"/>
              </w:rPr>
              <w:t xml:space="preserve">Jo vartoti nerūkantiems asmenims nerekomenduojama.]</w:t>
            </w:r>
          </w:p>
          <w:p w14:paraId="3B02C431" w14:textId="77777777" w:rsidR="00304BBF" w:rsidRPr="00613047" w:rsidRDefault="00304BBF" w:rsidP="00A6570A">
            <w:pPr>
              <w:tabs>
                <w:tab w:val="left" w:pos="2410"/>
              </w:tabs>
              <w:jc w:val="both"/>
              <w:rPr>
                <w:bCs/>
                <w:sz w:val="22"/>
                <w:szCs w:val="22"/>
                <w:rFonts w:ascii="Garamond" w:hAnsi="Garamond"/>
              </w:rPr>
            </w:pPr>
            <w:r>
              <w:rPr>
                <w:sz w:val="22"/>
                <w:i/>
                <w:iCs/>
                <w:rFonts w:ascii="Garamond" w:hAnsi="Garamond"/>
              </w:rPr>
              <w:t xml:space="preserve">Dit product schaadt uw gezondheid.</w:t>
            </w:r>
            <w:r>
              <w:rPr>
                <w:sz w:val="22"/>
                <w:rFonts w:ascii="Garamond" w:hAnsi="Garamond"/>
              </w:rPr>
              <w:t xml:space="preserve"> </w:t>
            </w:r>
            <w:r>
              <w:rPr>
                <w:sz w:val="22"/>
                <w:i/>
                <w:iCs/>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i/>
                <w:iCs/>
                <w:rFonts w:ascii="Garamond" w:hAnsi="Garamond"/>
              </w:rPr>
              <w:t xml:space="preserve">Dieses produkt schädigt Ire Gesundheit.</w:t>
            </w:r>
            <w:r>
              <w:rPr>
                <w:sz w:val="22"/>
                <w:rFonts w:ascii="Garamond" w:hAnsi="Garamond"/>
              </w:rPr>
              <w:t xml:space="preserve"> </w:t>
            </w:r>
            <w:r>
              <w:rPr>
                <w:sz w:val="22"/>
                <w:i/>
                <w:iCs/>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4.</w:t>
            </w:r>
            <w:r>
              <w:rPr>
                <w:sz w:val="22"/>
                <w:rFonts w:ascii="Garamond" w:hAnsi="Garamond"/>
              </w:rPr>
              <w:t xml:space="preserve"> </w:t>
            </w:r>
            <w:r>
              <w:rPr>
                <w:sz w:val="22"/>
                <w:rFonts w:ascii="Garamond" w:hAnsi="Garamond"/>
              </w:rPr>
              <w:t xml:space="preserve">6 straipsnis dėl nuotolinės prekybos taikomas pildomosioms talpykloms, kuriose nėra nikotino.“</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7 straipsnis.</w:t>
            </w:r>
            <w:r>
              <w:rPr>
                <w:sz w:val="22"/>
                <w:b/>
                <w:rFonts w:ascii="Garamond" w:hAnsi="Garamond"/>
              </w:rPr>
              <w:t xml:space="preserve">  </w:t>
            </w:r>
            <w:r>
              <w:rPr>
                <w:sz w:val="22"/>
                <w:rFonts w:ascii="Garamond" w:hAnsi="Garamond"/>
              </w:rPr>
              <w:t xml:space="preserve">To paties dekreto 7 straipsnis pakeičiamas taip:</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„7 straipsnis. Sankcijos</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1.</w:t>
            </w:r>
            <w:r>
              <w:rPr>
                <w:sz w:val="22"/>
                <w:rFonts w:ascii="Garamond" w:hAnsi="Garamond"/>
              </w:rPr>
              <w:t xml:space="preserve"> </w:t>
            </w:r>
            <w:r>
              <w:rPr>
                <w:sz w:val="22"/>
                <w:rFonts w:ascii="Garamond" w:hAnsi="Garamond"/>
              </w:rPr>
              <w:t xml:space="preserve">Elektroninės cigaretės, pildomosios talpyklos ir nikotino neturinčios pildomosios talpyklos, kurios neatitinka šio dekreto nuostatų, turi būti laikomos kenksmingomis, kaip apibrėžta 1977 m. sausio 24 d. Įstatymo dėl vartotojų sveikatos apsaugos, susijusios su maisto produktais ir kitais produktais, 18 straipsnyje.</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2.</w:t>
            </w:r>
            <w:r>
              <w:rPr>
                <w:sz w:val="22"/>
                <w:rFonts w:ascii="Garamond" w:hAnsi="Garamond"/>
              </w:rPr>
              <w:t xml:space="preserve"> </w:t>
            </w:r>
            <w:r>
              <w:rPr>
                <w:sz w:val="22"/>
                <w:rFonts w:ascii="Garamond" w:hAnsi="Garamond"/>
              </w:rPr>
              <w:t xml:space="preserve">Šio dekreto nuostatų pažeidimai tiriami, registruojami, pažeidus vykdomas persekiojamas ir baudžiama pagal minėto 1977 m. sausio 24 d. įstatymo nuostatas.</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3.</w:t>
            </w:r>
            <w:r>
              <w:rPr>
                <w:sz w:val="22"/>
                <w:rFonts w:ascii="Garamond" w:hAnsi="Garamond"/>
              </w:rPr>
              <w:t xml:space="preserve"> </w:t>
            </w:r>
            <w:r>
              <w:rPr>
                <w:sz w:val="22"/>
                <w:rFonts w:ascii="Garamond" w:hAnsi="Garamond"/>
              </w:rPr>
              <w:t xml:space="preserve">Gamintojas, importuotojas, importuotojas į Belgiją ir mažmenininkas gali būti laikomi atsakingais už šio dekreto nuostatų nesilaikymą.“</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highlight w:val="yellow"/>
                <w:rFonts w:ascii="Garamond" w:hAnsi="Garamond"/>
              </w:rPr>
              <w:t xml:space="preserve">8</w:t>
            </w:r>
            <w:r>
              <w:rPr>
                <w:sz w:val="22"/>
                <w:b/>
                <w:rFonts w:ascii="Garamond" w:hAnsi="Garamond"/>
              </w:rPr>
              <w:t xml:space="preserve"> straipsnis.</w:t>
            </w:r>
            <w:r>
              <w:rPr>
                <w:sz w:val="22"/>
                <w:b/>
                <w:highlight w:val="yellow"/>
                <w:rFonts w:ascii="Garamond" w:hAnsi="Garamond"/>
              </w:rPr>
              <w:t xml:space="preserve"> </w:t>
            </w:r>
            <w:r>
              <w:rPr>
                <w:sz w:val="22"/>
                <w:highlight w:val="yellow"/>
                <w:rFonts w:ascii="Garamond" w:hAnsi="Garamond"/>
              </w:rPr>
              <w:t xml:space="preserve">Šis dekretas įsigalioja … d.</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9 straipsnis.</w:t>
            </w:r>
            <w:r>
              <w:rPr>
                <w:sz w:val="22"/>
                <w:rFonts w:ascii="Garamond" w:hAnsi="Garamond"/>
              </w:rPr>
              <w:t xml:space="preserve"> </w:t>
            </w:r>
            <w:r>
              <w:rPr>
                <w:sz w:val="22"/>
                <w:rFonts w:ascii="Garamond" w:hAnsi="Garamond"/>
              </w:rPr>
              <w:t xml:space="preserve">Ekonomikos ministras, visuomenės sveikatos ministras ir mažųjų ir vidutinių įmonių reikalų ministras yra atsakingi už šio dekreto įgyvendinimą, kiek tai susiję su kiekvienu iš jų.</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Briuselis,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Karalius:</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Ekonomikos ministras</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Visuomenės sveikatos ministras</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Mažųjų ir vidutinių įmonių reikalų ministras</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lt-LT"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lt-LT"/>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lt-LT"/>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lt-LT"/>
    </w:rPr>
  </w:style>
  <w:style w:type="paragraph" w:styleId="Titre9">
    <w:name w:val="heading 9"/>
    <w:basedOn w:val="Normal"/>
    <w:next w:val="Normal"/>
    <w:qFormat/>
    <w:pPr>
      <w:keepNext/>
      <w:tabs>
        <w:tab w:val="left" w:pos="567"/>
        <w:tab w:val="left" w:pos="2268"/>
      </w:tabs>
      <w:jc w:val="both"/>
      <w:outlineLvl w:val="8"/>
    </w:pPr>
    <w:rPr>
      <w:i/>
      <w:iCs/>
      <w:sz w:val="22"/>
      <w:lang w:val="lt-L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lt-LT"/>
    </w:rPr>
  </w:style>
  <w:style w:type="paragraph" w:styleId="Corpsdetexte3">
    <w:name w:val="Body Text 3"/>
    <w:basedOn w:val="Normal"/>
    <w:pPr>
      <w:widowControl w:val="0"/>
    </w:pPr>
    <w:rPr>
      <w:snapToGrid w:val="0"/>
      <w:sz w:val="22"/>
      <w:lang w:val="lt-LT"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lt-LT"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lt-LT"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lt-LT"/>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lt-LT"/>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lt-LT"/>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lt-LT"/>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lt-LT"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lt-LT"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lt-LT"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lt-LT" w:eastAsia="en-US"/>
    </w:rPr>
  </w:style>
  <w:style w:type="character" w:customStyle="1" w:styleId="En-tteCar">
    <w:name w:val="En-tête Car"/>
    <w:link w:val="En-tte"/>
    <w:uiPriority w:val="99"/>
    <w:rsid w:val="00792B2A"/>
    <w:rPr>
      <w:lang w:val="lt-LT" w:eastAsia="nl-NL"/>
    </w:rPr>
  </w:style>
  <w:style w:type="character" w:customStyle="1" w:styleId="PieddepageCar">
    <w:name w:val="Pied de page Car"/>
    <w:link w:val="Pieddepage"/>
    <w:uiPriority w:val="99"/>
    <w:rsid w:val="00792B2A"/>
    <w:rPr>
      <w:lang w:val="lt-LT" w:eastAsia="nl-NL"/>
    </w:rPr>
  </w:style>
  <w:style w:type="paragraph" w:styleId="Rvision">
    <w:name w:val="Revision"/>
    <w:hidden/>
    <w:uiPriority w:val="99"/>
    <w:semiHidden/>
    <w:rsid w:val="00B63DAF"/>
    <w:rPr>
      <w:lang w:val="lt-LT"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