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3EAE78" w14:textId="776B8299" w:rsidR="0056336D" w:rsidRDefault="0056336D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A0611F" w:rsidRPr="00C16AC7" w14:paraId="779E3D90" w14:textId="77777777" w:rsidTr="00E86B51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AD279F9" w14:textId="542C7984" w:rsidR="00A0611F" w:rsidRPr="00C16AC7" w:rsidRDefault="00A0611F" w:rsidP="00E86B51">
            <w:pPr>
              <w:pStyle w:val="SNREPUBLIQUE"/>
            </w:pPr>
            <w:r>
              <w:t xml:space="preserve">FRANCOUZSKÁ REPUBLIKA</w:t>
            </w:r>
          </w:p>
        </w:tc>
      </w:tr>
      <w:tr w:rsidR="00A0611F" w:rsidRPr="00C16AC7" w14:paraId="7DEA0AE9" w14:textId="77777777" w:rsidTr="00E86B51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0CACC41D" w14:textId="77777777" w:rsidR="00A0611F" w:rsidRPr="00C16AC7" w:rsidRDefault="00A0611F" w:rsidP="00E86B51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shd w:val="clear" w:color="auto" w:fill="auto"/>
          </w:tcPr>
          <w:p w14:paraId="5AEC3751" w14:textId="77777777" w:rsidR="00A0611F" w:rsidRPr="00C16AC7" w:rsidRDefault="00A0611F" w:rsidP="00E86B51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331313C4" w14:textId="77777777" w:rsidR="00A0611F" w:rsidRPr="00C16AC7" w:rsidRDefault="00A0611F" w:rsidP="00E86B51">
            <w:pPr>
              <w:snapToGrid w:val="0"/>
              <w:rPr>
                <w:rFonts w:cs="Tahoma"/>
              </w:rPr>
            </w:pPr>
          </w:p>
        </w:tc>
      </w:tr>
      <w:tr w:rsidR="00A0611F" w:rsidRPr="00C16AC7" w14:paraId="7FC91AA2" w14:textId="77777777" w:rsidTr="00E86B51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16B17C24" w14:textId="77777777" w:rsidR="00A0611F" w:rsidRPr="00C16AC7" w:rsidRDefault="00A0611F" w:rsidP="00E86B51">
            <w:pPr>
              <w:pStyle w:val="SNTimbre"/>
            </w:pPr>
            <w:r>
              <w:t xml:space="preserve">Ministerstvo pro ekologickou transformaci</w:t>
            </w:r>
          </w:p>
          <w:p w14:paraId="31F42F58" w14:textId="77777777" w:rsidR="00A0611F" w:rsidRPr="00C16AC7" w:rsidRDefault="00A0611F" w:rsidP="00E86B51">
            <w:pPr>
              <w:pStyle w:val="SNTimbre"/>
            </w:pPr>
          </w:p>
        </w:tc>
      </w:tr>
      <w:tr w:rsidR="00A0611F" w:rsidRPr="00C16AC7" w14:paraId="758A20E1" w14:textId="77777777" w:rsidTr="00E86B51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610FA69F" w14:textId="77777777" w:rsidR="00A0611F" w:rsidRPr="00C16AC7" w:rsidRDefault="00A0611F" w:rsidP="00E86B51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3077FFA6" w14:textId="77777777" w:rsidR="00A0611F" w:rsidRPr="00C16AC7" w:rsidRDefault="00A0611F" w:rsidP="00E86B51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06974DA3" w14:textId="77777777" w:rsidR="00A0611F" w:rsidRPr="00C16AC7" w:rsidRDefault="00A0611F" w:rsidP="00E86B51">
            <w:pPr>
              <w:snapToGrid w:val="0"/>
            </w:pPr>
          </w:p>
        </w:tc>
      </w:tr>
      <w:tr w:rsidR="00A0611F" w:rsidRPr="00C16AC7" w14:paraId="25E71669" w14:textId="77777777" w:rsidTr="00E86B51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4F1C608F" w14:textId="77777777" w:rsidR="00A0611F" w:rsidRPr="00C16AC7" w:rsidRDefault="00A0611F" w:rsidP="00E86B51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0EB11B81" w14:textId="77777777" w:rsidR="00A0611F" w:rsidRPr="00C16AC7" w:rsidRDefault="00A0611F" w:rsidP="00E86B51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3B78D744" w14:textId="77777777" w:rsidR="00A0611F" w:rsidRPr="00C16AC7" w:rsidRDefault="00A0611F" w:rsidP="00E86B51">
            <w:pPr>
              <w:snapToGrid w:val="0"/>
            </w:pPr>
          </w:p>
        </w:tc>
      </w:tr>
    </w:tbl>
    <w:p w14:paraId="2D53714B" w14:textId="02565373" w:rsidR="00A0611F" w:rsidRPr="00C16AC7" w:rsidRDefault="00A0611F" w:rsidP="00A0611F">
      <w:pPr>
        <w:pStyle w:val="SNNature"/>
      </w:pPr>
      <w:r>
        <w:t xml:space="preserve">Vyhláška č.</w:t>
      </w:r>
      <w:r>
        <w:br/>
      </w:r>
      <w:r>
        <w:t xml:space="preserve">o informování spotřebitelů o environmentálních kvalitách a vlastnostech výrobků produkujících odpad</w:t>
      </w:r>
      <w:r>
        <w:t xml:space="preserve">  </w:t>
      </w:r>
    </w:p>
    <w:p w14:paraId="752E1818" w14:textId="77777777" w:rsidR="00A0611F" w:rsidRPr="00C16AC7" w:rsidRDefault="00A0611F" w:rsidP="00A0611F">
      <w:pPr>
        <w:pStyle w:val="SNNORCentr"/>
        <w:rPr>
          <w:i/>
        </w:rPr>
      </w:pPr>
      <w:r>
        <w:t xml:space="preserve">NOR:</w:t>
      </w:r>
      <w:r>
        <w:t xml:space="preserve"> </w:t>
      </w:r>
    </w:p>
    <w:p w14:paraId="045F465C" w14:textId="598F1059" w:rsidR="00A0611F" w:rsidRDefault="00A0611F" w:rsidP="00D51CEF">
      <w:pPr>
        <w:pStyle w:val="SNAutorit"/>
        <w:ind w:firstLine="709"/>
        <w:jc w:val="both"/>
        <w:rPr>
          <w:b w:val="0"/>
          <w:i/>
        </w:rPr>
      </w:pPr>
      <w:r>
        <w:rPr>
          <w:i/>
        </w:rPr>
        <w:t xml:space="preserve"> </w:t>
      </w:r>
      <w:r>
        <w:rPr>
          <w:i/>
        </w:rPr>
        <w:t xml:space="preserve">Dotčená veřejnost: </w:t>
      </w:r>
      <w:r>
        <w:rPr>
          <w:i/>
          <w:b w:val="0"/>
        </w:rPr>
        <w:t xml:space="preserve">výrobci, dovozci, distributoři nebo jiné strany, uvádějící na trh spotřební výrobky vytvářející odpad včetně těch, kteří používají internetové stránky, platformu nebo jiný distribuční kanál v rámci své obchodní činnosti ve Francii, a spotřebitelé těchto výrobků.</w:t>
      </w:r>
    </w:p>
    <w:p w14:paraId="561AF1CA" w14:textId="77777777" w:rsidR="00A0611F" w:rsidRPr="00C16AC7" w:rsidRDefault="00A0611F" w:rsidP="00A0611F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Předmět: </w:t>
      </w:r>
      <w:r>
        <w:rPr>
          <w:i/>
          <w:b w:val="0"/>
        </w:rPr>
        <w:t xml:space="preserve">provádění povinnosti stanovené v článku L. 541-9-1 zákona o životním prostředí, týkající se informování spotřebitelů</w:t>
      </w:r>
      <w:r>
        <w:rPr>
          <w:i/>
        </w:rPr>
        <w:t xml:space="preserve"> </w:t>
      </w:r>
      <w:r>
        <w:rPr>
          <w:i/>
          <w:b w:val="0"/>
        </w:rPr>
        <w:t xml:space="preserve">o environmentálních kvalitách a vlastnostech</w:t>
      </w:r>
      <w:r>
        <w:rPr>
          <w:i/>
        </w:rPr>
        <w:t xml:space="preserve"> </w:t>
      </w:r>
      <w:r>
        <w:rPr>
          <w:i/>
          <w:b w:val="0"/>
        </w:rPr>
        <w:t xml:space="preserve">výrobků produkujících odpad.</w:t>
      </w:r>
      <w:r>
        <w:rPr>
          <w:i/>
          <w:b w:val="0"/>
        </w:rPr>
        <w:t xml:space="preserve"> </w:t>
      </w:r>
    </w:p>
    <w:p w14:paraId="62BABF54" w14:textId="77777777" w:rsidR="00A0611F" w:rsidRPr="00C16AC7" w:rsidRDefault="00A0611F" w:rsidP="00A0611F">
      <w:pPr>
        <w:pStyle w:val="SNAutorit"/>
        <w:spacing w:before="120"/>
        <w:rPr>
          <w:i/>
        </w:rPr>
      </w:pPr>
      <w:r>
        <w:rPr>
          <w:i/>
        </w:rPr>
        <w:t xml:space="preserve">Vstup v platnost: </w:t>
      </w:r>
      <w:r>
        <w:rPr>
          <w:i/>
          <w:b w:val="0"/>
        </w:rPr>
        <w:t xml:space="preserve">text vstupuje v platnost 1. ledna 2022.</w:t>
      </w:r>
    </w:p>
    <w:p w14:paraId="314AD767" w14:textId="5FEC2270" w:rsidR="00A0611F" w:rsidRPr="000A37F2" w:rsidRDefault="00A0611F" w:rsidP="00A0611F">
      <w:pPr>
        <w:pStyle w:val="SNAutorit"/>
        <w:spacing w:before="120"/>
        <w:jc w:val="both"/>
        <w:rPr>
          <w:b w:val="0"/>
        </w:rPr>
      </w:pPr>
      <w:r>
        <w:t xml:space="preserve">Upozornění: </w:t>
      </w:r>
      <w:r>
        <w:rPr>
          <w:b w:val="0"/>
        </w:rPr>
        <w:t xml:space="preserve">vyhláška stanoví prováděcí pravidla k článku L. 541-9-1 zákona o životním prostředí, který poskytuje spotřebitelům, výrobcům a dovozcům náležité informace o environmentálních vlastnostech a vlastnostech výrobků produkujících odpady – pojmy definované v tomto textu.</w:t>
      </w:r>
      <w:r>
        <w:rPr>
          <w:b w:val="0"/>
        </w:rPr>
        <w:t xml:space="preserve"> </w:t>
      </w:r>
      <w:r>
        <w:rPr>
          <w:b w:val="0"/>
        </w:rPr>
        <w:t xml:space="preserve">Tyto informace se zpřístupní elektronicky a případně v souladu s postupy stanovenými objednávkou, zobrazením, označováním nebo jakýmkoli jiným čitelným a srozumitelným prostředkem v době nákupu.</w:t>
      </w:r>
      <w:r>
        <w:rPr>
          <w:b w:val="0"/>
        </w:rPr>
        <w:t xml:space="preserve"> </w:t>
      </w:r>
      <w:r>
        <w:rPr>
          <w:b w:val="0"/>
        </w:rPr>
        <w:t xml:space="preserve">Tyto environmentální vlastnosti a vlastnosti zahrnují v závislosti na kategoriích dotčených výrobků začlenění recyklovaného materiálu, využívání obnovitelných zdrojů, udržitelnost, kompostovatelnost, opravitelnost, možnosti opětovného použití, recyklovatelnost, přítomnost nebezpečných látek, drahých kovů nebo kovů vzácných zemin, sledovatelnost a přítomnost plastových mikrovláken.</w:t>
      </w:r>
      <w:r>
        <w:rPr>
          <w:b w:val="0"/>
        </w:rPr>
        <w:t xml:space="preserve"> </w:t>
      </w:r>
      <w:r>
        <w:rPr>
          <w:b w:val="0"/>
        </w:rPr>
        <w:t xml:space="preserve">Formát pro zpřístupnění údajů o těchto environmentálních vlastnostech a vlastnostech spotřebitelům musí být snadno opětovně použitelný a použitelný automatizovaným systémem zpracování v souhrnné podobě.</w:t>
      </w:r>
      <w:r>
        <w:rPr>
          <w:b w:val="0"/>
        </w:rPr>
        <w:t xml:space="preserve"> </w:t>
      </w:r>
    </w:p>
    <w:p w14:paraId="1F3654C0" w14:textId="77777777" w:rsidR="00A0611F" w:rsidRPr="00C16AC7" w:rsidRDefault="00A0611F" w:rsidP="00A0611F">
      <w:pPr>
        <w:pStyle w:val="SNAutorit"/>
        <w:spacing w:before="120"/>
        <w:jc w:val="both"/>
      </w:pPr>
      <w:r>
        <w:rPr>
          <w:i/>
        </w:rPr>
        <w:t xml:space="preserve">Odkazy: </w:t>
      </w:r>
      <w:r>
        <w:rPr>
          <w:i/>
          <w:b w:val="0"/>
        </w:rPr>
        <w:t xml:space="preserve">tato vyhláška je k dispozici na internetových stránkách Légifrance (</w:t>
      </w:r>
      <w:hyperlink r:id="rId8">
        <w:r>
          <w:rPr>
            <w:rStyle w:val="LienInternet"/>
            <w:b w:val="0"/>
            <w:i/>
            <w:color w:val="auto"/>
          </w:rPr>
          <w:t xml:space="preserve">http://www.legifrance.gouv.fr</w:t>
        </w:r>
      </w:hyperlink>
      <w:r>
        <w:rPr>
          <w:b w:val="0"/>
          <w:i/>
        </w:rPr>
        <w:t xml:space="preserve">).]</w:t>
      </w:r>
    </w:p>
    <w:p w14:paraId="025E046C" w14:textId="77777777" w:rsidR="00A0611F" w:rsidRPr="00C16AC7" w:rsidRDefault="00A0611F" w:rsidP="00A0611F">
      <w:pPr>
        <w:pStyle w:val="SNAutorit"/>
        <w:spacing w:before="120"/>
        <w:jc w:val="both"/>
      </w:pPr>
      <w:r>
        <w:br w:type="page"/>
      </w:r>
      <w:r>
        <w:t xml:space="preserve">Předseda vlády,</w:t>
      </w:r>
    </w:p>
    <w:p w14:paraId="6BDC5F53" w14:textId="77777777" w:rsidR="00A0611F" w:rsidRDefault="00A0611F" w:rsidP="00A0611F">
      <w:pPr>
        <w:pStyle w:val="SNConsultation"/>
      </w:pPr>
      <w:r>
        <w:t xml:space="preserve">ke zprávě ministryně pro ekologickou transformaci a ministra hospodářství, financí a obnovy;</w:t>
      </w:r>
    </w:p>
    <w:p w14:paraId="0041E6EC" w14:textId="5BE41CC7" w:rsidR="00A0611F" w:rsidRDefault="00A0611F" w:rsidP="00A0611F">
      <w:pPr>
        <w:pStyle w:val="SNConsultation"/>
      </w:pPr>
      <w:r>
        <w:t xml:space="preserve">s ohledem na nařízení Evropského parlamentu a Rady (ES) č. 1907/2006 ze dne 18. prosince 2006 o registraci, hodnocení, povolování a omezování chemických látek, o zřízení Evropské agentury pro chemické látky, o změně směrnice 1999/45/ES a o zrušení nařízení Rady (EHS) č. 793/93, nařízení Komise (ES) č. 1488/94, směrnice Rady 76/769/EHS a směrnic Komise 91/155/EHS, 93/67/EHS, 93/105/ES a 2000/21/ES;</w:t>
      </w:r>
    </w:p>
    <w:p w14:paraId="5930E205" w14:textId="701290A8" w:rsidR="00A761D3" w:rsidRPr="00C16AC7" w:rsidRDefault="00A761D3" w:rsidP="00A0611F">
      <w:pPr>
        <w:pStyle w:val="SNConsultation"/>
      </w:pPr>
      <w:r>
        <w:t xml:space="preserve">s ohledem na směrnici Evropského parlamentu a Rady 94/62/ES ze dne 20. prosince 1994 (v posledním znění) o obalech a odpadních obalech;</w:t>
      </w:r>
    </w:p>
    <w:p w14:paraId="7B44A833" w14:textId="7A5E5858" w:rsidR="00A0611F" w:rsidRPr="00C16AC7" w:rsidRDefault="00A0611F" w:rsidP="00A0611F">
      <w:pPr>
        <w:pStyle w:val="SNConsultation"/>
      </w:pPr>
      <w:r>
        <w:t xml:space="preserve">s ohledem na směrnici Evropského parlamentu a Rady (EU) 2018/851 ze dne 30. května 2018, kterou se mění směrnice 2008/98/ES o odpadech;</w:t>
      </w:r>
    </w:p>
    <w:p w14:paraId="13F59CC6" w14:textId="3A902BF1" w:rsidR="00A0611F" w:rsidRDefault="00A0611F" w:rsidP="00A0611F">
      <w:pPr>
        <w:pStyle w:val="SNConsultation"/>
      </w:pPr>
      <w:r>
        <w:t xml:space="preserve">s ohledem na směrnici Evropského parlamentu a Rady (EU) 2015/1535 ze dne 9. září 2015 o postupu při poskytování informací v oblasti technických předpisů a pravidel pro služby informační společnosti;</w:t>
      </w:r>
    </w:p>
    <w:p w14:paraId="47F284B5" w14:textId="5839C8F9" w:rsidR="008B2B99" w:rsidRDefault="008B2B99" w:rsidP="00A0611F">
      <w:pPr>
        <w:pStyle w:val="SNConsultation"/>
      </w:pPr>
      <w:r>
        <w:t xml:space="preserve">s ohledem na spotřebitelský zákoník, a zejména na jeho úvodní článek;</w:t>
      </w:r>
    </w:p>
    <w:p w14:paraId="508C1D8A" w14:textId="512931AA" w:rsidR="00A0611F" w:rsidRPr="00C16AC7" w:rsidRDefault="00A0611F" w:rsidP="00A0611F">
      <w:pPr>
        <w:pStyle w:val="SNConsultation"/>
      </w:pPr>
      <w:r>
        <w:t xml:space="preserve">s ohledem na zákon o výstavbě a bydlení, a zejména na článek L. 111-9-2 tohoto zákona;</w:t>
      </w:r>
    </w:p>
    <w:p w14:paraId="2A560728" w14:textId="77777777" w:rsidR="00A0611F" w:rsidRDefault="00A0611F" w:rsidP="00A0611F">
      <w:pPr>
        <w:pStyle w:val="SNConsultation"/>
      </w:pPr>
      <w:r>
        <w:t xml:space="preserve">s ohledem na zákon o životním prostředí;</w:t>
      </w:r>
    </w:p>
    <w:p w14:paraId="415D6312" w14:textId="385EEBF1" w:rsidR="00A0611F" w:rsidRDefault="00A0611F" w:rsidP="00A0611F">
      <w:pPr>
        <w:pStyle w:val="SNConsultation"/>
      </w:pPr>
      <w:r>
        <w:t xml:space="preserve">s ohledem na stanovisko Nejvyšší rady pro stavebnictví a energetickou účinnost ze dne [X];</w:t>
      </w:r>
    </w:p>
    <w:p w14:paraId="36AE85B4" w14:textId="77777777" w:rsidR="00A0611F" w:rsidRPr="00C16AC7" w:rsidRDefault="00A0611F" w:rsidP="00A0611F">
      <w:pPr>
        <w:pStyle w:val="SNConsultation"/>
      </w:pPr>
      <w:r>
        <w:t xml:space="preserve">s ohledem na připomínky vznesené během veřejné konzultace, která proběhla v době od XX do XX podle článku L123-19-1 zákoníku životního prostředí;</w:t>
      </w:r>
    </w:p>
    <w:p w14:paraId="604C0DE6" w14:textId="43974623" w:rsidR="00A0611F" w:rsidRPr="00C16AC7" w:rsidRDefault="00A0611F" w:rsidP="00A0611F">
      <w:pPr>
        <w:pStyle w:val="SNConsultation"/>
      </w:pPr>
      <w:r>
        <w:t xml:space="preserve">s ohledem na oznámení zaslané dne XX Evropské komisi podle směrnice (EU) 2015/1535 a směrnice (EU) 94/62/ES;</w:t>
      </w:r>
    </w:p>
    <w:p w14:paraId="60BE23A5" w14:textId="77777777" w:rsidR="00A0611F" w:rsidRDefault="00A0611F" w:rsidP="00A0611F">
      <w:pPr>
        <w:pStyle w:val="SNConsultation"/>
      </w:pPr>
      <w:r>
        <w:t xml:space="preserve">po vyslechnutí Státní rady (odbor veřejných prací),</w:t>
      </w:r>
    </w:p>
    <w:p w14:paraId="56B6EC0E" w14:textId="77777777" w:rsidR="00A0611F" w:rsidRDefault="00A0611F" w:rsidP="00A0611F">
      <w:pPr>
        <w:pStyle w:val="Corpsdetexte"/>
        <w:keepNext/>
        <w:keepLines/>
        <w:jc w:val="center"/>
        <w:rPr>
          <w:b/>
        </w:rPr>
      </w:pPr>
      <w:r>
        <w:rPr>
          <w:b/>
        </w:rPr>
        <w:t xml:space="preserve">tímto nařizuje:</w:t>
      </w:r>
    </w:p>
    <w:p w14:paraId="428AB153" w14:textId="77777777" w:rsidR="00A0611F" w:rsidRDefault="00A0611F" w:rsidP="00A0611F">
      <w:pPr>
        <w:pStyle w:val="Corpsdetexte"/>
        <w:keepNext/>
        <w:keepLines/>
        <w:jc w:val="center"/>
        <w:rPr>
          <w:b/>
        </w:rPr>
      </w:pPr>
      <w:r>
        <w:rPr>
          <w:b/>
        </w:rPr>
        <w:t xml:space="preserve">Článek 1</w:t>
      </w:r>
    </w:p>
    <w:p w14:paraId="5DC187A1" w14:textId="313CD2F5" w:rsidR="00A0611F" w:rsidRDefault="00A0611F" w:rsidP="00A06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Oddíl 9 kapitoly I hlavy IV knihy V regulační části zákona o životním prostředí se doplňuje pododdílem 3 takto:</w:t>
      </w:r>
    </w:p>
    <w:p w14:paraId="647D1A75" w14:textId="254D6A26" w:rsidR="00A0611F" w:rsidRDefault="00A0611F" w:rsidP="00A06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„Pododdíl 3</w:t>
      </w:r>
    </w:p>
    <w:p w14:paraId="2E6CD4B8" w14:textId="23850E9E" w:rsidR="00A0611F" w:rsidRDefault="00A0611F" w:rsidP="00A06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„Informace pro spotřebitele o environmentálních vlastnostech a vlastnostech výrobků produkujících odpad</w:t>
      </w:r>
    </w:p>
    <w:p w14:paraId="202964FF" w14:textId="77777777" w:rsidR="00A0611F" w:rsidRDefault="00A0611F" w:rsidP="00A0611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6F144F6B" w14:textId="2DFFB193" w:rsidR="00A0611F" w:rsidRDefault="00A0611F" w:rsidP="00A0611F">
      <w:pPr>
        <w:pStyle w:val="Corpsdetexte"/>
        <w:keepNext/>
        <w:keepLines/>
      </w:pPr>
      <w:bookmarkStart w:id="1" w:name="_heading=h.gjdgxs"/>
      <w:bookmarkEnd w:id="1"/>
      <w:r>
        <w:t xml:space="preserve">„Článek R. 541-220.- Kvality a vlastnosti výrobků produkujících odpady z hlediska životního prostředí jsou chápány jako vlastnosti určené k informování spotřebitele o podmínkách, týkajících se lepšího předcházení vzniku odpadů a nakládání s nimi.</w:t>
      </w:r>
      <w:r>
        <w:t xml:space="preserve"> </w:t>
      </w:r>
    </w:p>
    <w:p w14:paraId="5F88AAEC" w14:textId="396A898B" w:rsidR="000C090F" w:rsidRDefault="000C090F" w:rsidP="000C090F">
      <w:pPr>
        <w:pStyle w:val="Corpsdetexte"/>
        <w:keepNext/>
        <w:keepLines/>
      </w:pPr>
      <w:r>
        <w:t xml:space="preserve">Výrobky uváděné na trh uvedené v článku R. 541-221, určené pro spotřebitele, spadají do oblasti působnosti informací o environmentálních vlastnostech a vlastnostech podle tohoto pododdílu.</w:t>
      </w:r>
      <w:r>
        <w:t xml:space="preserve"> </w:t>
      </w:r>
    </w:p>
    <w:p w14:paraId="286C1C3E" w14:textId="77777777" w:rsidR="000C090F" w:rsidRDefault="000C090F" w:rsidP="000C090F">
      <w:pPr>
        <w:pStyle w:val="Corpsdetexte"/>
        <w:keepNext/>
        <w:keepLines/>
      </w:pPr>
    </w:p>
    <w:p w14:paraId="68C14776" w14:textId="124BA328" w:rsidR="00A0611F" w:rsidRPr="00246797" w:rsidRDefault="00A0611F" w:rsidP="00A0611F">
      <w:pPr>
        <w:pStyle w:val="Corpsdetexte"/>
        <w:keepNext/>
        <w:keepLines/>
      </w:pPr>
      <w:r>
        <w:t xml:space="preserve">„Článek R. 541-221.- I.- Elektrická nebo elektronická zařízení, na něž se vztahuje index opravitelnosti a index trvanlivosti definovaný podle článku L. 541-9-2, spadají do působnosti informací pro spotřebitele o </w:t>
      </w:r>
      <w:r>
        <w:rPr>
          <w:b/>
        </w:rPr>
        <w:t xml:space="preserve">opravitelnosti</w:t>
      </w:r>
      <w:r>
        <w:t xml:space="preserve"> a </w:t>
      </w:r>
      <w:r>
        <w:rPr>
          <w:b/>
        </w:rPr>
        <w:t xml:space="preserve">trvanlivost</w:t>
      </w:r>
      <w:r>
        <w:t xml:space="preserve">.</w:t>
      </w:r>
    </w:p>
    <w:p w14:paraId="59DF58F3" w14:textId="60685F35" w:rsidR="00A0611F" w:rsidRDefault="00A0611F" w:rsidP="00A0611F">
      <w:pPr>
        <w:pStyle w:val="Corpsdetexte"/>
        <w:keepNext/>
        <w:keepLines/>
      </w:pPr>
      <w:r>
        <w:t xml:space="preserve">Tyto informace jsou vyjádřeny ve formě zobrazení indexu oprav a od 1. ledna 2024 indexu životnosti.</w:t>
      </w:r>
    </w:p>
    <w:p w14:paraId="68644F5F" w14:textId="43B22F85" w:rsidR="00A0611F" w:rsidRPr="00613C5F" w:rsidRDefault="00A0611F" w:rsidP="00A0611F">
      <w:pPr>
        <w:pStyle w:val="Corpsdetexte"/>
        <w:keepNext/>
        <w:keepLines/>
        <w:rPr>
          <w:color w:val="000000" w:themeColor="text1"/>
        </w:rPr>
      </w:pPr>
      <w:r>
        <w:t xml:space="preserve">„II.- </w:t>
      </w:r>
      <w:r>
        <w:rPr>
          <w:color w:val="000000" w:themeColor="text1"/>
        </w:rPr>
        <w:t xml:space="preserve">Typy a kategorie kompostovatelných obalů ve smyslu článku R. 543-226 čtvrtého pododstavce, jak jsou definovány v vyhlášce XX uvádějící kompostovatelné, metanovatelné a biologicky rozložitelné obaly, které mohou být shromažďovány společně s biologickým odpadem, který byl tříděn u zdroje,</w:t>
      </w:r>
      <w:r>
        <w:t xml:space="preserve"> spadají do rozsahu informací pro spotřebitele o </w:t>
      </w:r>
      <w:r>
        <w:rPr>
          <w:b/>
        </w:rPr>
        <w:t xml:space="preserve">kompostovatelnosti</w:t>
      </w:r>
      <w:r>
        <w:t xml:space="preserve">.</w:t>
      </w:r>
    </w:p>
    <w:p w14:paraId="6B45DB55" w14:textId="0F71581A" w:rsidR="00A0611F" w:rsidRDefault="00A0611F" w:rsidP="00A0611F">
      <w:pPr>
        <w:pStyle w:val="Corpsdetexte"/>
        <w:keepNext/>
        <w:keepLines/>
        <w:rPr>
          <w:color w:val="000000" w:themeColor="text1"/>
        </w:rPr>
      </w:pPr>
      <w:r>
        <w:rPr>
          <w:color w:val="000000" w:themeColor="text1"/>
        </w:rPr>
        <w:t xml:space="preserve">Tato informace musí být vyjádřena odkazem na výraz „kompostovatelný obal“.</w:t>
      </w:r>
    </w:p>
    <w:p w14:paraId="61E2D05B" w14:textId="651D147C" w:rsidR="008B2B99" w:rsidRPr="00A92A15" w:rsidRDefault="008B2B99" w:rsidP="00A0611F">
      <w:pPr>
        <w:pStyle w:val="Corpsdetexte"/>
        <w:keepNext/>
        <w:keepLines/>
        <w:rPr>
          <w:color w:val="000000" w:themeColor="text1"/>
        </w:rPr>
      </w:pPr>
      <w:r>
        <w:t xml:space="preserve">Plastové výrobky a obaly, jejichž kompostovatelnosti lze dosáhnout pouze v průmyslové jednotce, nesmějí být označeny jako „kompostovatelné“.</w:t>
      </w:r>
      <w:r>
        <w:t xml:space="preserve"> </w:t>
      </w:r>
      <w:r>
        <w:t xml:space="preserve">Ty, které jsou kompostovatelné buď na domácím nebo průmyslovém základě, musí být označeny slovy „Neodhazujte do přírody“.</w:t>
      </w:r>
    </w:p>
    <w:p w14:paraId="71FC3454" w14:textId="010DA849" w:rsidR="00A0611F" w:rsidRPr="00613C5F" w:rsidRDefault="00A0611F" w:rsidP="00A0611F">
      <w:pPr>
        <w:pStyle w:val="SNConsultation"/>
        <w:ind w:firstLine="0"/>
        <w:rPr>
          <w:color w:val="000000" w:themeColor="text1"/>
        </w:rPr>
      </w:pPr>
      <w:r>
        <w:rPr>
          <w:color w:val="000000" w:themeColor="text1"/>
        </w:rPr>
        <w:t xml:space="preserve">„III.-</w:t>
      </w:r>
      <w:r>
        <w:rPr>
          <w:color w:val="000000" w:themeColor="text1"/>
          <w:b/>
        </w:rPr>
        <w:t xml:space="preserve">Zabudování recyklovaného materiálu</w:t>
      </w:r>
      <w:r>
        <w:rPr>
          <w:color w:val="000000" w:themeColor="text1"/>
        </w:rPr>
        <w:t xml:space="preserve"> se měří jako celkový podíl hmotnosti materiálů, získaných z recyklace ve smyslu článku L. 541-1-1.</w:t>
      </w:r>
    </w:p>
    <w:p w14:paraId="73705C72" w14:textId="19067C16" w:rsidR="00A0611F" w:rsidRDefault="00A0611F" w:rsidP="00A0611F">
      <w:pPr>
        <w:pStyle w:val="SNConsultation"/>
        <w:ind w:firstLine="0"/>
        <w:rPr>
          <w:highlight w:val="yellow"/>
        </w:rPr>
      </w:pPr>
      <w:r>
        <w:t xml:space="preserve">Kategorie výrobků uvedené v odstavci 3 [tištěný papír, kromě knih a papíru pro grafické účely], odstavci 5 [elektrická a elektronická </w:t>
      </w:r>
      <w:r>
        <w:rPr>
          <w:rFonts w:ascii="Times New Roman ,serif" w:hAnsi="Times New Roman ,serif"/>
        </w:rPr>
        <w:t xml:space="preserve">zařízení</w:t>
      </w:r>
      <w:r>
        <w:t xml:space="preserve">], odstavci 6 [baterie a akumulátory], odstavci 7 [kontejnery a obsah chemických výrobků], odstavci 10 [zařízení], odstavci 11 [textilní výrobky], s výjimkou kožených výrobků, odstavci 13 [sportovní a volnočasové potřeby], odstavci 14 [kutilské a zahradnické potřeby] a odstavci 15 [vozidla] článku L. 541-10-1, spadají do působnosti informací pro spotřebitele o začlenění recyklovaného materiálu.</w:t>
      </w:r>
    </w:p>
    <w:p w14:paraId="7A9EF18F" w14:textId="22DE6F1B" w:rsidR="008F2569" w:rsidRDefault="00A0611F" w:rsidP="00A0611F">
      <w:pPr>
        <w:pStyle w:val="SNConsultation"/>
        <w:ind w:firstLine="0"/>
      </w:pPr>
      <w:r>
        <w:t xml:space="preserve">Tyto informace se u těchto výrobků vyjádří odkazem na výraz „výrobek obsahující alespoň [%] recyklovaných materiálů“.</w:t>
      </w:r>
    </w:p>
    <w:p w14:paraId="058FC329" w14:textId="104883FB" w:rsidR="00BD4A74" w:rsidRDefault="00BD4A74" w:rsidP="00A0611F">
      <w:pPr>
        <w:pStyle w:val="SNConsultation"/>
        <w:ind w:firstLine="0"/>
      </w:pPr>
      <w:r>
        <w:t xml:space="preserve">Obaly uvedené v 1° [obaly používané k uvádění výrobků spotřebovávaných nebo používaných domácnostmi včetně těch, které jsou spotřebovávány mimo domov] článku L. 541-10-1 spadají do oblasti působnosti informací pro spotřebitele o začlenění recyklovaného materiálu.</w:t>
      </w:r>
      <w:r>
        <w:t xml:space="preserve"> </w:t>
      </w:r>
      <w:r>
        <w:t xml:space="preserve">Tyto informace se u těchto výrobků vyjádří odkazem na výraz „obaly obsahující alespoň [%] recyklovaných materiálů“.</w:t>
      </w:r>
    </w:p>
    <w:p w14:paraId="20E447D6" w14:textId="3CD4EEA1" w:rsidR="00D76667" w:rsidRDefault="00A0611F" w:rsidP="00A0611F">
      <w:pPr>
        <w:pStyle w:val="SNConsultation"/>
        <w:ind w:firstLine="0"/>
      </w:pPr>
      <w:r>
        <w:rPr>
          <w:b/>
        </w:rPr>
        <w:t xml:space="preserve">„</w:t>
      </w:r>
      <w:r>
        <w:t xml:space="preserve">IV.</w:t>
      </w:r>
      <w:r>
        <w:rPr>
          <w:b/>
        </w:rPr>
        <w:t xml:space="preserve">- </w:t>
      </w:r>
      <w:r>
        <w:t xml:space="preserve">Stavební materiály uvedené v článku L. 541-10-1 odst. 4 a podléhající dobrovolnému zobrazení, definovanému v článku L. 111-9-2 odst. 5 zákona o výstavbě a bydlení, spadají do oblasti působnosti informací pro spotřebitele o </w:t>
      </w:r>
      <w:r>
        <w:rPr>
          <w:b/>
          <w:b/>
          <w:bCs/>
        </w:rPr>
        <w:t xml:space="preserve">vy</w:t>
      </w:r>
      <w:r>
        <w:rPr>
          <w:b/>
        </w:rPr>
        <w:t xml:space="preserve">užívání obnovitelných zdrojů.</w:t>
      </w:r>
      <w:r>
        <w:t xml:space="preserve"> </w:t>
      </w:r>
    </w:p>
    <w:p w14:paraId="23EA8376" w14:textId="431C9F30" w:rsidR="00A0611F" w:rsidRPr="00A92A15" w:rsidRDefault="00A0611F" w:rsidP="00A0611F">
      <w:pPr>
        <w:pStyle w:val="SNConsultation"/>
        <w:ind w:firstLine="0"/>
      </w:pPr>
      <w:r>
        <w:t xml:space="preserve">Tyto informace se vyjadřují za podmínek stanovených v článku L. 111-9-2 odst. 5 zákona o výstavbě a bydlení.</w:t>
      </w:r>
      <w:r>
        <w:t xml:space="preserve"> </w:t>
      </w:r>
    </w:p>
    <w:p w14:paraId="76C21909" w14:textId="7AF3A523" w:rsidR="00A0611F" w:rsidRPr="00CE42FD" w:rsidRDefault="00A0611F" w:rsidP="00A0611F">
      <w:pPr>
        <w:pStyle w:val="SNConsultation"/>
        <w:ind w:firstLine="0"/>
      </w:pPr>
      <w:r>
        <w:t xml:space="preserve">„V.-</w:t>
      </w:r>
      <w:r>
        <w:rPr>
          <w:b/>
        </w:rPr>
        <w:t xml:space="preserve"> Možnosti opětovného použití </w:t>
      </w:r>
      <w:r>
        <w:t xml:space="preserve">znamenají možnosti, aby byl výrobek navržen, vytvořen a uveden na trh, aby mohl být znovu použit pro stejné použití, jako je použití, pro které byl navržen, aniž by získal status odpadu, v souladu s ustanoveními článku L. 541-1-1.</w:t>
      </w:r>
    </w:p>
    <w:p w14:paraId="0F475FF0" w14:textId="548885AC" w:rsidR="00A0611F" w:rsidRPr="00CE42FD" w:rsidRDefault="00A0611F" w:rsidP="00A0611F">
      <w:pPr>
        <w:pStyle w:val="SNConsultation"/>
        <w:ind w:firstLine="0"/>
      </w:pPr>
      <w:r>
        <w:t xml:space="preserve">Obaly uvedené v článku L.541-10-1 odst. 1 [obaly používané k prodeji výrobků spotřebovávaných nebo používaných domácnostmi, včetně obalů spotřebovaných mimo domácnost] spadají do oblasti působnosti informací pro spotřebitele o možnostech opakovaného použití.</w:t>
      </w:r>
    </w:p>
    <w:p w14:paraId="403842CB" w14:textId="50DC367E" w:rsidR="00A0611F" w:rsidRPr="00CE42FD" w:rsidRDefault="00A0611F" w:rsidP="00A0611F">
      <w:pPr>
        <w:pStyle w:val="SNConsultation"/>
        <w:ind w:firstLine="0"/>
      </w:pPr>
      <w:r>
        <w:t xml:space="preserve">Tato informace musí být vyjádřena odkazem na výraz „opakovatelný obal“ nebo „opětovně plnitelný obal“.</w:t>
      </w:r>
    </w:p>
    <w:p w14:paraId="35CCA859" w14:textId="77777777" w:rsidR="00FE3AAB" w:rsidRPr="00217E2F" w:rsidRDefault="00FE3AAB" w:rsidP="00FE3AAB">
      <w:pPr>
        <w:pStyle w:val="SNConsultation"/>
        <w:ind w:firstLine="0"/>
      </w:pPr>
      <w:r>
        <w:t xml:space="preserve">„VI.-</w:t>
      </w:r>
      <w:r>
        <w:rPr>
          <w:b/>
        </w:rPr>
        <w:t xml:space="preserve"> Recyklovatelnost </w:t>
      </w:r>
      <w:r>
        <w:t xml:space="preserve">znamená efektivní recyklační kapacitu odpadu ze stejných nebo podobných výrobků.</w:t>
      </w:r>
      <w:r>
        <w:t xml:space="preserve"> </w:t>
      </w:r>
      <w:r>
        <w:t xml:space="preserve">Recyklovatelnost je pro tyto odpady charakterizována jako:</w:t>
      </w:r>
    </w:p>
    <w:p w14:paraId="07633EFE" w14:textId="77777777" w:rsidR="00FE3AAB" w:rsidRPr="00217E2F" w:rsidRDefault="00FE3AAB" w:rsidP="00FE3AAB">
      <w:pPr>
        <w:pStyle w:val="SNConsultation"/>
        <w:ind w:firstLine="0"/>
      </w:pPr>
      <w:r>
        <w:t xml:space="preserve">(1) schopnost účinně je sbírat na místní úrovni prostřednictvím přístupu obyvatelstva k místním sběrným místům</w:t>
      </w:r>
    </w:p>
    <w:p w14:paraId="057455E4" w14:textId="48F09CE3" w:rsidR="00FE3AAB" w:rsidRPr="00217E2F" w:rsidRDefault="00FE3AAB" w:rsidP="00FE3AAB">
      <w:pPr>
        <w:pStyle w:val="SNConsultation"/>
        <w:ind w:firstLine="0"/>
      </w:pPr>
      <w:r>
        <w:t xml:space="preserve">(2) schopnost třídit je, tj. směrovat do určitých recyklačních kanálů, aby mohly být recyklovány</w:t>
      </w:r>
    </w:p>
    <w:p w14:paraId="5B0FC778" w14:textId="77777777" w:rsidR="00FE3AAB" w:rsidRPr="00217E2F" w:rsidRDefault="00FE3AAB" w:rsidP="00FE3AAB">
      <w:pPr>
        <w:pStyle w:val="SNConsultation"/>
        <w:ind w:firstLine="0"/>
      </w:pPr>
      <w:r>
        <w:t xml:space="preserve">(3) absence prvků nebo látek, které by narušily třídění, recyklaci nebo použití recyklovaného materiálu</w:t>
      </w:r>
    </w:p>
    <w:p w14:paraId="076436EA" w14:textId="77777777" w:rsidR="00FE3AAB" w:rsidRPr="00217E2F" w:rsidRDefault="00FE3AAB" w:rsidP="00FE3AAB">
      <w:pPr>
        <w:pStyle w:val="SNConsultation"/>
        <w:ind w:firstLine="0"/>
      </w:pPr>
      <w:r>
        <w:t xml:space="preserve">(4) dosah, v jakém recyklovaný materiál, vyprodukovaný použitými procesy recyklace, představuje více než 50 % většiny sebraného odpadu</w:t>
      </w:r>
    </w:p>
    <w:p w14:paraId="2A9B6D33" w14:textId="77777777" w:rsidR="00FE3AAB" w:rsidRPr="00217E2F" w:rsidRDefault="00FE3AAB" w:rsidP="00FE3AAB">
      <w:pPr>
        <w:pStyle w:val="SNConsultation"/>
        <w:ind w:firstLine="0"/>
      </w:pPr>
      <w:r>
        <w:t xml:space="preserve">(5) schopnost recyklovat v průmyslovém měřítku a v praxi, zejména prostřednictvím záruky, že kvalita získaného recyklovaného materiálu je dostatečná k zajištění udržitelnosti odbytu a že recyklační řetězec může prokázat dostatečnou schopnost převzít odpovědnost za výrobky, které do něj mohou být začleněny.</w:t>
      </w:r>
      <w:r>
        <w:t xml:space="preserve"> </w:t>
      </w:r>
    </w:p>
    <w:p w14:paraId="27B90E3A" w14:textId="589EF154" w:rsidR="00FE3AAB" w:rsidRPr="00217E2F" w:rsidRDefault="00FE3AAB" w:rsidP="00FE3AAB">
      <w:pPr>
        <w:pStyle w:val="SNConsultation"/>
        <w:ind w:firstLine="0"/>
      </w:pPr>
      <w:r>
        <w:t xml:space="preserve">Informace o recyklovatelnosti se spotřebiteli zpřístupní za použití slov „recyklovatelný výrobek“ nebo „recyklovatelný obal“, pokud je těchto pět kritérií splněno.</w:t>
      </w:r>
      <w:r>
        <w:t xml:space="preserve"> </w:t>
      </w:r>
      <w:r>
        <w:t xml:space="preserve">Pokud recyklovaný materiál, vyprodukovaný recyklačními procesy, představuje více než 95 % většiny sebraného odpadu, mohou být připojena slova „plně recyklovatelný výrobek“.</w:t>
      </w:r>
    </w:p>
    <w:p w14:paraId="0163929A" w14:textId="262CE4D1" w:rsidR="00FE3AAB" w:rsidRPr="00217E2F" w:rsidRDefault="00FE3AAB" w:rsidP="00FE3AAB">
      <w:pPr>
        <w:pStyle w:val="SNConsultation"/>
        <w:ind w:firstLine="0"/>
      </w:pPr>
      <w:r>
        <w:t xml:space="preserve">Tuto skutečnost sdělí výrobci ekologická organizace, na kterou převedl svou povinnost rozšířené odpovědnosti podle článku L. 541-10.</w:t>
      </w:r>
      <w:r>
        <w:t xml:space="preserve"> </w:t>
      </w:r>
      <w:r>
        <w:t xml:space="preserve">Pokud výrobce zavedl individuální systém rozšířené odpovědnosti, určí informace, za něž nesou odpovědnost.</w:t>
      </w:r>
    </w:p>
    <w:p w14:paraId="63FBD504" w14:textId="77777777" w:rsidR="00FE3AAB" w:rsidRPr="00217E2F" w:rsidRDefault="00FE3AAB" w:rsidP="00FE3AAB">
      <w:pPr>
        <w:pStyle w:val="SNConsultation"/>
        <w:ind w:firstLine="0"/>
      </w:pPr>
      <w:r>
        <w:t xml:space="preserve">Pokud kapacita, která má být recyklována, odpovídá recyklaci materiálů, které se převážně znovu zařazují do výrobků rovnocenné povahy, které splňují stejné použití a místo určení bez funkční ztráty materiálu, může výrobce doplnit informace o recyklovatelnosti slovy „recyklovatelný výrobek s uzavřeným cyklem“ nebo „recyklovatelný obal s uzavřeným cyklem“.</w:t>
      </w:r>
    </w:p>
    <w:p w14:paraId="7E934972" w14:textId="3D73E894" w:rsidR="00BD4A74" w:rsidRPr="00FE3AAB" w:rsidRDefault="00FE3AAB" w:rsidP="00A0611F">
      <w:pPr>
        <w:pStyle w:val="SNConsultation"/>
        <w:ind w:firstLine="0"/>
      </w:pPr>
      <w:r>
        <w:t xml:space="preserve">Kategorie výrobků uvedených v odstavci 1 [baleních používaných k uvádění výrobků, spotřebovávaných nebo používaných domácnostmi, včetně těch, které jsou spotřebovávány mimo domov], odstavci 3 [tištěný papír, kromě knih a papíru pro grafické účely], odstavci 4 [stavební výrobky nebo materiály] odstavci 5 [elektrická a elektronická zařízení], odstavci 6 [baterie a akumulátory], odstavci 7, pokud jde o kontejnerů [kontejnery na chemikálie], odstavci 10 [zařizovací prvky], odstavci 11 [textilní výrobky], odstavci 12 [hračky, na které se nevztahuje zásada rozšířené odpovědnosti výrobce v rámci jiné kategorie], odstavci 13 [sportovní a volnočasové potřeby], odstavci 14 [kutilské a zahradnické potřeby] a odstavci 15 [vozidla] článku L. 541-10-1 spadají do oblasti působnosti informací pro spotřebitele o recyklovatelnosti.</w:t>
      </w:r>
    </w:p>
    <w:p w14:paraId="0718C702" w14:textId="77777777" w:rsidR="00A0611F" w:rsidRDefault="00A0611F" w:rsidP="00A0611F">
      <w:pPr>
        <w:pStyle w:val="SNConsultation"/>
        <w:ind w:firstLine="0"/>
      </w:pPr>
      <w:r>
        <w:t xml:space="preserve">„VII.-</w:t>
      </w:r>
      <w:r>
        <w:rPr>
          <w:b/>
        </w:rPr>
        <w:t xml:space="preserve"> </w:t>
      </w:r>
      <w:r>
        <w:t xml:space="preserve">Následující kovy: zlato, stříbro, platina a palladium spadají do rozsahu informací pro spotřebitele o </w:t>
      </w:r>
      <w:r>
        <w:rPr>
          <w:b/>
        </w:rPr>
        <w:t xml:space="preserve">přítomnosti drahých kovů</w:t>
      </w:r>
      <w:r>
        <w:t xml:space="preserve">.</w:t>
      </w:r>
      <w:r>
        <w:t xml:space="preserve">  </w:t>
      </w:r>
    </w:p>
    <w:p w14:paraId="5C974967" w14:textId="67EF72F5" w:rsidR="00A0611F" w:rsidRPr="00501103" w:rsidRDefault="00A0611F" w:rsidP="00A0611F">
      <w:pPr>
        <w:pStyle w:val="SNConsultation"/>
        <w:ind w:firstLine="0"/>
        <w:rPr>
          <w:b/>
        </w:rPr>
      </w:pPr>
      <w:r>
        <w:t xml:space="preserve">Informace o drahých kovech jsou z důvodu jejich vysoké environmentální hodnoty k dispozici pro kategorie výrobků uvedené v článku L. 541-10-1 odst. 5 [elektrická a elektronická </w:t>
      </w:r>
      <w:r>
        <w:rPr>
          <w:rFonts w:ascii="Times New Roman ,serif" w:hAnsi="Times New Roman ,serif"/>
        </w:rPr>
        <w:t xml:space="preserve">zařízení</w:t>
      </w:r>
      <w:r>
        <w:t xml:space="preserve">] a 15 [vozidla].</w:t>
      </w:r>
    </w:p>
    <w:p w14:paraId="32E7DEAB" w14:textId="05780FDA" w:rsidR="00A0611F" w:rsidRDefault="00A0611F" w:rsidP="00A0611F">
      <w:pPr>
        <w:pStyle w:val="SNConsultation"/>
        <w:ind w:firstLine="0"/>
      </w:pPr>
      <w:r>
        <w:t xml:space="preserve">Tato informace musí být vyjádřena hmotností za předpokladu, že je větší než 1 miligram, ve formě slov „obsahuje alespoň [X miligramů] drahých kovů“.</w:t>
      </w:r>
    </w:p>
    <w:p w14:paraId="04560F54" w14:textId="77777777" w:rsidR="00A0611F" w:rsidRPr="003C2E20" w:rsidRDefault="00A0611F" w:rsidP="00A0611F">
      <w:pPr>
        <w:pStyle w:val="SNConsultation"/>
        <w:ind w:firstLine="0"/>
      </w:pPr>
      <w:r>
        <w:t xml:space="preserve">„VIII.-</w:t>
      </w:r>
      <w:r>
        <w:rPr>
          <w:b/>
        </w:rPr>
        <w:t xml:space="preserve"> </w:t>
      </w:r>
      <w:r>
        <w:t xml:space="preserve">Následující prvky: skandium, yttrium, lantan, cer, praseodym, neodym, promethium, samarium, europium, gadolinium, terbium, dysprosium, holmium, erbium, thulium, ytterbium, lutecium spadají do rozsahu informací pro spotřebitele o </w:t>
      </w:r>
      <w:r>
        <w:rPr>
          <w:b/>
        </w:rPr>
        <w:t xml:space="preserve">přítomnosti kovů vzácných zemin</w:t>
      </w:r>
      <w:r>
        <w:t xml:space="preserve">.</w:t>
      </w:r>
      <w:r>
        <w:t xml:space="preserve"> </w:t>
      </w:r>
    </w:p>
    <w:p w14:paraId="7496CEBF" w14:textId="4C8FEA67" w:rsidR="00A0611F" w:rsidRDefault="00A0611F" w:rsidP="00A0611F">
      <w:pPr>
        <w:pStyle w:val="SNConsultation"/>
        <w:ind w:firstLine="0"/>
      </w:pPr>
      <w:r>
        <w:t xml:space="preserve">Informace o kovech vzácných zemin jsou z důvodu jejich vysoké environmentální hodnoty k dispozici pro kategorie výrobků uvedené v článku L. 541-10-1 odst. 5 [elektrická a elektronická </w:t>
      </w:r>
      <w:r>
        <w:rPr>
          <w:rFonts w:ascii="Times New Roman ,serif" w:hAnsi="Times New Roman ,serif"/>
        </w:rPr>
        <w:t xml:space="preserve">zařízení</w:t>
      </w:r>
      <w:r>
        <w:t xml:space="preserve">] a 15 [vozidla].</w:t>
      </w:r>
      <w:r>
        <w:t xml:space="preserve"> </w:t>
      </w:r>
    </w:p>
    <w:p w14:paraId="58866F4B" w14:textId="33E3BCAF" w:rsidR="00A0611F" w:rsidRDefault="00A0611F" w:rsidP="00A0611F">
      <w:pPr>
        <w:pStyle w:val="SNConsultation"/>
        <w:ind w:firstLine="0"/>
      </w:pPr>
      <w:r>
        <w:t xml:space="preserve">Tato informace musí být vyjádřena hmotností za předpokladu, že je větší než 1 miligram, nápisem „obsahuje nejméně [X miligramů] kovů vzácných zemin“.</w:t>
      </w:r>
      <w:r>
        <w:t xml:space="preserve">   </w:t>
      </w:r>
    </w:p>
    <w:p w14:paraId="38687E77" w14:textId="77777777" w:rsidR="00A0611F" w:rsidRPr="00A9381C" w:rsidRDefault="00A0611F" w:rsidP="00A0611F">
      <w:pPr>
        <w:pStyle w:val="SNConsultation"/>
        <w:ind w:firstLine="0"/>
      </w:pPr>
      <w:r>
        <w:t xml:space="preserve">„IX.-</w:t>
      </w:r>
      <w:r>
        <w:rPr>
          <w:b/>
        </w:rPr>
        <w:t xml:space="preserve"> </w:t>
      </w:r>
      <w:r>
        <w:t xml:space="preserve">Informace spotřebitele o přítomnosti </w:t>
      </w:r>
      <w:r>
        <w:rPr>
          <w:b/>
        </w:rPr>
        <w:t xml:space="preserve">nebezpečné látky </w:t>
      </w:r>
      <w:r>
        <w:t xml:space="preserve">se použijí, pokud jsou přítomny v koncentraci vyšší než 0,1 % hmotnostních v látce, směsi nebo předmětu ve smyslu článku 3 bodů 1, 2 a 3 nařízení Evropského parlamentu a Rady (ES) č. 1907/2006 ze dne 18. prosince 2006 (REACH), s výjimkou léčivých přípravků.</w:t>
      </w:r>
      <w:r>
        <w:t xml:space="preserve"> </w:t>
      </w:r>
    </w:p>
    <w:p w14:paraId="1BC87C7D" w14:textId="48203F58" w:rsidR="00A0611F" w:rsidRDefault="00A0611F" w:rsidP="00A0611F">
      <w:pPr>
        <w:pStyle w:val="SNConsultation"/>
        <w:ind w:firstLine="0"/>
      </w:pPr>
      <w:r>
        <w:t xml:space="preserve">V předchozím odstavci se „nebezpečnou látkou“ rozumí jakákoli látka identifikovaná vyhláškou, vydanou podle článku L. 541-9-1 odst. I o identifikaci nebezpečných látek v odpadových výrobcích.</w:t>
      </w:r>
    </w:p>
    <w:p w14:paraId="6AA4D2A5" w14:textId="77777777" w:rsidR="00BE6889" w:rsidRDefault="00EC0018" w:rsidP="00A0611F">
      <w:pPr>
        <w:pStyle w:val="SNConsultation"/>
        <w:ind w:firstLine="0"/>
      </w:pPr>
      <w:r>
        <w:t xml:space="preserve">Tato informace se vyjádří slovy „obsahuje nebezpečnou látku“, nebo je-li přítomna nebezpečná látka uvedená v článku R. 541-219, prvním pododstavci, slovy „obsahuje látku vzbuzující mimořádné obavy“.</w:t>
      </w:r>
      <w:r>
        <w:t xml:space="preserve"> </w:t>
      </w:r>
      <w:r>
        <w:t xml:space="preserve">Informace se doplní názvem každé přítomné nebezpečné látky.</w:t>
      </w:r>
      <w:r>
        <w:t xml:space="preserve"> </w:t>
      </w:r>
      <w:r>
        <w:t xml:space="preserve">Tento způsob zpřístupnění informací se nevztahuje na:</w:t>
      </w:r>
    </w:p>
    <w:p w14:paraId="21E4639B" w14:textId="0CCB4572" w:rsidR="00C666A2" w:rsidRDefault="00C666A2" w:rsidP="00A0611F">
      <w:pPr>
        <w:pStyle w:val="SNConsultation"/>
        <w:ind w:firstLine="0"/>
      </w:pPr>
      <w:r>
        <w:t xml:space="preserve">(1) Přítomné látky, které jsou rovněž uvedeny na seznamu látek s prokázanými a předpokládanými vlastnostmi, vyvolávajícími narušení endokrinní činnosti, stanoveném vyhláškou uvedenou v článku R. 5232-19 zákoníku veřejného zdraví, na něž se vztahují informace uvedené v článku R. 5232-20 zákoníku veřejného zdraví.</w:t>
      </w:r>
    </w:p>
    <w:p w14:paraId="580BC810" w14:textId="47201403" w:rsidR="00C666A2" w:rsidRDefault="00C666A2" w:rsidP="00A0611F">
      <w:pPr>
        <w:pStyle w:val="SNConsultation"/>
        <w:ind w:firstLine="0"/>
      </w:pPr>
      <w:r>
        <w:t xml:space="preserve">(2) Přítomné látky, které jsou rovněž na seznamu látek s podezřením na vlastnosti vyvolávající narušení endokrinní činnosti, vedou pořadím uvedeným v článku R. 5232-19 II zákoníku veřejného zdraví, na něž se vztahují informace, uvedené v článku R. 5232-20 zákoníku veřejného zdraví.</w:t>
      </w:r>
    </w:p>
    <w:p w14:paraId="7C4FB52E" w14:textId="3386A922" w:rsidR="00A0611F" w:rsidRDefault="00A0611F" w:rsidP="00A0611F">
      <w:pPr>
        <w:pStyle w:val="SNConsultation"/>
        <w:ind w:firstLine="0"/>
      </w:pPr>
      <w:r>
        <w:t xml:space="preserve">Informace se zpřístupní nejpozději 18 měsíců poté, co je látka identifikována jako nebezpečná látka.</w:t>
      </w:r>
    </w:p>
    <w:p w14:paraId="5791E55D" w14:textId="5013510C" w:rsidR="00CB77AD" w:rsidRDefault="00A0611F" w:rsidP="00A0611F">
      <w:pPr>
        <w:pStyle w:val="SNConsultation"/>
        <w:ind w:firstLine="0"/>
      </w:pPr>
      <w:r>
        <w:t xml:space="preserve">„X.- Informacemi pro spotřebitele, týkajícími se</w:t>
      </w:r>
      <w:r>
        <w:rPr>
          <w:b/>
        </w:rPr>
        <w:t xml:space="preserve"> sledovatelnosti</w:t>
      </w:r>
      <w:r>
        <w:t xml:space="preserve"> u výrobků, uvedených v článku L. 541-10-1 odst. 11 [textilní výrobky], se rozumí zeměpisné označení země, v níž se provádí zejména každá z těchto operací, je-li to relevantní:</w:t>
      </w:r>
      <w:r>
        <w:t xml:space="preserve"> </w:t>
      </w:r>
    </w:p>
    <w:p w14:paraId="76495063" w14:textId="10190F15" w:rsidR="00CB77AD" w:rsidRDefault="00CB77AD" w:rsidP="00A0611F">
      <w:pPr>
        <w:pStyle w:val="SNConsultation"/>
        <w:ind w:firstLine="0"/>
      </w:pPr>
      <w:r>
        <w:t xml:space="preserve">(1) pěstování nebo produkci vlákniny nebo suroviny;</w:t>
      </w:r>
    </w:p>
    <w:p w14:paraId="4FF5616A" w14:textId="1D9D86EF" w:rsidR="00CB77AD" w:rsidRDefault="00CB77AD" w:rsidP="00A0611F">
      <w:pPr>
        <w:pStyle w:val="SNConsultation"/>
        <w:ind w:firstLine="0"/>
      </w:pPr>
      <w:r>
        <w:t xml:space="preserve">(2) spřádání a tkaní;</w:t>
      </w:r>
      <w:r>
        <w:t xml:space="preserve"> </w:t>
      </w:r>
    </w:p>
    <w:p w14:paraId="49D85F28" w14:textId="2432ECDC" w:rsidR="00CB77AD" w:rsidRDefault="00CB77AD" w:rsidP="00A0611F">
      <w:pPr>
        <w:pStyle w:val="SNConsultation"/>
        <w:ind w:firstLine="0"/>
      </w:pPr>
      <w:r>
        <w:t xml:space="preserve">(3) barvení a potisk;</w:t>
      </w:r>
      <w:r>
        <w:t xml:space="preserve"> </w:t>
      </w:r>
    </w:p>
    <w:p w14:paraId="52C3722D" w14:textId="77777777" w:rsidR="00814529" w:rsidRDefault="00CB77AD" w:rsidP="00A0611F">
      <w:pPr>
        <w:pStyle w:val="SNConsultation"/>
        <w:ind w:firstLine="0"/>
      </w:pPr>
      <w:r>
        <w:t xml:space="preserve">(4) výroba</w:t>
      </w:r>
      <w:r>
        <w:t xml:space="preserve"> </w:t>
      </w:r>
    </w:p>
    <w:p w14:paraId="7CF39C3B" w14:textId="205DCF5E" w:rsidR="00CD3824" w:rsidRDefault="00F851F6" w:rsidP="00A0611F">
      <w:pPr>
        <w:pStyle w:val="SNConsultation"/>
        <w:ind w:firstLine="0"/>
      </w:pPr>
      <w:r>
        <w:t xml:space="preserve"> </w:t>
      </w:r>
      <w:r>
        <w:t xml:space="preserve">U obuvi uvedené v článku L. 541-10-1 odst. 11 [textilní výrobky] se jedná o tyto operace:</w:t>
      </w:r>
    </w:p>
    <w:p w14:paraId="77FBC51D" w14:textId="49E90FBB" w:rsidR="00CD3824" w:rsidRDefault="00CD3824" w:rsidP="00A0611F">
      <w:pPr>
        <w:pStyle w:val="SNConsultation"/>
        <w:ind w:firstLine="0"/>
      </w:pPr>
      <w:r>
        <w:t xml:space="preserve">(1) výroba suroviny;</w:t>
      </w:r>
      <w:r>
        <w:t xml:space="preserve"> </w:t>
      </w:r>
    </w:p>
    <w:p w14:paraId="0BEF1ADE" w14:textId="0D0D56D2" w:rsidR="00CD3824" w:rsidRDefault="00CD3824" w:rsidP="00A0611F">
      <w:pPr>
        <w:pStyle w:val="SNConsultation"/>
        <w:ind w:firstLine="0"/>
      </w:pPr>
      <w:r>
        <w:t xml:space="preserve">(2) řezání;</w:t>
      </w:r>
      <w:r>
        <w:t xml:space="preserve"> </w:t>
      </w:r>
    </w:p>
    <w:p w14:paraId="2953264B" w14:textId="53C8809E" w:rsidR="00CD3824" w:rsidRDefault="00CD3824" w:rsidP="00A0611F">
      <w:pPr>
        <w:pStyle w:val="SNConsultation"/>
        <w:ind w:firstLine="0"/>
      </w:pPr>
      <w:r>
        <w:t xml:space="preserve">(3) šití;</w:t>
      </w:r>
      <w:r>
        <w:t xml:space="preserve"> </w:t>
      </w:r>
    </w:p>
    <w:p w14:paraId="7C244636" w14:textId="3365746B" w:rsidR="00CD3824" w:rsidRDefault="00CD3824" w:rsidP="00A0611F">
      <w:pPr>
        <w:pStyle w:val="SNConsultation"/>
        <w:ind w:firstLine="0"/>
      </w:pPr>
      <w:r>
        <w:t xml:space="preserve">(4) montáž;</w:t>
      </w:r>
    </w:p>
    <w:p w14:paraId="61219F8D" w14:textId="562FFA45" w:rsidR="00CD3824" w:rsidRPr="00517BD3" w:rsidRDefault="00CD3824" w:rsidP="00A0611F">
      <w:pPr>
        <w:pStyle w:val="SNConsultation"/>
        <w:ind w:firstLine="0"/>
      </w:pPr>
      <w:r>
        <w:t xml:space="preserve">(5) dokončení.</w:t>
      </w:r>
    </w:p>
    <w:p w14:paraId="618969FF" w14:textId="09A11B43" w:rsidR="00A0611F" w:rsidRPr="00517BD3" w:rsidRDefault="00F851F6" w:rsidP="00A0611F">
      <w:pPr>
        <w:pStyle w:val="snconsultation0"/>
        <w:spacing w:before="120" w:beforeAutospacing="0" w:after="120" w:afterAutospacing="0"/>
        <w:jc w:val="both"/>
        <w:rPr>
          <w:rFonts w:eastAsia="Lucida Sans Unicode"/>
        </w:rPr>
      </w:pPr>
      <w:r>
        <w:t xml:space="preserve">Tyto informace se vyjádří ve formě odkazu pro každou fázi k zemi, v níž byly provedeny.</w:t>
      </w:r>
    </w:p>
    <w:p w14:paraId="6FB44E46" w14:textId="4024711A" w:rsidR="00A0611F" w:rsidRDefault="00A0611F" w:rsidP="00A0611F">
      <w:pPr>
        <w:pStyle w:val="snconsultation0"/>
        <w:spacing w:before="120" w:beforeAutospacing="0" w:after="120" w:afterAutospacing="0"/>
        <w:jc w:val="both"/>
        <w:rPr>
          <w:rFonts w:eastAsia="Lucida Sans Unicode"/>
        </w:rPr>
      </w:pPr>
      <w:r>
        <w:t xml:space="preserve">„XI.– Informace pro spotřebitele týkající se </w:t>
      </w:r>
      <w:r>
        <w:rPr>
          <w:b/>
        </w:rPr>
        <w:t xml:space="preserve">přítomnosti</w:t>
      </w:r>
      <w:r>
        <w:t xml:space="preserve"> </w:t>
      </w:r>
      <w:r>
        <w:rPr>
          <w:b/>
        </w:rPr>
        <w:t xml:space="preserve">plastických mikrovláken</w:t>
      </w:r>
      <w:r>
        <w:t xml:space="preserve"> ve výrobcích, uvedených v článku L. 541-10-1 odst. 11 [textilních výrobků], se rozumí proporcionální hmotnost syntetických vláken ve výrobku.</w:t>
      </w:r>
      <w:r>
        <w:t xml:space="preserve"> </w:t>
      </w:r>
      <w:r>
        <w:t xml:space="preserve">Tyto informace musí být zpřístupněny v případě, že podíl syntetických vláken přesahuje 50 %.</w:t>
      </w:r>
    </w:p>
    <w:p w14:paraId="732BD02F" w14:textId="77777777" w:rsidR="00A0611F" w:rsidRDefault="00A0611F" w:rsidP="00A0611F">
      <w:pPr>
        <w:pStyle w:val="snconsultation0"/>
        <w:spacing w:before="120" w:beforeAutospacing="0" w:after="120" w:afterAutospacing="0"/>
        <w:jc w:val="both"/>
        <w:rPr>
          <w:rFonts w:eastAsia="Lucida Sans Unicode"/>
        </w:rPr>
      </w:pPr>
      <w:r>
        <w:t xml:space="preserve">Musí být vyjádřeny slovy „odbourávání plastových mikrovláken do životního prostředí během praní“.</w:t>
      </w:r>
    </w:p>
    <w:p w14:paraId="72DE858B" w14:textId="77777777" w:rsidR="00A0611F" w:rsidRDefault="00A0611F" w:rsidP="00A0611F">
      <w:pPr>
        <w:pStyle w:val="snconsultation0"/>
        <w:spacing w:before="120" w:beforeAutospacing="0" w:after="120" w:afterAutospacing="0"/>
        <w:jc w:val="both"/>
        <w:rPr>
          <w:rFonts w:eastAsia="Lucida Sans Unicode"/>
          <w:lang w:eastAsia="zh-CN"/>
        </w:rPr>
      </w:pPr>
    </w:p>
    <w:p w14:paraId="5DB62A0B" w14:textId="07051B30" w:rsidR="00A0611F" w:rsidRDefault="00D75CCE" w:rsidP="00A0611F">
      <w:pPr>
        <w:pStyle w:val="SNConsultation"/>
        <w:ind w:firstLine="0"/>
      </w:pPr>
      <w:r>
        <w:t xml:space="preserve">„Článek R. 541-222.- Výrobce, dovozce nebo jiná strana, uvádějící na trh výrobky, uvedené v článku R.541-221, zpřístupní informace o environmentálních kvalitách a vlastnostech těchto výrobků nebo kategorií výrobků a informace o prémii a sankcích uvedených v článku L. 541-10-3 a zaplacených výrobcem na základě kritérií vlivu činnosti organizace na životní prostředí.</w:t>
      </w:r>
      <w:r>
        <w:t xml:space="preserve"> </w:t>
      </w:r>
      <w:r>
        <w:t xml:space="preserve">To se zpřístupní v nepapírové podobě, která je v době nákupu bezplatně přístupná a opakovaně použitelná tak, aby umožňovala agregaci.</w:t>
      </w:r>
      <w:r>
        <w:t xml:space="preserve"> </w:t>
      </w:r>
      <w:r>
        <w:t xml:space="preserve">Za tímto účelem výrobce nebo dovozce zpřístupní informace na vyhrazené internetové stránce s rozhraním pro programování aplikací.</w:t>
      </w:r>
      <w:r>
        <w:t xml:space="preserve"> </w:t>
      </w:r>
    </w:p>
    <w:p w14:paraId="1621FB5C" w14:textId="235E6D7F" w:rsidR="00531CE4" w:rsidRDefault="00D6632A" w:rsidP="00A0611F">
      <w:pPr>
        <w:pStyle w:val="SNConsultation"/>
        <w:ind w:firstLine="0"/>
      </w:pPr>
      <w:r>
        <w:t xml:space="preserve">V případě látek, uvedených v článku IX článku R. 541-221, lze takové informace poskytnout alternativně prostřednictvím návrhu, určeného usnesením ministra životního prostředí.</w:t>
      </w:r>
      <w:r>
        <w:t xml:space="preserve"> </w:t>
      </w:r>
      <w:r>
        <w:t xml:space="preserve">Pokud jsou informace zpřístupněny prostřednictvím takové žádosti a mají-li být vytvořeny vyhrazené internetové stránky alespoň pro jednu další vlastnost, pokud jde o kvalitu nebo životní prostředí, měla by tato stránka uvést, že informace o nebezpečných látkách lze získat prostřednictvím aplikace.</w:t>
      </w:r>
      <w:r>
        <w:t xml:space="preserve"> </w:t>
      </w:r>
      <w:r>
        <w:t xml:space="preserve">Na vyhrazené internetové stránce by měl být uveden přímý odkaz na aplikaci.</w:t>
      </w:r>
      <w:r>
        <w:t xml:space="preserve"> </w:t>
      </w:r>
      <w:r>
        <w:t xml:space="preserve">Další způsoby zobrazení, ať už fyzické nebo nepapírové, které jsou v době nákupu viditelné, mohou být definovány nařízením ministra odpovědného za životní prostředí, a to jednak podle jakosti a vlastností a jednak podle produktů a kategorií produktů uvedených v článku R. 541-221, jakož i informací o prémii a sankcích uvedených v článku L. 541-10-3.</w:t>
      </w:r>
      <w:r>
        <w:t xml:space="preserve"> </w:t>
      </w:r>
      <w:r>
        <w:t xml:space="preserve">V takovém případě předá výrobce nebo dovozce prodávajícímu bezplatně informace, nezbytné pro toto vystavení.</w:t>
      </w:r>
      <w:r>
        <w:t xml:space="preserve"> </w:t>
      </w:r>
    </w:p>
    <w:p w14:paraId="3FB9FCF6" w14:textId="549CAE16" w:rsidR="00D6632A" w:rsidRDefault="00D6632A" w:rsidP="00D6632A">
      <w:pPr>
        <w:pStyle w:val="SNConsultation"/>
        <w:ind w:firstLine="0"/>
      </w:pPr>
      <w:r>
        <w:t xml:space="preserve">Tyto informace se zpřístupní až do dvou let od uvedení poslední jednotky dotčeného výrobku na trh.</w:t>
      </w:r>
      <w:r>
        <w:t xml:space="preserve"> </w:t>
      </w:r>
    </w:p>
    <w:p w14:paraId="7F312AF1" w14:textId="5365C9F9" w:rsidR="00A0611F" w:rsidRDefault="00A0611F" w:rsidP="00A0611F">
      <w:pPr>
        <w:pStyle w:val="SNConsultation"/>
        <w:ind w:firstLine="0"/>
      </w:pPr>
      <w:r>
        <w:t xml:space="preserve">Jakékoli dobrovolné fyzické zobrazení, týkající se těchto environmentálních vlastností a kvalit, musí být v souladu s definicemi stanovenými v oddíle R. 541-221.</w:t>
      </w:r>
      <w:r>
        <w:t xml:space="preserve"> </w:t>
      </w:r>
    </w:p>
    <w:p w14:paraId="1C4965C0" w14:textId="432B6E2B" w:rsidR="00A0611F" w:rsidRDefault="00A0611F" w:rsidP="00A0611F">
      <w:pPr>
        <w:pStyle w:val="SNConsultation"/>
        <w:ind w:firstLine="0"/>
      </w:pPr>
      <w:r>
        <w:t xml:space="preserve">Informační opatření, stanovená v tomto článku, se nevztahují na environmentální vlastnosti a kvality. definované v článku R. 541-221 I a IV.</w:t>
      </w:r>
    </w:p>
    <w:p w14:paraId="46D13684" w14:textId="77777777" w:rsidR="00A0611F" w:rsidRDefault="00A0611F" w:rsidP="00A0611F">
      <w:pPr>
        <w:pStyle w:val="SNConsultation"/>
        <w:ind w:firstLine="0"/>
      </w:pPr>
    </w:p>
    <w:p w14:paraId="6922BEF3" w14:textId="6308F134" w:rsidR="00350FE8" w:rsidRDefault="00D75CCE" w:rsidP="00A0611F">
      <w:pPr>
        <w:pStyle w:val="Corpsdetexte"/>
        <w:keepNext/>
        <w:keepLines/>
      </w:pPr>
      <w:r>
        <w:t xml:space="preserve">„Článek R. 541-223.- Povinnosti informovat spotřebitele, stanovené v článcích R. 541-221 a R. 541-222, se vztahují na výrobce a dovozce, kteří deklarují roční obrat vyšší než 50 milionů eur u výrobků uvedených v článku R. 541-221, které uvádějí na vnitrostátní trh.</w:t>
      </w:r>
    </w:p>
    <w:p w14:paraId="46A735A9" w14:textId="43A51871" w:rsidR="00350FE8" w:rsidRDefault="00350FE8" w:rsidP="00350FE8">
      <w:pPr>
        <w:pStyle w:val="Corpsdetexte"/>
        <w:keepNext/>
      </w:pPr>
      <w:r>
        <w:t xml:space="preserve">Od 1. ledna 2024 se povinnosti informovat spotřebitele, stanovené v článcích R. 541-221 a R. 541-222, vztahují na výrobce a dovozce, kteří deklarují roční obrat vyšší než 20 milionů eur u výrobků uvedených v článku R. 541-221, které uvádějí na vnitrostátní trh.</w:t>
      </w:r>
    </w:p>
    <w:p w14:paraId="750470DA" w14:textId="77777777" w:rsidR="00350FE8" w:rsidRDefault="00350FE8" w:rsidP="00A0611F">
      <w:pPr>
        <w:pStyle w:val="Corpsdetexte"/>
        <w:keepNext/>
        <w:keepLines/>
        <w:rPr>
          <w:lang w:val="fr-FR"/>
        </w:rPr>
      </w:pPr>
    </w:p>
    <w:p w14:paraId="606FF564" w14:textId="53BBF7C4" w:rsidR="00C15919" w:rsidRPr="00130204" w:rsidRDefault="00D75CCE" w:rsidP="00A0611F">
      <w:pPr>
        <w:pStyle w:val="Corpsdetexte"/>
        <w:keepNext/>
        <w:keepLines/>
        <w:rPr>
          <w:rFonts w:eastAsia="Lucida Sans Unicode"/>
        </w:rPr>
      </w:pPr>
      <w:r>
        <w:t xml:space="preserve">„Článek 541-224.- Je zakázáno uvádět na výrobku nebo obalu slova „biologicky rozložitelný“, „šetrný k životnímu prostředí“ nebo jakýkoli jiný ekvivalent.</w:t>
      </w:r>
      <w:r>
        <w:t xml:space="preserve">  </w:t>
      </w:r>
    </w:p>
    <w:p w14:paraId="249D5C7C" w14:textId="77777777" w:rsidR="00A0611F" w:rsidRDefault="00A0611F" w:rsidP="00A0611F">
      <w:pPr>
        <w:pStyle w:val="Corpsdetexte"/>
        <w:keepNext/>
        <w:keepLines/>
        <w:rPr>
          <w:lang w:val="fr-FR"/>
        </w:rPr>
      </w:pPr>
    </w:p>
    <w:p w14:paraId="43F1BFFD" w14:textId="77777777" w:rsidR="00A0611F" w:rsidRPr="00C16AC7" w:rsidRDefault="00A0611F" w:rsidP="00A0611F">
      <w:pPr>
        <w:pStyle w:val="Corpsdetexte"/>
        <w:keepNext/>
        <w:keepLines/>
        <w:jc w:val="center"/>
        <w:rPr>
          <w:b/>
        </w:rPr>
      </w:pPr>
      <w:r>
        <w:rPr>
          <w:b/>
        </w:rPr>
        <w:t xml:space="preserve">Článek 2 – Nabytí účinnosti</w:t>
      </w:r>
    </w:p>
    <w:p w14:paraId="2C5F1691" w14:textId="4F965230" w:rsidR="00A0611F" w:rsidRDefault="00A0611F" w:rsidP="00A0611F">
      <w:pPr>
        <w:pStyle w:val="Corpsdetexte"/>
        <w:keepNext/>
        <w:keepLines/>
      </w:pPr>
      <w:r>
        <w:t xml:space="preserve">Ustanovení této vyhlášky vstupují v platnost 1. ledna 2022.</w:t>
      </w:r>
    </w:p>
    <w:p w14:paraId="09FC613F" w14:textId="77777777" w:rsidR="00A0611F" w:rsidRPr="00D52AA5" w:rsidRDefault="00A0611F" w:rsidP="00A0611F">
      <w:pPr>
        <w:pStyle w:val="Corpsdetexte"/>
        <w:keepNext/>
        <w:keepLines/>
        <w:rPr>
          <w:lang w:val="fr-FR"/>
        </w:rPr>
      </w:pPr>
    </w:p>
    <w:p w14:paraId="322B518E" w14:textId="77777777" w:rsidR="00A0611F" w:rsidRPr="00C16AC7" w:rsidRDefault="00A0611F" w:rsidP="00A0611F">
      <w:pPr>
        <w:pStyle w:val="SNArticle"/>
        <w:spacing w:before="240"/>
        <w:rPr>
          <w:bCs w:val="0"/>
        </w:rPr>
      </w:pPr>
      <w:r>
        <w:t xml:space="preserve">Článek 3 – Provádění</w:t>
      </w:r>
    </w:p>
    <w:p w14:paraId="42E479BF" w14:textId="77777777" w:rsidR="00A0611F" w:rsidRDefault="00A0611F" w:rsidP="00A0611F">
      <w:pPr>
        <w:pStyle w:val="SNArticle"/>
        <w:spacing w:before="240"/>
        <w:jc w:val="both"/>
        <w:rPr>
          <w:b w:val="0"/>
        </w:rPr>
      </w:pPr>
      <w:r>
        <w:rPr>
          <w:b w:val="0"/>
        </w:rPr>
        <w:t xml:space="preserve">Prováděním tohoto nařízení, které bude zveřejněno v </w:t>
      </w:r>
      <w:r>
        <w:rPr>
          <w:b w:val="0"/>
          <w:i/>
        </w:rPr>
        <w:t xml:space="preserve">Úředním věstníku</w:t>
      </w:r>
      <w:r>
        <w:rPr>
          <w:b w:val="0"/>
        </w:rPr>
        <w:t xml:space="preserve"> Francouzské republiky, je pověřena ministryně pro ekologickou transformaci a ministr hospodářství, financí a obnovy, každý ve své oblasti působnosti.</w:t>
      </w:r>
      <w:r>
        <w:rPr>
          <w:b w:val="0"/>
        </w:rPr>
        <w:t xml:space="preserve"> </w:t>
      </w:r>
    </w:p>
    <w:p w14:paraId="521F60F6" w14:textId="77777777" w:rsidR="00A0611F" w:rsidRDefault="00A0611F" w:rsidP="00A0611F">
      <w:pPr>
        <w:pStyle w:val="SNArticle"/>
        <w:spacing w:before="240"/>
        <w:jc w:val="both"/>
        <w:rPr>
          <w:b w:val="0"/>
        </w:rPr>
      </w:pPr>
    </w:p>
    <w:p w14:paraId="49C8F301" w14:textId="72015A28" w:rsidR="009A124C" w:rsidRDefault="00F6536A" w:rsidP="00F834A5">
      <w:pPr>
        <w:suppressAutoHyphens w:val="0"/>
      </w:pPr>
      <w:r>
        <w:br w:type="page"/>
      </w:r>
      <w:r>
        <w:t xml:space="preserve">Podepsáno dne [datum]</w:t>
      </w:r>
    </w:p>
    <w:p w14:paraId="7A812575" w14:textId="77777777" w:rsidR="003B3353" w:rsidRPr="00C16AC7" w:rsidRDefault="003B3353" w:rsidP="003B3353">
      <w:pPr>
        <w:pStyle w:val="SNDate"/>
        <w:spacing w:before="0" w:after="0"/>
        <w:ind w:firstLine="0"/>
      </w:pPr>
    </w:p>
    <w:p w14:paraId="274CBA4C" w14:textId="77777777" w:rsidR="003B3353" w:rsidRDefault="005A5DF2" w:rsidP="003B3353">
      <w:pPr>
        <w:pStyle w:val="SNDate"/>
        <w:spacing w:before="0" w:after="0"/>
        <w:ind w:firstLine="0"/>
        <w:jc w:val="left"/>
      </w:pPr>
      <w:r>
        <w:t xml:space="preserve">Pověřením předsedou vlády:</w:t>
      </w:r>
    </w:p>
    <w:p w14:paraId="2A6EC749" w14:textId="5F63F38B" w:rsidR="003B3353" w:rsidRDefault="003B3353" w:rsidP="003B3353">
      <w:pPr>
        <w:pStyle w:val="SNDate"/>
        <w:spacing w:before="0" w:after="0"/>
        <w:ind w:firstLine="0"/>
        <w:jc w:val="left"/>
      </w:pPr>
      <w:r>
        <w:t xml:space="preserve">Jean Castex</w:t>
      </w:r>
      <w:r>
        <w:br/>
      </w:r>
      <w:r>
        <w:br/>
      </w:r>
      <w:r>
        <w:t xml:space="preserve">Ministryně pro environmentální transformaci,</w:t>
      </w:r>
      <w:r>
        <w:br/>
      </w:r>
      <w:r>
        <w:t xml:space="preserve">Barbara POMPILI</w:t>
      </w:r>
    </w:p>
    <w:p w14:paraId="3BC92D43" w14:textId="77777777" w:rsidR="00D52AA5" w:rsidRDefault="004A0F51" w:rsidP="003B3353">
      <w:pPr>
        <w:pStyle w:val="SNDate"/>
        <w:spacing w:before="0" w:after="0"/>
        <w:ind w:firstLine="0"/>
        <w:jc w:val="right"/>
      </w:pPr>
      <w:r>
        <w:t xml:space="preserve">Ministr hospodářství, financí a obnovy</w:t>
      </w:r>
    </w:p>
    <w:p w14:paraId="2766AF55" w14:textId="7002707B" w:rsidR="00FF3312" w:rsidRDefault="00F35D14" w:rsidP="003B3353">
      <w:pPr>
        <w:pStyle w:val="SNDate"/>
        <w:spacing w:before="0" w:after="0"/>
        <w:ind w:firstLine="0"/>
        <w:jc w:val="right"/>
      </w:pPr>
      <w:r>
        <w:t xml:space="preserve">Bruno LE MAIRE</w:t>
      </w:r>
    </w:p>
    <w:p w14:paraId="6E0D18CA" w14:textId="77777777" w:rsidR="00F6272E" w:rsidRDefault="00F6272E" w:rsidP="003B3353">
      <w:pPr>
        <w:suppressAutoHyphens w:val="0"/>
      </w:pPr>
    </w:p>
    <w:p w14:paraId="2AA9E840" w14:textId="03816832" w:rsidR="000D0435" w:rsidRDefault="000D0435">
      <w:pPr>
        <w:suppressAutoHyphens w:val="0"/>
      </w:pPr>
    </w:p>
    <w:sectPr w:rsidR="000D0435" w:rsidSect="003B3353">
      <w:footerReference w:type="default" r:id="rId9"/>
      <w:pgSz w:w="11906" w:h="16838"/>
      <w:pgMar w:top="1440" w:right="1080" w:bottom="1440" w:left="1080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B45FB" w14:textId="77777777" w:rsidR="0002121C" w:rsidRDefault="0002121C">
      <w:r>
        <w:separator/>
      </w:r>
    </w:p>
  </w:endnote>
  <w:endnote w:type="continuationSeparator" w:id="0">
    <w:p w14:paraId="6C19FFB8" w14:textId="77777777" w:rsidR="0002121C" w:rsidRDefault="000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231255"/>
      <w:docPartObj>
        <w:docPartGallery w:val="Page Numbers (Bottom of Page)"/>
        <w:docPartUnique/>
      </w:docPartObj>
    </w:sdtPr>
    <w:sdtEndPr/>
    <w:sdtContent>
      <w:p w14:paraId="309B78E2" w14:textId="4152C99E" w:rsidR="00A6698F" w:rsidRDefault="00A6698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2C5" w:rsidRPr="004902C5">
          <w:t>8</w:t>
        </w:r>
        <w:r>
          <w:fldChar w:fldCharType="end"/>
        </w:r>
      </w:p>
    </w:sdtContent>
  </w:sdt>
  <w:p w14:paraId="14D5D221" w14:textId="17EE6B6A" w:rsidR="00D13111" w:rsidRDefault="00D131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56F68" w14:textId="77777777" w:rsidR="0002121C" w:rsidRDefault="0002121C">
      <w:r>
        <w:separator/>
      </w:r>
    </w:p>
  </w:footnote>
  <w:footnote w:type="continuationSeparator" w:id="0">
    <w:p w14:paraId="352A95D0" w14:textId="77777777" w:rsidR="0002121C" w:rsidRDefault="0002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633B"/>
    <w:multiLevelType w:val="hybridMultilevel"/>
    <w:tmpl w:val="1DE05C5C"/>
    <w:lvl w:ilvl="0" w:tplc="97D095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A89"/>
    <w:multiLevelType w:val="hybridMultilevel"/>
    <w:tmpl w:val="4F943AAA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84F"/>
    <w:multiLevelType w:val="hybridMultilevel"/>
    <w:tmpl w:val="0FE8B6C4"/>
    <w:lvl w:ilvl="0" w:tplc="30B01B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179F"/>
    <w:multiLevelType w:val="hybridMultilevel"/>
    <w:tmpl w:val="66E25180"/>
    <w:lvl w:ilvl="0" w:tplc="250A52BC">
      <w:start w:val="1"/>
      <w:numFmt w:val="upperRoman"/>
      <w:lvlText w:val="%1."/>
      <w:lvlJc w:val="left"/>
      <w:pPr>
        <w:ind w:left="770" w:hanging="720"/>
      </w:pPr>
      <w:rPr>
        <w:rFonts w:cs="Times LT Std" w:hint="default"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12335244"/>
    <w:multiLevelType w:val="hybridMultilevel"/>
    <w:tmpl w:val="5A5833F2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0409"/>
    <w:multiLevelType w:val="hybridMultilevel"/>
    <w:tmpl w:val="D34EEAB0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5F94"/>
    <w:multiLevelType w:val="multilevel"/>
    <w:tmpl w:val="07CA34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65576E"/>
    <w:multiLevelType w:val="hybridMultilevel"/>
    <w:tmpl w:val="A4724692"/>
    <w:lvl w:ilvl="0" w:tplc="15C22576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9604D9"/>
    <w:multiLevelType w:val="hybridMultilevel"/>
    <w:tmpl w:val="5C965D80"/>
    <w:lvl w:ilvl="0" w:tplc="530EA7F0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47BC"/>
    <w:multiLevelType w:val="hybridMultilevel"/>
    <w:tmpl w:val="40D6B79E"/>
    <w:lvl w:ilvl="0" w:tplc="530EA7F0">
      <w:start w:val="3"/>
      <w:numFmt w:val="bullet"/>
      <w:lvlText w:val="-"/>
      <w:lvlJc w:val="left"/>
      <w:pPr>
        <w:ind w:left="360" w:firstLine="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70B4"/>
    <w:multiLevelType w:val="hybridMultilevel"/>
    <w:tmpl w:val="14EA9A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4A5C"/>
    <w:multiLevelType w:val="hybridMultilevel"/>
    <w:tmpl w:val="980EB580"/>
    <w:lvl w:ilvl="0" w:tplc="FFB2E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A21BE"/>
    <w:multiLevelType w:val="multilevel"/>
    <w:tmpl w:val="6A96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582044"/>
    <w:multiLevelType w:val="multilevel"/>
    <w:tmpl w:val="335E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F92E3D"/>
    <w:multiLevelType w:val="hybridMultilevel"/>
    <w:tmpl w:val="23D88FFE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C1E84"/>
    <w:multiLevelType w:val="hybridMultilevel"/>
    <w:tmpl w:val="E9BA39CC"/>
    <w:lvl w:ilvl="0" w:tplc="55D2B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208A1"/>
    <w:multiLevelType w:val="hybridMultilevel"/>
    <w:tmpl w:val="9B164052"/>
    <w:lvl w:ilvl="0" w:tplc="C52E1C42">
      <w:start w:val="3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A768D"/>
    <w:multiLevelType w:val="hybridMultilevel"/>
    <w:tmpl w:val="FAF2B910"/>
    <w:lvl w:ilvl="0" w:tplc="747C5A3A">
      <w:start w:val="178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22CF2"/>
    <w:multiLevelType w:val="hybridMultilevel"/>
    <w:tmpl w:val="651C43C4"/>
    <w:lvl w:ilvl="0" w:tplc="3CE20EA0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91AE6"/>
    <w:multiLevelType w:val="multilevel"/>
    <w:tmpl w:val="3D2A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A21C6E"/>
    <w:multiLevelType w:val="hybridMultilevel"/>
    <w:tmpl w:val="47946C42"/>
    <w:lvl w:ilvl="0" w:tplc="83BAE13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948DB"/>
    <w:multiLevelType w:val="hybridMultilevel"/>
    <w:tmpl w:val="37F89ACE"/>
    <w:lvl w:ilvl="0" w:tplc="4CEC6AB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32A7"/>
    <w:multiLevelType w:val="hybridMultilevel"/>
    <w:tmpl w:val="DD98A3F6"/>
    <w:lvl w:ilvl="0" w:tplc="D5FCD20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C5E8D"/>
    <w:multiLevelType w:val="hybridMultilevel"/>
    <w:tmpl w:val="391EA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6A59"/>
    <w:multiLevelType w:val="hybridMultilevel"/>
    <w:tmpl w:val="14E86500"/>
    <w:lvl w:ilvl="0" w:tplc="EEE2199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D62BD"/>
    <w:multiLevelType w:val="multilevel"/>
    <w:tmpl w:val="6198634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7A3492"/>
    <w:multiLevelType w:val="hybridMultilevel"/>
    <w:tmpl w:val="1C125838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203C"/>
    <w:multiLevelType w:val="multilevel"/>
    <w:tmpl w:val="AD201516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5803C24"/>
    <w:multiLevelType w:val="hybridMultilevel"/>
    <w:tmpl w:val="E20C7D8C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D3E1A"/>
    <w:multiLevelType w:val="hybridMultilevel"/>
    <w:tmpl w:val="59AEF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25AE9"/>
    <w:multiLevelType w:val="hybridMultilevel"/>
    <w:tmpl w:val="0A76965C"/>
    <w:lvl w:ilvl="0" w:tplc="20E8B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91383"/>
    <w:multiLevelType w:val="hybridMultilevel"/>
    <w:tmpl w:val="5F6E8FAA"/>
    <w:lvl w:ilvl="0" w:tplc="A52039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13D26"/>
    <w:multiLevelType w:val="multilevel"/>
    <w:tmpl w:val="5CA8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32"/>
  </w:num>
  <w:num w:numId="7">
    <w:abstractNumId w:val="24"/>
  </w:num>
  <w:num w:numId="8">
    <w:abstractNumId w:val="22"/>
  </w:num>
  <w:num w:numId="9">
    <w:abstractNumId w:val="16"/>
  </w:num>
  <w:num w:numId="10">
    <w:abstractNumId w:val="4"/>
  </w:num>
  <w:num w:numId="11">
    <w:abstractNumId w:val="12"/>
  </w:num>
  <w:num w:numId="12">
    <w:abstractNumId w:val="18"/>
  </w:num>
  <w:num w:numId="13">
    <w:abstractNumId w:val="9"/>
  </w:num>
  <w:num w:numId="14">
    <w:abstractNumId w:val="8"/>
  </w:num>
  <w:num w:numId="15">
    <w:abstractNumId w:val="26"/>
  </w:num>
  <w:num w:numId="16">
    <w:abstractNumId w:val="5"/>
  </w:num>
  <w:num w:numId="17">
    <w:abstractNumId w:val="28"/>
  </w:num>
  <w:num w:numId="18">
    <w:abstractNumId w:val="23"/>
  </w:num>
  <w:num w:numId="19">
    <w:abstractNumId w:val="29"/>
  </w:num>
  <w:num w:numId="20">
    <w:abstractNumId w:val="14"/>
  </w:num>
  <w:num w:numId="21">
    <w:abstractNumId w:val="1"/>
  </w:num>
  <w:num w:numId="22">
    <w:abstractNumId w:val="17"/>
  </w:num>
  <w:num w:numId="23">
    <w:abstractNumId w:val="13"/>
  </w:num>
  <w:num w:numId="24">
    <w:abstractNumId w:val="19"/>
  </w:num>
  <w:num w:numId="25">
    <w:abstractNumId w:val="31"/>
  </w:num>
  <w:num w:numId="26">
    <w:abstractNumId w:val="25"/>
  </w:num>
  <w:num w:numId="27">
    <w:abstractNumId w:val="20"/>
  </w:num>
  <w:num w:numId="28">
    <w:abstractNumId w:val="11"/>
  </w:num>
  <w:num w:numId="29">
    <w:abstractNumId w:val="10"/>
  </w:num>
  <w:num w:numId="30">
    <w:abstractNumId w:val="15"/>
  </w:num>
  <w:num w:numId="31">
    <w:abstractNumId w:val="21"/>
  </w:num>
  <w:num w:numId="32">
    <w:abstractNumId w:val="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dirty" w:grammar="dirty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4C"/>
    <w:rsid w:val="000000B8"/>
    <w:rsid w:val="000029F1"/>
    <w:rsid w:val="0000467E"/>
    <w:rsid w:val="00006763"/>
    <w:rsid w:val="0001208B"/>
    <w:rsid w:val="00012B2A"/>
    <w:rsid w:val="00014570"/>
    <w:rsid w:val="00014DD9"/>
    <w:rsid w:val="00014E0B"/>
    <w:rsid w:val="00017815"/>
    <w:rsid w:val="0002121C"/>
    <w:rsid w:val="000214ED"/>
    <w:rsid w:val="00021518"/>
    <w:rsid w:val="000244A4"/>
    <w:rsid w:val="00031601"/>
    <w:rsid w:val="00034021"/>
    <w:rsid w:val="000366AF"/>
    <w:rsid w:val="00040974"/>
    <w:rsid w:val="00040D14"/>
    <w:rsid w:val="00042A22"/>
    <w:rsid w:val="0004418F"/>
    <w:rsid w:val="00044BD2"/>
    <w:rsid w:val="000452EB"/>
    <w:rsid w:val="000455D7"/>
    <w:rsid w:val="00047B30"/>
    <w:rsid w:val="000511DD"/>
    <w:rsid w:val="00052E67"/>
    <w:rsid w:val="00056BA9"/>
    <w:rsid w:val="00064339"/>
    <w:rsid w:val="00065814"/>
    <w:rsid w:val="00067CF1"/>
    <w:rsid w:val="00070B3B"/>
    <w:rsid w:val="00073188"/>
    <w:rsid w:val="0007383E"/>
    <w:rsid w:val="00074679"/>
    <w:rsid w:val="0007715C"/>
    <w:rsid w:val="00083E60"/>
    <w:rsid w:val="000845C2"/>
    <w:rsid w:val="00090D07"/>
    <w:rsid w:val="00093C6B"/>
    <w:rsid w:val="000A26C0"/>
    <w:rsid w:val="000A37F2"/>
    <w:rsid w:val="000A405A"/>
    <w:rsid w:val="000A5EE2"/>
    <w:rsid w:val="000B1542"/>
    <w:rsid w:val="000B16AD"/>
    <w:rsid w:val="000B281E"/>
    <w:rsid w:val="000B29C9"/>
    <w:rsid w:val="000B740A"/>
    <w:rsid w:val="000C090F"/>
    <w:rsid w:val="000C0D91"/>
    <w:rsid w:val="000C399B"/>
    <w:rsid w:val="000C70C2"/>
    <w:rsid w:val="000D0435"/>
    <w:rsid w:val="000D3FA8"/>
    <w:rsid w:val="000D4577"/>
    <w:rsid w:val="000E02EB"/>
    <w:rsid w:val="000E3122"/>
    <w:rsid w:val="000F0888"/>
    <w:rsid w:val="000F120D"/>
    <w:rsid w:val="000F22BE"/>
    <w:rsid w:val="000F4F0F"/>
    <w:rsid w:val="000F502F"/>
    <w:rsid w:val="001017E4"/>
    <w:rsid w:val="00101AEB"/>
    <w:rsid w:val="0010308D"/>
    <w:rsid w:val="00103CF6"/>
    <w:rsid w:val="0010592D"/>
    <w:rsid w:val="00105CA6"/>
    <w:rsid w:val="001140D5"/>
    <w:rsid w:val="001148F1"/>
    <w:rsid w:val="00120E3F"/>
    <w:rsid w:val="001223B5"/>
    <w:rsid w:val="00126E15"/>
    <w:rsid w:val="00130204"/>
    <w:rsid w:val="0013146B"/>
    <w:rsid w:val="00134E29"/>
    <w:rsid w:val="00140866"/>
    <w:rsid w:val="00141BB3"/>
    <w:rsid w:val="0014431A"/>
    <w:rsid w:val="0014539B"/>
    <w:rsid w:val="001517BD"/>
    <w:rsid w:val="0015356C"/>
    <w:rsid w:val="001549C3"/>
    <w:rsid w:val="001570C9"/>
    <w:rsid w:val="001605B3"/>
    <w:rsid w:val="001610D5"/>
    <w:rsid w:val="00161495"/>
    <w:rsid w:val="00163010"/>
    <w:rsid w:val="00167095"/>
    <w:rsid w:val="0017591E"/>
    <w:rsid w:val="00180301"/>
    <w:rsid w:val="00181E54"/>
    <w:rsid w:val="00182A3A"/>
    <w:rsid w:val="001839C8"/>
    <w:rsid w:val="00184383"/>
    <w:rsid w:val="00186299"/>
    <w:rsid w:val="0018777F"/>
    <w:rsid w:val="00193D65"/>
    <w:rsid w:val="00194ABF"/>
    <w:rsid w:val="001A261E"/>
    <w:rsid w:val="001A72DA"/>
    <w:rsid w:val="001B1359"/>
    <w:rsid w:val="001B55C3"/>
    <w:rsid w:val="001B5BAE"/>
    <w:rsid w:val="001B5CBF"/>
    <w:rsid w:val="001B75FC"/>
    <w:rsid w:val="001C3A24"/>
    <w:rsid w:val="001C40F2"/>
    <w:rsid w:val="001C5BEE"/>
    <w:rsid w:val="001D5FB4"/>
    <w:rsid w:val="001D61CF"/>
    <w:rsid w:val="001E2532"/>
    <w:rsid w:val="001E2A72"/>
    <w:rsid w:val="001E335E"/>
    <w:rsid w:val="001E4715"/>
    <w:rsid w:val="001F0053"/>
    <w:rsid w:val="001F1200"/>
    <w:rsid w:val="001F2519"/>
    <w:rsid w:val="001F5614"/>
    <w:rsid w:val="00201787"/>
    <w:rsid w:val="00203E46"/>
    <w:rsid w:val="002067EC"/>
    <w:rsid w:val="002073DA"/>
    <w:rsid w:val="002079C7"/>
    <w:rsid w:val="00215482"/>
    <w:rsid w:val="002170E6"/>
    <w:rsid w:val="00217E2F"/>
    <w:rsid w:val="002220DE"/>
    <w:rsid w:val="00223E09"/>
    <w:rsid w:val="0022492F"/>
    <w:rsid w:val="00224A9A"/>
    <w:rsid w:val="002260AC"/>
    <w:rsid w:val="00227BC9"/>
    <w:rsid w:val="00230831"/>
    <w:rsid w:val="00231C47"/>
    <w:rsid w:val="0023700E"/>
    <w:rsid w:val="00237535"/>
    <w:rsid w:val="002430D3"/>
    <w:rsid w:val="002460F9"/>
    <w:rsid w:val="00246797"/>
    <w:rsid w:val="002535B7"/>
    <w:rsid w:val="00256747"/>
    <w:rsid w:val="00271C17"/>
    <w:rsid w:val="00272DC3"/>
    <w:rsid w:val="002731A9"/>
    <w:rsid w:val="002731EF"/>
    <w:rsid w:val="00275404"/>
    <w:rsid w:val="00275B56"/>
    <w:rsid w:val="00282EAE"/>
    <w:rsid w:val="002871A7"/>
    <w:rsid w:val="002903D5"/>
    <w:rsid w:val="002915F2"/>
    <w:rsid w:val="00291A0B"/>
    <w:rsid w:val="00295D03"/>
    <w:rsid w:val="00296852"/>
    <w:rsid w:val="002A1D87"/>
    <w:rsid w:val="002A3561"/>
    <w:rsid w:val="002A3909"/>
    <w:rsid w:val="002A4DAB"/>
    <w:rsid w:val="002B330D"/>
    <w:rsid w:val="002B363C"/>
    <w:rsid w:val="002B6530"/>
    <w:rsid w:val="002B66D8"/>
    <w:rsid w:val="002C0C41"/>
    <w:rsid w:val="002C1EEE"/>
    <w:rsid w:val="002C1F33"/>
    <w:rsid w:val="002C7C36"/>
    <w:rsid w:val="002D6B74"/>
    <w:rsid w:val="002E09DD"/>
    <w:rsid w:val="002E1D14"/>
    <w:rsid w:val="002E2946"/>
    <w:rsid w:val="002E39DA"/>
    <w:rsid w:val="002E51D9"/>
    <w:rsid w:val="002E55AF"/>
    <w:rsid w:val="002E57B2"/>
    <w:rsid w:val="002E7128"/>
    <w:rsid w:val="002F2FA7"/>
    <w:rsid w:val="002F4E83"/>
    <w:rsid w:val="002F580A"/>
    <w:rsid w:val="003075B5"/>
    <w:rsid w:val="00310081"/>
    <w:rsid w:val="00310B80"/>
    <w:rsid w:val="00311180"/>
    <w:rsid w:val="00311C97"/>
    <w:rsid w:val="00311EB6"/>
    <w:rsid w:val="00312D09"/>
    <w:rsid w:val="00312E95"/>
    <w:rsid w:val="00314946"/>
    <w:rsid w:val="003212CF"/>
    <w:rsid w:val="003214F2"/>
    <w:rsid w:val="00322858"/>
    <w:rsid w:val="00323A3F"/>
    <w:rsid w:val="00325082"/>
    <w:rsid w:val="003256D3"/>
    <w:rsid w:val="00330D1C"/>
    <w:rsid w:val="00333C9A"/>
    <w:rsid w:val="00333CC4"/>
    <w:rsid w:val="003344FD"/>
    <w:rsid w:val="00334870"/>
    <w:rsid w:val="00334F16"/>
    <w:rsid w:val="003367BD"/>
    <w:rsid w:val="003410B1"/>
    <w:rsid w:val="003474CD"/>
    <w:rsid w:val="003503E2"/>
    <w:rsid w:val="00350FE8"/>
    <w:rsid w:val="00354B47"/>
    <w:rsid w:val="003571C3"/>
    <w:rsid w:val="00365128"/>
    <w:rsid w:val="003717E3"/>
    <w:rsid w:val="003719E8"/>
    <w:rsid w:val="003726DA"/>
    <w:rsid w:val="0037436B"/>
    <w:rsid w:val="003756E4"/>
    <w:rsid w:val="00376681"/>
    <w:rsid w:val="003803EE"/>
    <w:rsid w:val="003812D3"/>
    <w:rsid w:val="003903ED"/>
    <w:rsid w:val="0039122E"/>
    <w:rsid w:val="003A1E4F"/>
    <w:rsid w:val="003A4931"/>
    <w:rsid w:val="003A4FDB"/>
    <w:rsid w:val="003A6282"/>
    <w:rsid w:val="003B3353"/>
    <w:rsid w:val="003B4AAD"/>
    <w:rsid w:val="003B51A4"/>
    <w:rsid w:val="003B5E3E"/>
    <w:rsid w:val="003C1315"/>
    <w:rsid w:val="003C1B21"/>
    <w:rsid w:val="003C1E05"/>
    <w:rsid w:val="003C2E20"/>
    <w:rsid w:val="003C3740"/>
    <w:rsid w:val="003D09E5"/>
    <w:rsid w:val="003D327E"/>
    <w:rsid w:val="003D34F5"/>
    <w:rsid w:val="003D46AC"/>
    <w:rsid w:val="003D4EE8"/>
    <w:rsid w:val="003D6CAC"/>
    <w:rsid w:val="003E5023"/>
    <w:rsid w:val="003F00B8"/>
    <w:rsid w:val="003F093C"/>
    <w:rsid w:val="003F138C"/>
    <w:rsid w:val="003F7B2A"/>
    <w:rsid w:val="003F7E34"/>
    <w:rsid w:val="004030E9"/>
    <w:rsid w:val="00403736"/>
    <w:rsid w:val="00406976"/>
    <w:rsid w:val="004079B1"/>
    <w:rsid w:val="0041062E"/>
    <w:rsid w:val="00410AF3"/>
    <w:rsid w:val="00412CF8"/>
    <w:rsid w:val="00415238"/>
    <w:rsid w:val="00417BE0"/>
    <w:rsid w:val="004217F3"/>
    <w:rsid w:val="00423886"/>
    <w:rsid w:val="004249EE"/>
    <w:rsid w:val="00425012"/>
    <w:rsid w:val="00426148"/>
    <w:rsid w:val="00426439"/>
    <w:rsid w:val="00427BE9"/>
    <w:rsid w:val="00432896"/>
    <w:rsid w:val="00433207"/>
    <w:rsid w:val="00433B33"/>
    <w:rsid w:val="00441FEC"/>
    <w:rsid w:val="00444515"/>
    <w:rsid w:val="0044526B"/>
    <w:rsid w:val="00454872"/>
    <w:rsid w:val="00454C45"/>
    <w:rsid w:val="00464C0D"/>
    <w:rsid w:val="00467E8A"/>
    <w:rsid w:val="00480306"/>
    <w:rsid w:val="004902C5"/>
    <w:rsid w:val="00490E31"/>
    <w:rsid w:val="00492727"/>
    <w:rsid w:val="004972D7"/>
    <w:rsid w:val="00497820"/>
    <w:rsid w:val="004A0F51"/>
    <w:rsid w:val="004B071C"/>
    <w:rsid w:val="004B0AAA"/>
    <w:rsid w:val="004B0B51"/>
    <w:rsid w:val="004B3D39"/>
    <w:rsid w:val="004B7335"/>
    <w:rsid w:val="004C2787"/>
    <w:rsid w:val="004C4235"/>
    <w:rsid w:val="004D012A"/>
    <w:rsid w:val="004D2865"/>
    <w:rsid w:val="004D4113"/>
    <w:rsid w:val="004D461F"/>
    <w:rsid w:val="004D5172"/>
    <w:rsid w:val="004D75F4"/>
    <w:rsid w:val="004E28B3"/>
    <w:rsid w:val="004E33CF"/>
    <w:rsid w:val="004E383B"/>
    <w:rsid w:val="004F0556"/>
    <w:rsid w:val="004F1523"/>
    <w:rsid w:val="004F1DDA"/>
    <w:rsid w:val="004F466A"/>
    <w:rsid w:val="004F603F"/>
    <w:rsid w:val="00501103"/>
    <w:rsid w:val="00504089"/>
    <w:rsid w:val="0050673D"/>
    <w:rsid w:val="00506997"/>
    <w:rsid w:val="00510B00"/>
    <w:rsid w:val="00512432"/>
    <w:rsid w:val="0051574D"/>
    <w:rsid w:val="00515C4A"/>
    <w:rsid w:val="00517BD3"/>
    <w:rsid w:val="00517D96"/>
    <w:rsid w:val="00520FCE"/>
    <w:rsid w:val="00522CB0"/>
    <w:rsid w:val="005242A7"/>
    <w:rsid w:val="00524AC1"/>
    <w:rsid w:val="00531CE4"/>
    <w:rsid w:val="00535809"/>
    <w:rsid w:val="0053597D"/>
    <w:rsid w:val="005365E3"/>
    <w:rsid w:val="00536FC6"/>
    <w:rsid w:val="005372ED"/>
    <w:rsid w:val="00540943"/>
    <w:rsid w:val="005437E3"/>
    <w:rsid w:val="005445F5"/>
    <w:rsid w:val="005478EC"/>
    <w:rsid w:val="0055037D"/>
    <w:rsid w:val="00550811"/>
    <w:rsid w:val="00552112"/>
    <w:rsid w:val="0055374F"/>
    <w:rsid w:val="00555A1B"/>
    <w:rsid w:val="00561E3E"/>
    <w:rsid w:val="0056336D"/>
    <w:rsid w:val="00563D13"/>
    <w:rsid w:val="0057270C"/>
    <w:rsid w:val="00573F4F"/>
    <w:rsid w:val="00581241"/>
    <w:rsid w:val="00582840"/>
    <w:rsid w:val="00583438"/>
    <w:rsid w:val="005906F1"/>
    <w:rsid w:val="00593728"/>
    <w:rsid w:val="00593E59"/>
    <w:rsid w:val="005943FE"/>
    <w:rsid w:val="005A2457"/>
    <w:rsid w:val="005A3198"/>
    <w:rsid w:val="005A5DF2"/>
    <w:rsid w:val="005A68A6"/>
    <w:rsid w:val="005B4F6E"/>
    <w:rsid w:val="005B5DF0"/>
    <w:rsid w:val="005B6F77"/>
    <w:rsid w:val="005C004F"/>
    <w:rsid w:val="005C5E92"/>
    <w:rsid w:val="005D02B0"/>
    <w:rsid w:val="005D0F58"/>
    <w:rsid w:val="005D1FFD"/>
    <w:rsid w:val="005D3ABB"/>
    <w:rsid w:val="005D492E"/>
    <w:rsid w:val="005D49A0"/>
    <w:rsid w:val="005D5494"/>
    <w:rsid w:val="005D6F2F"/>
    <w:rsid w:val="005E3BA9"/>
    <w:rsid w:val="005E4AF1"/>
    <w:rsid w:val="005E4BEC"/>
    <w:rsid w:val="005E5532"/>
    <w:rsid w:val="005E7AA1"/>
    <w:rsid w:val="005F6702"/>
    <w:rsid w:val="0060308F"/>
    <w:rsid w:val="00603810"/>
    <w:rsid w:val="00604680"/>
    <w:rsid w:val="006058C2"/>
    <w:rsid w:val="00612621"/>
    <w:rsid w:val="00613C5F"/>
    <w:rsid w:val="00617683"/>
    <w:rsid w:val="00621280"/>
    <w:rsid w:val="00627D9A"/>
    <w:rsid w:val="006317EB"/>
    <w:rsid w:val="00632CB6"/>
    <w:rsid w:val="00633FAC"/>
    <w:rsid w:val="00646700"/>
    <w:rsid w:val="00646EE2"/>
    <w:rsid w:val="00650C04"/>
    <w:rsid w:val="00651C6B"/>
    <w:rsid w:val="00652440"/>
    <w:rsid w:val="006543F2"/>
    <w:rsid w:val="00655F02"/>
    <w:rsid w:val="0065721E"/>
    <w:rsid w:val="006601B7"/>
    <w:rsid w:val="0066237A"/>
    <w:rsid w:val="00663704"/>
    <w:rsid w:val="00664921"/>
    <w:rsid w:val="0066492E"/>
    <w:rsid w:val="00665988"/>
    <w:rsid w:val="006676CC"/>
    <w:rsid w:val="006707D9"/>
    <w:rsid w:val="00676242"/>
    <w:rsid w:val="006765FA"/>
    <w:rsid w:val="00677E40"/>
    <w:rsid w:val="0068278F"/>
    <w:rsid w:val="006858EC"/>
    <w:rsid w:val="006859A8"/>
    <w:rsid w:val="0068765D"/>
    <w:rsid w:val="00690902"/>
    <w:rsid w:val="00690BD3"/>
    <w:rsid w:val="006948E7"/>
    <w:rsid w:val="00697095"/>
    <w:rsid w:val="006A0266"/>
    <w:rsid w:val="006A10A1"/>
    <w:rsid w:val="006A190D"/>
    <w:rsid w:val="006A246C"/>
    <w:rsid w:val="006A368F"/>
    <w:rsid w:val="006A4E12"/>
    <w:rsid w:val="006A63CA"/>
    <w:rsid w:val="006A687C"/>
    <w:rsid w:val="006B0E3B"/>
    <w:rsid w:val="006B6AEF"/>
    <w:rsid w:val="006B6BE3"/>
    <w:rsid w:val="006B7EC9"/>
    <w:rsid w:val="006C3BF5"/>
    <w:rsid w:val="006D50A1"/>
    <w:rsid w:val="006D5156"/>
    <w:rsid w:val="006D5379"/>
    <w:rsid w:val="006D634E"/>
    <w:rsid w:val="006E29B7"/>
    <w:rsid w:val="006E3B6D"/>
    <w:rsid w:val="006E54CE"/>
    <w:rsid w:val="006F2B33"/>
    <w:rsid w:val="006F368A"/>
    <w:rsid w:val="006F7A16"/>
    <w:rsid w:val="006F7A19"/>
    <w:rsid w:val="00700040"/>
    <w:rsid w:val="0070073A"/>
    <w:rsid w:val="00701EAE"/>
    <w:rsid w:val="00703093"/>
    <w:rsid w:val="00704CC6"/>
    <w:rsid w:val="007064D1"/>
    <w:rsid w:val="00706F0D"/>
    <w:rsid w:val="0071196E"/>
    <w:rsid w:val="00714120"/>
    <w:rsid w:val="007142D1"/>
    <w:rsid w:val="00717452"/>
    <w:rsid w:val="00717FB9"/>
    <w:rsid w:val="00723891"/>
    <w:rsid w:val="00726E7E"/>
    <w:rsid w:val="00730780"/>
    <w:rsid w:val="0073125E"/>
    <w:rsid w:val="00731493"/>
    <w:rsid w:val="007316B1"/>
    <w:rsid w:val="007326D5"/>
    <w:rsid w:val="00732C8E"/>
    <w:rsid w:val="007336AE"/>
    <w:rsid w:val="00733822"/>
    <w:rsid w:val="00737A13"/>
    <w:rsid w:val="00741B83"/>
    <w:rsid w:val="007421E3"/>
    <w:rsid w:val="007449C3"/>
    <w:rsid w:val="00746071"/>
    <w:rsid w:val="0074629E"/>
    <w:rsid w:val="00746796"/>
    <w:rsid w:val="00747838"/>
    <w:rsid w:val="00753C79"/>
    <w:rsid w:val="007556C0"/>
    <w:rsid w:val="00756303"/>
    <w:rsid w:val="00757BDF"/>
    <w:rsid w:val="007604BE"/>
    <w:rsid w:val="00762D07"/>
    <w:rsid w:val="00763E18"/>
    <w:rsid w:val="00765601"/>
    <w:rsid w:val="00767947"/>
    <w:rsid w:val="00770008"/>
    <w:rsid w:val="00772B17"/>
    <w:rsid w:val="00773D27"/>
    <w:rsid w:val="00775028"/>
    <w:rsid w:val="007750BF"/>
    <w:rsid w:val="00777E2C"/>
    <w:rsid w:val="007839B6"/>
    <w:rsid w:val="007854ED"/>
    <w:rsid w:val="007875B7"/>
    <w:rsid w:val="007929C5"/>
    <w:rsid w:val="00793864"/>
    <w:rsid w:val="007956AB"/>
    <w:rsid w:val="0079648B"/>
    <w:rsid w:val="007B2245"/>
    <w:rsid w:val="007B27ED"/>
    <w:rsid w:val="007B4ED5"/>
    <w:rsid w:val="007B59B5"/>
    <w:rsid w:val="007B5B2C"/>
    <w:rsid w:val="007B5D03"/>
    <w:rsid w:val="007C14CD"/>
    <w:rsid w:val="007C4093"/>
    <w:rsid w:val="007C5D74"/>
    <w:rsid w:val="007C6D81"/>
    <w:rsid w:val="007D09FC"/>
    <w:rsid w:val="007D20D6"/>
    <w:rsid w:val="007D3ADF"/>
    <w:rsid w:val="007D5C6A"/>
    <w:rsid w:val="007E0128"/>
    <w:rsid w:val="007E1168"/>
    <w:rsid w:val="007E11E0"/>
    <w:rsid w:val="007E4E30"/>
    <w:rsid w:val="007E565F"/>
    <w:rsid w:val="007E5770"/>
    <w:rsid w:val="007E5C52"/>
    <w:rsid w:val="007F531E"/>
    <w:rsid w:val="007F5E88"/>
    <w:rsid w:val="007F7DB6"/>
    <w:rsid w:val="00807D0F"/>
    <w:rsid w:val="00814529"/>
    <w:rsid w:val="00822FDA"/>
    <w:rsid w:val="00824E4E"/>
    <w:rsid w:val="008270A9"/>
    <w:rsid w:val="00832CAE"/>
    <w:rsid w:val="00833D0E"/>
    <w:rsid w:val="008355C0"/>
    <w:rsid w:val="00837C62"/>
    <w:rsid w:val="0084095E"/>
    <w:rsid w:val="00844574"/>
    <w:rsid w:val="0084702B"/>
    <w:rsid w:val="00847EEF"/>
    <w:rsid w:val="008527EA"/>
    <w:rsid w:val="008533F9"/>
    <w:rsid w:val="00857AD6"/>
    <w:rsid w:val="008627B3"/>
    <w:rsid w:val="008656BF"/>
    <w:rsid w:val="00865DC6"/>
    <w:rsid w:val="008730B6"/>
    <w:rsid w:val="00874AD8"/>
    <w:rsid w:val="00875056"/>
    <w:rsid w:val="00875201"/>
    <w:rsid w:val="00876224"/>
    <w:rsid w:val="0088130A"/>
    <w:rsid w:val="008815B2"/>
    <w:rsid w:val="00882C15"/>
    <w:rsid w:val="00883C8A"/>
    <w:rsid w:val="008866D5"/>
    <w:rsid w:val="00886D25"/>
    <w:rsid w:val="008956BD"/>
    <w:rsid w:val="0089579C"/>
    <w:rsid w:val="00896B2B"/>
    <w:rsid w:val="008A2329"/>
    <w:rsid w:val="008A3881"/>
    <w:rsid w:val="008A3DB7"/>
    <w:rsid w:val="008A459D"/>
    <w:rsid w:val="008A6FF3"/>
    <w:rsid w:val="008B09F2"/>
    <w:rsid w:val="008B2ADF"/>
    <w:rsid w:val="008B2B99"/>
    <w:rsid w:val="008B6D21"/>
    <w:rsid w:val="008B7B94"/>
    <w:rsid w:val="008C0291"/>
    <w:rsid w:val="008C575D"/>
    <w:rsid w:val="008D0331"/>
    <w:rsid w:val="008D18A8"/>
    <w:rsid w:val="008D2015"/>
    <w:rsid w:val="008D26A8"/>
    <w:rsid w:val="008D516E"/>
    <w:rsid w:val="008E1F77"/>
    <w:rsid w:val="008E4334"/>
    <w:rsid w:val="008E4DDA"/>
    <w:rsid w:val="008F2569"/>
    <w:rsid w:val="008F7598"/>
    <w:rsid w:val="00901301"/>
    <w:rsid w:val="00901FBA"/>
    <w:rsid w:val="00902FFD"/>
    <w:rsid w:val="00905425"/>
    <w:rsid w:val="00906567"/>
    <w:rsid w:val="00913CB3"/>
    <w:rsid w:val="0091484E"/>
    <w:rsid w:val="00921907"/>
    <w:rsid w:val="00924CEB"/>
    <w:rsid w:val="00924E0A"/>
    <w:rsid w:val="00931025"/>
    <w:rsid w:val="00931271"/>
    <w:rsid w:val="0093385A"/>
    <w:rsid w:val="009407A2"/>
    <w:rsid w:val="009504E1"/>
    <w:rsid w:val="00950F19"/>
    <w:rsid w:val="00955026"/>
    <w:rsid w:val="00961D0B"/>
    <w:rsid w:val="00964A4F"/>
    <w:rsid w:val="00966D04"/>
    <w:rsid w:val="00967ADC"/>
    <w:rsid w:val="0097129D"/>
    <w:rsid w:val="00972633"/>
    <w:rsid w:val="0097732B"/>
    <w:rsid w:val="00980712"/>
    <w:rsid w:val="00981584"/>
    <w:rsid w:val="00985902"/>
    <w:rsid w:val="00990EAB"/>
    <w:rsid w:val="009919AE"/>
    <w:rsid w:val="00996D63"/>
    <w:rsid w:val="009A0249"/>
    <w:rsid w:val="009A04AC"/>
    <w:rsid w:val="009A124C"/>
    <w:rsid w:val="009A2136"/>
    <w:rsid w:val="009A4E68"/>
    <w:rsid w:val="009A5CC3"/>
    <w:rsid w:val="009B3309"/>
    <w:rsid w:val="009C624B"/>
    <w:rsid w:val="009D2F8E"/>
    <w:rsid w:val="009D644B"/>
    <w:rsid w:val="009E115F"/>
    <w:rsid w:val="009E2CCE"/>
    <w:rsid w:val="009E4F34"/>
    <w:rsid w:val="009E5205"/>
    <w:rsid w:val="009F032C"/>
    <w:rsid w:val="009F181E"/>
    <w:rsid w:val="009F3EB1"/>
    <w:rsid w:val="009F7450"/>
    <w:rsid w:val="00A013DA"/>
    <w:rsid w:val="00A02922"/>
    <w:rsid w:val="00A02B0D"/>
    <w:rsid w:val="00A03E4E"/>
    <w:rsid w:val="00A0611F"/>
    <w:rsid w:val="00A07E9B"/>
    <w:rsid w:val="00A1133C"/>
    <w:rsid w:val="00A12F93"/>
    <w:rsid w:val="00A13D53"/>
    <w:rsid w:val="00A14365"/>
    <w:rsid w:val="00A214AB"/>
    <w:rsid w:val="00A215FF"/>
    <w:rsid w:val="00A22C24"/>
    <w:rsid w:val="00A2359B"/>
    <w:rsid w:val="00A248C8"/>
    <w:rsid w:val="00A270A5"/>
    <w:rsid w:val="00A33D44"/>
    <w:rsid w:val="00A41772"/>
    <w:rsid w:val="00A424A9"/>
    <w:rsid w:val="00A46876"/>
    <w:rsid w:val="00A4690E"/>
    <w:rsid w:val="00A47F2D"/>
    <w:rsid w:val="00A5401B"/>
    <w:rsid w:val="00A5473E"/>
    <w:rsid w:val="00A5496C"/>
    <w:rsid w:val="00A56182"/>
    <w:rsid w:val="00A64571"/>
    <w:rsid w:val="00A6638C"/>
    <w:rsid w:val="00A6698F"/>
    <w:rsid w:val="00A7588B"/>
    <w:rsid w:val="00A761D3"/>
    <w:rsid w:val="00A76B4C"/>
    <w:rsid w:val="00A80B02"/>
    <w:rsid w:val="00A8648D"/>
    <w:rsid w:val="00A86D7B"/>
    <w:rsid w:val="00A87BDC"/>
    <w:rsid w:val="00A9381C"/>
    <w:rsid w:val="00AA19AE"/>
    <w:rsid w:val="00AA1B8E"/>
    <w:rsid w:val="00AA2F1D"/>
    <w:rsid w:val="00AA564A"/>
    <w:rsid w:val="00AA6F71"/>
    <w:rsid w:val="00AB13CE"/>
    <w:rsid w:val="00AB1DDA"/>
    <w:rsid w:val="00AB56BD"/>
    <w:rsid w:val="00AB61D9"/>
    <w:rsid w:val="00AB6336"/>
    <w:rsid w:val="00AB71AA"/>
    <w:rsid w:val="00AC2A3E"/>
    <w:rsid w:val="00AC30B0"/>
    <w:rsid w:val="00AC4234"/>
    <w:rsid w:val="00AD0AD2"/>
    <w:rsid w:val="00AD33E9"/>
    <w:rsid w:val="00AD3AD6"/>
    <w:rsid w:val="00AD4F7B"/>
    <w:rsid w:val="00AD7B88"/>
    <w:rsid w:val="00AE2599"/>
    <w:rsid w:val="00AE29C6"/>
    <w:rsid w:val="00AE45AF"/>
    <w:rsid w:val="00AE572A"/>
    <w:rsid w:val="00AF2EEE"/>
    <w:rsid w:val="00B0755A"/>
    <w:rsid w:val="00B1144A"/>
    <w:rsid w:val="00B13D27"/>
    <w:rsid w:val="00B14A40"/>
    <w:rsid w:val="00B159B9"/>
    <w:rsid w:val="00B212C7"/>
    <w:rsid w:val="00B301EA"/>
    <w:rsid w:val="00B32B36"/>
    <w:rsid w:val="00B361CB"/>
    <w:rsid w:val="00B36811"/>
    <w:rsid w:val="00B43FA2"/>
    <w:rsid w:val="00B44993"/>
    <w:rsid w:val="00B45948"/>
    <w:rsid w:val="00B47B4E"/>
    <w:rsid w:val="00B501E3"/>
    <w:rsid w:val="00B504E7"/>
    <w:rsid w:val="00B52A51"/>
    <w:rsid w:val="00B53166"/>
    <w:rsid w:val="00B54C40"/>
    <w:rsid w:val="00B55322"/>
    <w:rsid w:val="00B55440"/>
    <w:rsid w:val="00B55B63"/>
    <w:rsid w:val="00B5669B"/>
    <w:rsid w:val="00B62CEB"/>
    <w:rsid w:val="00B63DD9"/>
    <w:rsid w:val="00B63FA8"/>
    <w:rsid w:val="00B7102B"/>
    <w:rsid w:val="00B71DFA"/>
    <w:rsid w:val="00B72598"/>
    <w:rsid w:val="00B72D88"/>
    <w:rsid w:val="00B73372"/>
    <w:rsid w:val="00B759ED"/>
    <w:rsid w:val="00B82A54"/>
    <w:rsid w:val="00B83416"/>
    <w:rsid w:val="00B83783"/>
    <w:rsid w:val="00B83808"/>
    <w:rsid w:val="00B92316"/>
    <w:rsid w:val="00B950A8"/>
    <w:rsid w:val="00B968F1"/>
    <w:rsid w:val="00B96ED1"/>
    <w:rsid w:val="00BA1465"/>
    <w:rsid w:val="00BA6100"/>
    <w:rsid w:val="00BA6A82"/>
    <w:rsid w:val="00BB0E27"/>
    <w:rsid w:val="00BB30E5"/>
    <w:rsid w:val="00BB5A98"/>
    <w:rsid w:val="00BC09D5"/>
    <w:rsid w:val="00BC1F94"/>
    <w:rsid w:val="00BC28CC"/>
    <w:rsid w:val="00BC3F85"/>
    <w:rsid w:val="00BC64DA"/>
    <w:rsid w:val="00BC7ED9"/>
    <w:rsid w:val="00BD057C"/>
    <w:rsid w:val="00BD2926"/>
    <w:rsid w:val="00BD2EC9"/>
    <w:rsid w:val="00BD4A74"/>
    <w:rsid w:val="00BD58F8"/>
    <w:rsid w:val="00BE0037"/>
    <w:rsid w:val="00BE56BD"/>
    <w:rsid w:val="00BE6889"/>
    <w:rsid w:val="00BF0177"/>
    <w:rsid w:val="00BF26E6"/>
    <w:rsid w:val="00BF3CAD"/>
    <w:rsid w:val="00BF6073"/>
    <w:rsid w:val="00C00249"/>
    <w:rsid w:val="00C0367C"/>
    <w:rsid w:val="00C10326"/>
    <w:rsid w:val="00C115F8"/>
    <w:rsid w:val="00C11905"/>
    <w:rsid w:val="00C137BB"/>
    <w:rsid w:val="00C146CB"/>
    <w:rsid w:val="00C15919"/>
    <w:rsid w:val="00C16AC7"/>
    <w:rsid w:val="00C16B4B"/>
    <w:rsid w:val="00C224BD"/>
    <w:rsid w:val="00C2272B"/>
    <w:rsid w:val="00C2579B"/>
    <w:rsid w:val="00C26397"/>
    <w:rsid w:val="00C26A26"/>
    <w:rsid w:val="00C31410"/>
    <w:rsid w:val="00C31CF7"/>
    <w:rsid w:val="00C326CD"/>
    <w:rsid w:val="00C33289"/>
    <w:rsid w:val="00C42297"/>
    <w:rsid w:val="00C441FC"/>
    <w:rsid w:val="00C52011"/>
    <w:rsid w:val="00C533C4"/>
    <w:rsid w:val="00C54A5C"/>
    <w:rsid w:val="00C5655C"/>
    <w:rsid w:val="00C56C54"/>
    <w:rsid w:val="00C578B8"/>
    <w:rsid w:val="00C60A70"/>
    <w:rsid w:val="00C63411"/>
    <w:rsid w:val="00C666A2"/>
    <w:rsid w:val="00C66A34"/>
    <w:rsid w:val="00C67C3E"/>
    <w:rsid w:val="00C81BAE"/>
    <w:rsid w:val="00C831E1"/>
    <w:rsid w:val="00C84051"/>
    <w:rsid w:val="00C852C7"/>
    <w:rsid w:val="00C85F7D"/>
    <w:rsid w:val="00C9038B"/>
    <w:rsid w:val="00C952B9"/>
    <w:rsid w:val="00CA195E"/>
    <w:rsid w:val="00CA3FE6"/>
    <w:rsid w:val="00CA5118"/>
    <w:rsid w:val="00CA536B"/>
    <w:rsid w:val="00CA5D9A"/>
    <w:rsid w:val="00CA7794"/>
    <w:rsid w:val="00CB3E63"/>
    <w:rsid w:val="00CB54BC"/>
    <w:rsid w:val="00CB77AD"/>
    <w:rsid w:val="00CC3388"/>
    <w:rsid w:val="00CC6F7E"/>
    <w:rsid w:val="00CC7908"/>
    <w:rsid w:val="00CD299F"/>
    <w:rsid w:val="00CD3824"/>
    <w:rsid w:val="00CD388F"/>
    <w:rsid w:val="00CE3FE6"/>
    <w:rsid w:val="00CE42FD"/>
    <w:rsid w:val="00CE7A31"/>
    <w:rsid w:val="00CF1D9A"/>
    <w:rsid w:val="00CF2B2F"/>
    <w:rsid w:val="00CF4C3D"/>
    <w:rsid w:val="00D022E5"/>
    <w:rsid w:val="00D04E30"/>
    <w:rsid w:val="00D13111"/>
    <w:rsid w:val="00D174F1"/>
    <w:rsid w:val="00D225F1"/>
    <w:rsid w:val="00D2294E"/>
    <w:rsid w:val="00D22B55"/>
    <w:rsid w:val="00D240BE"/>
    <w:rsid w:val="00D258DB"/>
    <w:rsid w:val="00D27621"/>
    <w:rsid w:val="00D27C7C"/>
    <w:rsid w:val="00D27D18"/>
    <w:rsid w:val="00D316EE"/>
    <w:rsid w:val="00D32960"/>
    <w:rsid w:val="00D32A97"/>
    <w:rsid w:val="00D33290"/>
    <w:rsid w:val="00D37D2E"/>
    <w:rsid w:val="00D474BF"/>
    <w:rsid w:val="00D504CE"/>
    <w:rsid w:val="00D51CEF"/>
    <w:rsid w:val="00D52AA5"/>
    <w:rsid w:val="00D55CFC"/>
    <w:rsid w:val="00D57007"/>
    <w:rsid w:val="00D57F0F"/>
    <w:rsid w:val="00D60561"/>
    <w:rsid w:val="00D61153"/>
    <w:rsid w:val="00D6325C"/>
    <w:rsid w:val="00D63AE4"/>
    <w:rsid w:val="00D64128"/>
    <w:rsid w:val="00D65E99"/>
    <w:rsid w:val="00D6632A"/>
    <w:rsid w:val="00D667D2"/>
    <w:rsid w:val="00D66F17"/>
    <w:rsid w:val="00D700F5"/>
    <w:rsid w:val="00D726C9"/>
    <w:rsid w:val="00D75CCE"/>
    <w:rsid w:val="00D76667"/>
    <w:rsid w:val="00D80081"/>
    <w:rsid w:val="00D82FA7"/>
    <w:rsid w:val="00D86436"/>
    <w:rsid w:val="00D870C8"/>
    <w:rsid w:val="00D90FF4"/>
    <w:rsid w:val="00D9173E"/>
    <w:rsid w:val="00D9205E"/>
    <w:rsid w:val="00D92208"/>
    <w:rsid w:val="00D94B56"/>
    <w:rsid w:val="00D973A3"/>
    <w:rsid w:val="00DA7668"/>
    <w:rsid w:val="00DB0AE0"/>
    <w:rsid w:val="00DB7CEA"/>
    <w:rsid w:val="00DC00BE"/>
    <w:rsid w:val="00DC0EAD"/>
    <w:rsid w:val="00DC1928"/>
    <w:rsid w:val="00DC37D8"/>
    <w:rsid w:val="00DC4095"/>
    <w:rsid w:val="00DC4876"/>
    <w:rsid w:val="00DC529C"/>
    <w:rsid w:val="00DD0ADA"/>
    <w:rsid w:val="00DD29AD"/>
    <w:rsid w:val="00DD3266"/>
    <w:rsid w:val="00DD38A6"/>
    <w:rsid w:val="00DD3F13"/>
    <w:rsid w:val="00DD4472"/>
    <w:rsid w:val="00DD6CDE"/>
    <w:rsid w:val="00DE0050"/>
    <w:rsid w:val="00DE2F76"/>
    <w:rsid w:val="00DE3065"/>
    <w:rsid w:val="00DE63F6"/>
    <w:rsid w:val="00DF00BA"/>
    <w:rsid w:val="00DF50B1"/>
    <w:rsid w:val="00E052C6"/>
    <w:rsid w:val="00E1267F"/>
    <w:rsid w:val="00E16E11"/>
    <w:rsid w:val="00E203C6"/>
    <w:rsid w:val="00E21079"/>
    <w:rsid w:val="00E22BC3"/>
    <w:rsid w:val="00E2377F"/>
    <w:rsid w:val="00E246B0"/>
    <w:rsid w:val="00E252B0"/>
    <w:rsid w:val="00E25AFD"/>
    <w:rsid w:val="00E31778"/>
    <w:rsid w:val="00E4448D"/>
    <w:rsid w:val="00E5016D"/>
    <w:rsid w:val="00E536D5"/>
    <w:rsid w:val="00E54E86"/>
    <w:rsid w:val="00E60A87"/>
    <w:rsid w:val="00E64AE0"/>
    <w:rsid w:val="00E72CF1"/>
    <w:rsid w:val="00E751D6"/>
    <w:rsid w:val="00E75BF4"/>
    <w:rsid w:val="00E76E3D"/>
    <w:rsid w:val="00E817F2"/>
    <w:rsid w:val="00E82AB6"/>
    <w:rsid w:val="00E84CFD"/>
    <w:rsid w:val="00E97859"/>
    <w:rsid w:val="00EA0A0D"/>
    <w:rsid w:val="00EA2156"/>
    <w:rsid w:val="00EA489D"/>
    <w:rsid w:val="00EA76A6"/>
    <w:rsid w:val="00EB21F9"/>
    <w:rsid w:val="00EB420B"/>
    <w:rsid w:val="00EB4AC5"/>
    <w:rsid w:val="00EB71C2"/>
    <w:rsid w:val="00EB7DC6"/>
    <w:rsid w:val="00EC0018"/>
    <w:rsid w:val="00EC0EF7"/>
    <w:rsid w:val="00EC0FD9"/>
    <w:rsid w:val="00EC54D0"/>
    <w:rsid w:val="00ED1C84"/>
    <w:rsid w:val="00ED21B1"/>
    <w:rsid w:val="00ED2552"/>
    <w:rsid w:val="00ED357B"/>
    <w:rsid w:val="00ED3A76"/>
    <w:rsid w:val="00EE525A"/>
    <w:rsid w:val="00EF0CBC"/>
    <w:rsid w:val="00EF2F5B"/>
    <w:rsid w:val="00EF398D"/>
    <w:rsid w:val="00EF728F"/>
    <w:rsid w:val="00F058F0"/>
    <w:rsid w:val="00F07A6B"/>
    <w:rsid w:val="00F11ACC"/>
    <w:rsid w:val="00F30DAA"/>
    <w:rsid w:val="00F34889"/>
    <w:rsid w:val="00F35D14"/>
    <w:rsid w:val="00F421AB"/>
    <w:rsid w:val="00F4275E"/>
    <w:rsid w:val="00F43CE0"/>
    <w:rsid w:val="00F47797"/>
    <w:rsid w:val="00F51E2C"/>
    <w:rsid w:val="00F536B1"/>
    <w:rsid w:val="00F5549E"/>
    <w:rsid w:val="00F6272E"/>
    <w:rsid w:val="00F62C4C"/>
    <w:rsid w:val="00F63F11"/>
    <w:rsid w:val="00F6510D"/>
    <w:rsid w:val="00F6536A"/>
    <w:rsid w:val="00F71252"/>
    <w:rsid w:val="00F7176F"/>
    <w:rsid w:val="00F73346"/>
    <w:rsid w:val="00F74EB8"/>
    <w:rsid w:val="00F76157"/>
    <w:rsid w:val="00F80468"/>
    <w:rsid w:val="00F834A5"/>
    <w:rsid w:val="00F836E7"/>
    <w:rsid w:val="00F851F6"/>
    <w:rsid w:val="00F90B28"/>
    <w:rsid w:val="00F90F03"/>
    <w:rsid w:val="00F91D40"/>
    <w:rsid w:val="00F94845"/>
    <w:rsid w:val="00F970AA"/>
    <w:rsid w:val="00FA254D"/>
    <w:rsid w:val="00FA2745"/>
    <w:rsid w:val="00FA35CA"/>
    <w:rsid w:val="00FA4E49"/>
    <w:rsid w:val="00FA59A1"/>
    <w:rsid w:val="00FA7EEA"/>
    <w:rsid w:val="00FB4090"/>
    <w:rsid w:val="00FB52BB"/>
    <w:rsid w:val="00FB6C80"/>
    <w:rsid w:val="00FC0042"/>
    <w:rsid w:val="00FC0FA4"/>
    <w:rsid w:val="00FC4C9B"/>
    <w:rsid w:val="00FC7E8D"/>
    <w:rsid w:val="00FD23B6"/>
    <w:rsid w:val="00FD48EF"/>
    <w:rsid w:val="00FE3AAB"/>
    <w:rsid w:val="00FE4E94"/>
    <w:rsid w:val="00FF3312"/>
    <w:rsid w:val="00FF4939"/>
    <w:rsid w:val="00FF493B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AE78F"/>
  <w15:docId w15:val="{69D0C48B-FDBE-45B2-AC5E-18043B4F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  <w:lang w:val="cs-CZ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  <w:lang w:val="cs-CZ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  <w:lang w:val="cs-C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cs-CZ" w:bidi="ar-SA"/>
    </w:rPr>
  </w:style>
  <w:style w:type="character" w:customStyle="1" w:styleId="SNDateCar">
    <w:name w:val="SNDate Car"/>
    <w:qFormat/>
    <w:rPr>
      <w:sz w:val="24"/>
      <w:szCs w:val="24"/>
      <w:lang w:val="cs-CZ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cs-CZ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cs-CZ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cs-CZ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surlignage">
    <w:name w:val="surlignage"/>
    <w:qFormat/>
  </w:style>
  <w:style w:type="character" w:styleId="Lienhypertextesuivivisit">
    <w:name w:val="FollowedHyperlink"/>
    <w:qFormat/>
    <w:rPr>
      <w:color w:val="800080"/>
      <w:u w:val="single"/>
    </w:rPr>
  </w:style>
  <w:style w:type="character" w:styleId="lev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Accentuation">
    <w:name w:val="Emphasis"/>
    <w:uiPriority w:val="20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cs-CZ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cs-CZ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cs-CZ" w:eastAsia="en-US"/>
    </w:rPr>
  </w:style>
  <w:style w:type="character" w:customStyle="1" w:styleId="ListLabel1">
    <w:name w:val="ListLabel 1"/>
    <w:qFormat/>
    <w:rPr>
      <w:rFonts w:cs="Liberation Sans"/>
    </w:rPr>
  </w:style>
  <w:style w:type="character" w:customStyle="1" w:styleId="ListLabel2">
    <w:name w:val="ListLabel 2"/>
    <w:qFormat/>
    <w:rPr>
      <w:rFonts w:cs="Liberation Sans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  <w:jc w:val="both"/>
    </w:pPr>
    <w:rPr>
      <w:lang w:val="cs-CZ"/>
    </w:r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0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0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0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suppressAutoHyphens/>
      <w:jc w:val="center"/>
    </w:pPr>
    <w:rPr>
      <w:bCs/>
      <w:sz w:val="24"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  <w:lang w:val="cs-CZ"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Titre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Titre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Titre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  <w:lang w:val="cs-CZ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cs-CZ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cs-CZ"/>
    </w:r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vision">
    <w:name w:val="Revision"/>
    <w:qFormat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uppressAutoHyphens w:val="0"/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val="cs-CZ"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uppressAutoHyphens w:val="0"/>
      <w:spacing w:before="60" w:after="60" w:line="210" w:lineRule="atLeast"/>
    </w:pPr>
    <w:rPr>
      <w:rFonts w:ascii="Arial" w:eastAsia="Calibri" w:hAnsi="Arial"/>
      <w:sz w:val="20"/>
      <w:szCs w:val="22"/>
      <w:lang w:val="cs-CZ"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pPr>
      <w:suppressAutoHyphens w:val="0"/>
    </w:pPr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pPr>
      <w:suppressAutoHyphens w:val="0"/>
    </w:pPr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pPr>
      <w:suppressAutoHyphens w:val="0"/>
    </w:pPr>
    <w:rPr>
      <w:rFonts w:ascii="EUAlbertina" w:hAnsi="EUAlbertina"/>
      <w:color w:val="00000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80B02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A80B02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A80B02"/>
    <w:rPr>
      <w:lang w:eastAsia="zh-CN"/>
    </w:rPr>
  </w:style>
  <w:style w:type="character" w:customStyle="1" w:styleId="highlight">
    <w:name w:val="highlight"/>
    <w:basedOn w:val="Policepardfaut"/>
    <w:rsid w:val="00EB71C2"/>
  </w:style>
  <w:style w:type="character" w:customStyle="1" w:styleId="PieddepageCar">
    <w:name w:val="Pied de page Car"/>
    <w:basedOn w:val="Policepardfaut"/>
    <w:link w:val="Pieddepage"/>
    <w:uiPriority w:val="99"/>
    <w:rsid w:val="00A6698F"/>
    <w:rPr>
      <w:sz w:val="24"/>
      <w:szCs w:val="24"/>
      <w:lang w:val="cs-CZ" w:eastAsia="zh-CN"/>
    </w:rPr>
  </w:style>
  <w:style w:type="character" w:styleId="Lienhypertexte">
    <w:name w:val="Hyperlink"/>
    <w:basedOn w:val="Policepardfaut"/>
    <w:uiPriority w:val="99"/>
    <w:semiHidden/>
    <w:unhideWhenUsed/>
    <w:rsid w:val="00D60561"/>
    <w:rPr>
      <w:color w:val="0000FF"/>
      <w:u w:val="single"/>
    </w:rPr>
  </w:style>
  <w:style w:type="character" w:customStyle="1" w:styleId="super">
    <w:name w:val="super"/>
    <w:basedOn w:val="Policepardfaut"/>
    <w:rsid w:val="00ED3A76"/>
  </w:style>
  <w:style w:type="character" w:customStyle="1" w:styleId="st">
    <w:name w:val="st"/>
    <w:basedOn w:val="Policepardfaut"/>
    <w:rsid w:val="00014DD9"/>
  </w:style>
  <w:style w:type="paragraph" w:customStyle="1" w:styleId="snconsultation0">
    <w:name w:val="snconsultation"/>
    <w:basedOn w:val="Normal"/>
    <w:rsid w:val="00D240BE"/>
    <w:pPr>
      <w:suppressAutoHyphens w:val="0"/>
      <w:spacing w:before="100" w:beforeAutospacing="1" w:after="100" w:afterAutospacing="1"/>
    </w:pPr>
    <w:rPr>
      <w:lang w:eastAsia="fr-FR"/>
    </w:rPr>
  </w:style>
  <w:style w:type="table" w:styleId="Grilledutableau">
    <w:name w:val="Table Grid"/>
    <w:basedOn w:val="TableauNormal"/>
    <w:uiPriority w:val="39"/>
    <w:rsid w:val="00B8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Policepardfaut"/>
    <w:rsid w:val="00F6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CBB6-6979-46B0-A70E-D3E217E5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3034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Hewlett-Packard Company</Company>
  <LinksUpToDate>false</LinksUpToDate>
  <CharactersWithSpaces>19685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GC</dc:creator>
  <dc:description/>
  <cp:lastModifiedBy>MOIZO Juliette</cp:lastModifiedBy>
  <cp:revision>10</cp:revision>
  <cp:lastPrinted>2021-04-29T14:31:00Z</cp:lastPrinted>
  <dcterms:created xsi:type="dcterms:W3CDTF">2021-09-29T20:01:00Z</dcterms:created>
  <dcterms:modified xsi:type="dcterms:W3CDTF">2021-10-01T16:20:00Z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