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FRANZÖSISCHE REPUBLIK</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Ministerium für den ökologischen Wandel</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Dekret Nr.</w:t>
      </w:r>
      <w:r>
        <w:br/>
      </w:r>
      <w:r>
        <w:t xml:space="preserve">über Verbraucherinformationen über die Umweltqualitäten und -eigenschaften von Abfall erzeugenden Produkten</w:t>
      </w:r>
      <w:r>
        <w:t xml:space="preserve">  </w:t>
      </w:r>
    </w:p>
    <w:p w14:paraId="752E1818" w14:textId="77777777" w:rsidR="00A0611F" w:rsidRPr="00C16AC7" w:rsidRDefault="00A0611F" w:rsidP="00A0611F">
      <w:pPr>
        <w:pStyle w:val="SNNORCentr"/>
        <w:rPr>
          <w:i/>
        </w:rPr>
      </w:pPr>
      <w:r>
        <w:t xml:space="preserve">NOR-Nr.: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Betroffene Zielgruppen: </w:t>
      </w:r>
      <w:r>
        <w:rPr>
          <w:i/>
          <w:b w:val="0"/>
        </w:rPr>
        <w:t xml:space="preserve">Hersteller, Importeure, Händler oder andere Inverkehrbringer von Abfall erzeugenden Produkten, die für Verbraucher bestimmt sind, einschließlich derjenigen, die im Rahmen ihrer gewerblichen Tätigkeit in Frankreich eine Website, eine Plattform oder einen anderen Online-Vertriebskanal nutzen, sowie die Verbraucher dieser Produkte</w:t>
      </w:r>
    </w:p>
    <w:p w14:paraId="561AF1CA" w14:textId="77777777" w:rsidR="00A0611F" w:rsidRPr="00C16AC7" w:rsidRDefault="00A0611F" w:rsidP="00A0611F">
      <w:pPr>
        <w:pStyle w:val="SNAutorit"/>
        <w:spacing w:before="120"/>
        <w:jc w:val="both"/>
        <w:rPr>
          <w:i/>
        </w:rPr>
      </w:pPr>
      <w:r>
        <w:rPr>
          <w:i/>
        </w:rPr>
        <w:t xml:space="preserve">Gegenstand: </w:t>
      </w:r>
      <w:r>
        <w:rPr>
          <w:i/>
          <w:b w:val="0"/>
        </w:rPr>
        <w:t xml:space="preserve">Umsetzung der Verpflichtung nach Artikel L. 541-9-1 des Umweltgesetzbuchs in Bezug auf Verbraucherinformationen</w:t>
      </w:r>
      <w:r>
        <w:rPr>
          <w:i/>
        </w:rPr>
        <w:t xml:space="preserve"> </w:t>
      </w:r>
      <w:r>
        <w:rPr>
          <w:i/>
          <w:b w:val="0"/>
        </w:rPr>
        <w:t xml:space="preserve">über die Umweltqualitäten und -eigenschaften von</w:t>
      </w:r>
      <w:r>
        <w:rPr>
          <w:i/>
        </w:rPr>
        <w:t xml:space="preserve"> </w:t>
      </w:r>
      <w:r>
        <w:rPr>
          <w:i/>
          <w:b w:val="0"/>
        </w:rPr>
        <w:t xml:space="preserve">Abfall erzeugenden Produkten</w:t>
      </w:r>
      <w:r>
        <w:rPr>
          <w:i/>
          <w:b w:val="0"/>
        </w:rPr>
        <w:t xml:space="preserve"> </w:t>
      </w:r>
    </w:p>
    <w:p w14:paraId="62BABF54" w14:textId="77777777" w:rsidR="00A0611F" w:rsidRPr="00C16AC7" w:rsidRDefault="00A0611F" w:rsidP="00A0611F">
      <w:pPr>
        <w:pStyle w:val="SNAutorit"/>
        <w:spacing w:before="120"/>
        <w:rPr>
          <w:i/>
        </w:rPr>
      </w:pPr>
      <w:r>
        <w:rPr>
          <w:i/>
        </w:rPr>
        <w:t xml:space="preserve">Inkrafttreten: </w:t>
      </w:r>
      <w:r>
        <w:rPr>
          <w:i/>
          <w:b w:val="0"/>
        </w:rPr>
        <w:t xml:space="preserve">Der Text tritt am 1. Januar 2022 in Kraft.</w:t>
      </w:r>
    </w:p>
    <w:p w14:paraId="314AD767" w14:textId="5FEC2270" w:rsidR="00A0611F" w:rsidRPr="000A37F2" w:rsidRDefault="00A0611F" w:rsidP="00A0611F">
      <w:pPr>
        <w:pStyle w:val="SNAutorit"/>
        <w:spacing w:before="120"/>
        <w:jc w:val="both"/>
        <w:rPr>
          <w:b w:val="0"/>
        </w:rPr>
      </w:pPr>
      <w:r>
        <w:t xml:space="preserve">Hinweis: </w:t>
      </w:r>
      <w:r>
        <w:rPr>
          <w:b w:val="0"/>
        </w:rPr>
        <w:t xml:space="preserve">In dem Dekret werden die Modalitäten für die Anwendung von Artikel L. 541-9-1 des Umweltgesetzbuchs festgelegt, der die Hersteller und Importeure verpflichtet, den Verbrauchern angemessene Informationen über die Umweltqualitäten und -eigenschaften von Abfall erzeugenden Produkten zur Verfügung zu stellen – diese Begriffe werden im vorliegenden Text definiert.</w:t>
      </w:r>
      <w:r>
        <w:rPr>
          <w:b w:val="0"/>
        </w:rPr>
        <w:t xml:space="preserve"> </w:t>
      </w:r>
      <w:r>
        <w:rPr>
          <w:b w:val="0"/>
        </w:rPr>
        <w:t xml:space="preserve">Diese Informationen werden auf elektronischem Wege und gegebenenfalls gemäß den per Erlass festgelegten Verfahren, durch Aushang, Etikettierung oder eine andere lesbare und verständliche Vorrichtung zum Zeitpunkt des Kaufs zur Verfügung gestellt.</w:t>
      </w:r>
      <w:r>
        <w:rPr>
          <w:b w:val="0"/>
        </w:rPr>
        <w:t xml:space="preserve"> </w:t>
      </w:r>
      <w:r>
        <w:rPr>
          <w:b w:val="0"/>
        </w:rPr>
        <w:t xml:space="preserve">Bei diesen Umweltqualitäten und -eigenschaften handelt es sich je nach Produktgruppe insbesondere um Beimischung von recyceltem Material, Nutzung erneuerbarer Ressourcen, Haltbarkeit, Kompostierbarkeit, Reparierbarkeit, Wiederverwendbarkeit, Recyclingfähigkeit, Vorhandensein von gefährlichen Stoffen, Edelmetallen oder seltenen Erden, Rückverfolgbarkeit und Vorhandensein von Mikrofasern aus Kunststoff.</w:t>
      </w:r>
      <w:r>
        <w:rPr>
          <w:b w:val="0"/>
        </w:rPr>
        <w:t xml:space="preserve"> </w:t>
      </w:r>
      <w:r>
        <w:rPr>
          <w:b w:val="0"/>
        </w:rPr>
        <w:t xml:space="preserve">Das Format, in dem die Daten zu diesen Umweltqualitäten und -eigenschaften den Verbrauchern zur Verfügung gestellt werden, muss leicht wiederverwendbar sein und von einem automatisierten Verarbeitungssystem in aggregierter Form genutzt werden können.</w:t>
      </w:r>
      <w:r>
        <w:rPr>
          <w:b w:val="0"/>
        </w:rPr>
        <w:t xml:space="preserve"> </w:t>
      </w:r>
    </w:p>
    <w:p w14:paraId="1F3654C0" w14:textId="77777777" w:rsidR="00A0611F" w:rsidRPr="00C16AC7" w:rsidRDefault="00A0611F" w:rsidP="00A0611F">
      <w:pPr>
        <w:pStyle w:val="SNAutorit"/>
        <w:spacing w:before="120"/>
        <w:jc w:val="both"/>
      </w:pPr>
      <w:r>
        <w:rPr>
          <w:i/>
        </w:rPr>
        <w:t xml:space="preserve">Verweise: </w:t>
      </w:r>
      <w:r>
        <w:rPr>
          <w:i/>
          <w:b w:val="0"/>
        </w:rPr>
        <w:t xml:space="preserve">Das vorliegende Dekret kann auf der Website von Légifrance abgerufen werden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Der Premierminister,</w:t>
      </w:r>
    </w:p>
    <w:p w14:paraId="6BDC5F53" w14:textId="77777777" w:rsidR="00A0611F" w:rsidRDefault="00A0611F" w:rsidP="00A0611F">
      <w:pPr>
        <w:pStyle w:val="SNConsultation"/>
      </w:pPr>
      <w:r>
        <w:t xml:space="preserve">gestützt auf den Bericht der Ministerin für den ökologischen Wandel und des Ministers für Wirtschaft, Finanzen und Aufschwung;</w:t>
      </w:r>
    </w:p>
    <w:p w14:paraId="0041E6EC" w14:textId="5BE41CC7" w:rsidR="00A0611F" w:rsidRDefault="00A0611F" w:rsidP="00A0611F">
      <w:pPr>
        <w:pStyle w:val="SNConsultation"/>
      </w:pPr>
      <w:r>
        <w:t xml:space="preserve">gestützt auf die 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w:t>
      </w:r>
    </w:p>
    <w:p w14:paraId="5930E205" w14:textId="701290A8" w:rsidR="00A761D3" w:rsidRPr="00C16AC7" w:rsidRDefault="00A761D3" w:rsidP="00A0611F">
      <w:pPr>
        <w:pStyle w:val="SNConsultation"/>
      </w:pPr>
      <w:r>
        <w:t xml:space="preserve">gestützt auf die Richtlinie 94/62/EG des Europäischen Parlaments und des Rates vom 20. Dezember 1994 über Verpackungen und Verpackungsabfälle in der geänderten Fassung;</w:t>
      </w:r>
    </w:p>
    <w:p w14:paraId="7B44A833" w14:textId="7A5E5858" w:rsidR="00A0611F" w:rsidRPr="00C16AC7" w:rsidRDefault="00A0611F" w:rsidP="00A0611F">
      <w:pPr>
        <w:pStyle w:val="SNConsultation"/>
      </w:pPr>
      <w:r>
        <w:t xml:space="preserve">gestützt auf die Richtlinie (EU) 2018/851 des Europäischen Parlaments und des Rates vom 30. Mai 2018 zur Änderung der Richtlinie 2008/98/EG über Abfälle;</w:t>
      </w:r>
    </w:p>
    <w:p w14:paraId="13F59CC6" w14:textId="3A902BF1" w:rsidR="00A0611F" w:rsidRDefault="00A0611F" w:rsidP="00A0611F">
      <w:pPr>
        <w:pStyle w:val="SNConsultation"/>
      </w:pPr>
      <w:r>
        <w:t xml:space="preserve">gestützt auf die Richtlinie (EU) 2015/1535 des Europäischen Parlaments und des Rates vom 9. September 2015 über ein Informationsverfahren auf dem Gebiet der technischen Vorschriften und der Vorschriften für die Dienste der Informationsgesellschaft;</w:t>
      </w:r>
    </w:p>
    <w:p w14:paraId="47F284B5" w14:textId="5839C8F9" w:rsidR="008B2B99" w:rsidRDefault="008B2B99" w:rsidP="00A0611F">
      <w:pPr>
        <w:pStyle w:val="SNConsultation"/>
      </w:pPr>
      <w:r>
        <w:t xml:space="preserve">gestützt auf das Verbraucherschutzgesetzbuch, insbesondere den einleitenden Artikel;</w:t>
      </w:r>
    </w:p>
    <w:p w14:paraId="508C1D8A" w14:textId="512931AA" w:rsidR="00A0611F" w:rsidRPr="00C16AC7" w:rsidRDefault="00A0611F" w:rsidP="00A0611F">
      <w:pPr>
        <w:pStyle w:val="SNConsultation"/>
      </w:pPr>
      <w:r>
        <w:t xml:space="preserve">gestützt auf die Bau- und Wohnungsordnung, insbesondere Artikel L. 111-9-2;</w:t>
      </w:r>
    </w:p>
    <w:p w14:paraId="2A560728" w14:textId="77777777" w:rsidR="00A0611F" w:rsidRDefault="00A0611F" w:rsidP="00A0611F">
      <w:pPr>
        <w:pStyle w:val="SNConsultation"/>
      </w:pPr>
      <w:r>
        <w:t xml:space="preserve">gestützt auf das Umweltgesetzbuch;</w:t>
      </w:r>
    </w:p>
    <w:p w14:paraId="415D6312" w14:textId="385EEBF1" w:rsidR="00A0611F" w:rsidRDefault="00A0611F" w:rsidP="00A0611F">
      <w:pPr>
        <w:pStyle w:val="SNConsultation"/>
      </w:pPr>
      <w:r>
        <w:t xml:space="preserve">gestützt auf die Stellungnahme des Obersten Rates für Bauwesen und Energieeffizienz vom [X];</w:t>
      </w:r>
    </w:p>
    <w:p w14:paraId="36AE85B4" w14:textId="77777777" w:rsidR="00A0611F" w:rsidRPr="00C16AC7" w:rsidRDefault="00A0611F" w:rsidP="00A0611F">
      <w:pPr>
        <w:pStyle w:val="SNConsultation"/>
      </w:pPr>
      <w:r>
        <w:t xml:space="preserve">gestützt auf die Bemerkungen, die im Rahmen der öffentlichen Konsultation vom XX bis XX in Anwendung des Artikels L. 123-19-1 des Umweltgesetzbuchs vorgebracht wurden,</w:t>
      </w:r>
    </w:p>
    <w:p w14:paraId="604C0DE6" w14:textId="43974623" w:rsidR="00A0611F" w:rsidRPr="00C16AC7" w:rsidRDefault="00A0611F" w:rsidP="00A0611F">
      <w:pPr>
        <w:pStyle w:val="SNConsultation"/>
      </w:pPr>
      <w:r>
        <w:t xml:space="preserve">gestützt auf die in Anwendung der Richtlinie (EU) 2015/1535 und der Richtlinie (EU) 94/62/EG an die Europäische Kommission übermittelte Notifizierung vom XX;</w:t>
      </w:r>
    </w:p>
    <w:p w14:paraId="60BE23A5" w14:textId="77777777" w:rsidR="00A0611F" w:rsidRDefault="00A0611F" w:rsidP="00A0611F">
      <w:pPr>
        <w:pStyle w:val="SNConsultation"/>
      </w:pPr>
      <w:r>
        <w:t xml:space="preserve">nach Anhörung des Staatsrates (Abteilung für öffentliche Arbeiten),</w:t>
      </w:r>
    </w:p>
    <w:p w14:paraId="56B6EC0E" w14:textId="77777777" w:rsidR="00A0611F" w:rsidRDefault="00A0611F" w:rsidP="00A0611F">
      <w:pPr>
        <w:pStyle w:val="Corpsdetexte"/>
        <w:keepNext/>
        <w:keepLines/>
        <w:jc w:val="center"/>
        <w:rPr>
          <w:b/>
        </w:rPr>
      </w:pPr>
      <w:r>
        <w:rPr>
          <w:b/>
        </w:rPr>
        <w:t xml:space="preserve">erlässt folgendes Dekret:</w:t>
      </w:r>
    </w:p>
    <w:p w14:paraId="428AB153" w14:textId="77777777" w:rsidR="00A0611F" w:rsidRDefault="00A0611F" w:rsidP="00A0611F">
      <w:pPr>
        <w:pStyle w:val="Corpsdetexte"/>
        <w:keepNext/>
        <w:keepLines/>
        <w:jc w:val="center"/>
        <w:rPr>
          <w:b/>
        </w:rPr>
      </w:pPr>
      <w:r>
        <w:rPr>
          <w:b/>
        </w:rPr>
        <w:t xml:space="preserve">Artikel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Buch V Titel IV Kapitel I Abschnitt 9 des Vorschriftenteils des Umweltgesetzbuchs wird durch einen Unterabschnitt 3 mit folgendem Wortlaut ergänzt:</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„Unterabschnitt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Verbraucherinformationen über die Umweltqualitäten und -eigenschaften von Abfall erzeugenden Produkten</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Artikel R. 541-220.– Die Umweltqualitäten und -eigenschaften von Abfall erzeugenden Produkten sind als Merkmale zu verstehen, die den Verbraucher über die Bedingungen für eine bessere Abfallvermeidung und -bewirtschaftung informieren sollen.</w:t>
      </w:r>
      <w:r>
        <w:t xml:space="preserve"> </w:t>
      </w:r>
    </w:p>
    <w:p w14:paraId="5F88AAEC" w14:textId="396A898B" w:rsidR="000C090F" w:rsidRDefault="000C090F" w:rsidP="000C090F">
      <w:pPr>
        <w:pStyle w:val="Corpsdetexte"/>
        <w:keepNext/>
        <w:keepLines/>
      </w:pPr>
      <w:r>
        <w:t xml:space="preserve">Die Informationen über Umweltqualitäten und -eigenschaften gemäß diesem Unterabschnitt müssen für in Verkehr gebrachte Produkte gemäß Artikel R. 541-221, die für den Verbraucher bestimmt sind, bereitgestellt werden.</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Artikel R. 541-221.– I.– Für Elektro- oder Elektronikgeräte, für die der Reparierbarkeitsindex und der Haltbarkeitsindex gemäß Artikel L. 541-9-2 gelten, müssen Verbraucherinformationen über die </w:t>
      </w:r>
      <w:r>
        <w:rPr>
          <w:b/>
        </w:rPr>
        <w:t xml:space="preserve">Reparierbarkeit</w:t>
      </w:r>
      <w:r>
        <w:t xml:space="preserve"> und </w:t>
      </w:r>
      <w:r>
        <w:rPr>
          <w:b/>
        </w:rPr>
        <w:t xml:space="preserve">Haltbarkeit</w:t>
      </w:r>
      <w:r>
        <w:t xml:space="preserve"> bereitgestellt werden.</w:t>
      </w:r>
    </w:p>
    <w:p w14:paraId="59DF58F3" w14:textId="60685F35" w:rsidR="00A0611F" w:rsidRDefault="00A0611F" w:rsidP="00A0611F">
      <w:pPr>
        <w:pStyle w:val="Corpsdetexte"/>
        <w:keepNext/>
        <w:keepLines/>
      </w:pPr>
      <w:r>
        <w:t xml:space="preserve">Diese Informationen werden in Form eines Reparierbarkeitsindexes und ab dem 1. Januar 2024 in Form eines Haltbarkeitsindexes angegeben.</w:t>
      </w:r>
    </w:p>
    <w:p w14:paraId="68644F5F" w14:textId="43B22F85" w:rsidR="00A0611F" w:rsidRPr="00613C5F" w:rsidRDefault="00A0611F" w:rsidP="00A0611F">
      <w:pPr>
        <w:pStyle w:val="Corpsdetexte"/>
        <w:keepNext/>
        <w:keepLines/>
        <w:rPr>
          <w:color w:val="000000" w:themeColor="text1"/>
        </w:rPr>
      </w:pPr>
      <w:r>
        <w:t xml:space="preserve">II.– </w:t>
      </w:r>
      <w:r>
        <w:rPr>
          <w:color w:val="000000" w:themeColor="text1"/>
        </w:rPr>
        <w:t xml:space="preserve">Für die Arten und Kategorien von kompostierbaren Verpackungen im Sinne des Artikels R. 543-226 Absatz 4 gemäß dem Erlass vom XX zur Auflistung kompostierbarer, methanierbarer und biologisch abbaubarer Verpackungen, die zusammen mit an der Quelle sortierten Bioabfällen gesammelt werden können, </w:t>
      </w:r>
      <w:r>
        <w:t xml:space="preserve">müssen Verbraucherinformationen über die </w:t>
      </w:r>
      <w:r>
        <w:rPr>
          <w:b/>
        </w:rPr>
        <w:t xml:space="preserve">Kompostierbarkeit</w:t>
      </w:r>
      <w:r>
        <w:t xml:space="preserve"> bereitgestellt werden.</w:t>
      </w:r>
    </w:p>
    <w:p w14:paraId="6B45DB55" w14:textId="0F71581A" w:rsidR="00A0611F" w:rsidRDefault="00A0611F" w:rsidP="00A0611F">
      <w:pPr>
        <w:pStyle w:val="Corpsdetexte"/>
        <w:keepNext/>
        <w:keepLines/>
        <w:rPr>
          <w:color w:val="000000" w:themeColor="text1"/>
        </w:rPr>
      </w:pPr>
      <w:r>
        <w:rPr>
          <w:color w:val="000000" w:themeColor="text1"/>
        </w:rPr>
        <w:t xml:space="preserve">Diese Informationen werden in Form des Begriffs „kompostierbare Verpackung“ angegeben.</w:t>
      </w:r>
    </w:p>
    <w:p w14:paraId="61E2D05B" w14:textId="651D147C" w:rsidR="008B2B99" w:rsidRPr="00A92A15" w:rsidRDefault="008B2B99" w:rsidP="00A0611F">
      <w:pPr>
        <w:pStyle w:val="Corpsdetexte"/>
        <w:keepNext/>
        <w:keepLines/>
        <w:rPr>
          <w:color w:val="000000" w:themeColor="text1"/>
        </w:rPr>
      </w:pPr>
      <w:r>
        <w:t xml:space="preserve">Kunststoffprodukte und -verpackungen, die nur in einer industriellen Anlage kompostiert werden können, dürfen nicht als „kompostierbar“ gekennzeichnet werden.</w:t>
      </w:r>
      <w:r>
        <w:t xml:space="preserve"> </w:t>
      </w:r>
      <w:r>
        <w:t xml:space="preserve">Diejenigen, die zu Hause oder industriell kompostierbar sind, sind mit dem Hinweis „Nicht in der Umwelt entsorgen“ zu kennzeichnen.</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 Die </w:t>
      </w:r>
      <w:r>
        <w:rPr>
          <w:color w:val="000000" w:themeColor="text1"/>
          <w:b/>
        </w:rPr>
        <w:t xml:space="preserve">Beimischung von recyceltem Material</w:t>
      </w:r>
      <w:r>
        <w:rPr>
          <w:color w:val="000000" w:themeColor="text1"/>
        </w:rPr>
        <w:t xml:space="preserve"> wird als Gesamtanteil der Masse der aus Recycling gewonnenen Materialien im Sinne von Artikel L. 541-1-1 gemessen.</w:t>
      </w:r>
    </w:p>
    <w:p w14:paraId="73705C72" w14:textId="19067C16" w:rsidR="00A0611F" w:rsidRDefault="00A0611F" w:rsidP="00A0611F">
      <w:pPr>
        <w:pStyle w:val="SNConsultation"/>
        <w:ind w:firstLine="0"/>
        <w:rPr>
          <w:highlight w:val="yellow"/>
        </w:rPr>
      </w:pPr>
      <w:r>
        <w:t xml:space="preserve">Für die unter den Nummern 3 [bedrucktes Papier, ausgenommen Bücher und Papier für grafische Anwendungen], 5 [Elektro- und Elektronik</w:t>
      </w:r>
      <w:r>
        <w:rPr>
          <w:rFonts w:ascii="Times New Roman ,serif" w:hAnsi="Times New Roman ,serif"/>
        </w:rPr>
        <w:t xml:space="preserve">geräte</w:t>
      </w:r>
      <w:r>
        <w:t xml:space="preserve">], 6 [Batterien und Akkumulatoren], 7 [Chemikalienbehälter und Inhalt], 10 [Einrichtungsgegenstände], 11 [Textilerzeugnisse], mit Ausnahme von Lederartikeln, 13 [Sport- und Freizeitartikel], 14 [Heimwerker- und Gartenartikel] und 15 [Fahrzeuge] in Artikel L. 541-10-1 genannten Produktgruppen müssen Verbraucherinformationen über die Beimischung von recyceltem Material bereitgestellt werden.</w:t>
      </w:r>
    </w:p>
    <w:p w14:paraId="7A9EF18F" w14:textId="22DE6F1B" w:rsidR="008F2569" w:rsidRDefault="00A0611F" w:rsidP="00A0611F">
      <w:pPr>
        <w:pStyle w:val="SNConsultation"/>
        <w:ind w:firstLine="0"/>
      </w:pPr>
      <w:r>
        <w:t xml:space="preserve">Diese Informationen werden für diese Produkte in Form des Begriffs „Produkt mit mindestens [%] Recyclinganteil“ angegeben.</w:t>
      </w:r>
    </w:p>
    <w:p w14:paraId="058FC329" w14:textId="104883FB" w:rsidR="00BD4A74" w:rsidRDefault="00BD4A74" w:rsidP="00A0611F">
      <w:pPr>
        <w:pStyle w:val="SNConsultation"/>
        <w:ind w:firstLine="0"/>
      </w:pPr>
      <w:r>
        <w:t xml:space="preserve">Für die unter der Nummer 1 [Verpackungen, die für die Vermarktung von Produkten verwendet werden, die von Haushalten verbraucht oder verwendet werden, einschließlich derjenigen, die außer Haus verbraucht werden] in Artikel L. 541-10-1 genannten Verpackungen müssen Verbraucherinformationen über die Beimischung von recyceltem Material bereitgestellt werden.</w:t>
      </w:r>
      <w:r>
        <w:t xml:space="preserve"> </w:t>
      </w:r>
      <w:r>
        <w:t xml:space="preserve">Diese Informationen werden für diese Produkte in Form des Begriffs „Verpackung mit mindestens [%] Recyclinganteil“ angegeben.</w:t>
      </w:r>
    </w:p>
    <w:p w14:paraId="20E447D6" w14:textId="3CD4EEA1" w:rsidR="00D76667" w:rsidRDefault="00A0611F" w:rsidP="00A0611F">
      <w:pPr>
        <w:pStyle w:val="SNConsultation"/>
        <w:ind w:firstLine="0"/>
      </w:pPr>
      <w:r>
        <w:t xml:space="preserve">IV.</w:t>
      </w:r>
      <w:r>
        <w:rPr>
          <w:b/>
        </w:rPr>
        <w:t xml:space="preserve">- </w:t>
      </w:r>
      <w:r>
        <w:t xml:space="preserve">Für Baumaterialien gemäß Absatz 4 in Artikel L. 541-10-1, die der freiwilligen Auszeichnung gemäß Artikel L. 111-9-2 Absatz 5 der Bau- und Wohnungsordnung unterliegen, müssen Verbraucherinformationen über die </w:t>
      </w:r>
      <w:r>
        <w:rPr>
          <w:b/>
        </w:rPr>
        <w:t xml:space="preserve">Nutzung erneuerbarer Ressourcen</w:t>
      </w:r>
      <w:r>
        <w:t xml:space="preserve"> bereitgestellt werden.</w:t>
      </w:r>
      <w:r>
        <w:t xml:space="preserve"> </w:t>
      </w:r>
    </w:p>
    <w:p w14:paraId="23EA8376" w14:textId="431C9F30" w:rsidR="00A0611F" w:rsidRPr="00A92A15" w:rsidRDefault="00A0611F" w:rsidP="00A0611F">
      <w:pPr>
        <w:pStyle w:val="SNConsultation"/>
        <w:ind w:firstLine="0"/>
      </w:pPr>
      <w:r>
        <w:t xml:space="preserve">Diese Informationen werden unter den in Artikel L. 111-9-2 Absatz 5 der Bau- und Wohnungsordnung festgelegten Bedingungen angegeben.</w:t>
      </w:r>
      <w:r>
        <w:t xml:space="preserve"> </w:t>
      </w:r>
    </w:p>
    <w:p w14:paraId="76C21909" w14:textId="7AF3A523" w:rsidR="00A0611F" w:rsidRPr="00CE42FD" w:rsidRDefault="00A0611F" w:rsidP="00A0611F">
      <w:pPr>
        <w:pStyle w:val="SNConsultation"/>
        <w:ind w:firstLine="0"/>
      </w:pPr>
      <w:r>
        <w:t xml:space="preserve">V.– </w:t>
      </w:r>
      <w:r>
        <w:rPr>
          <w:b/>
        </w:rPr>
        <w:t xml:space="preserve">Wiederverwendbarkeit</w:t>
      </w:r>
      <w:r>
        <w:t xml:space="preserve"> bezeichnet die Möglichkeiten, ein Produkt so zu konzipieren, herzustellen und in Verkehr zu bringen, dass es für denselben Zweck, für den es konzipiert wurde, wiederverwendet werden kann, ohne dass es gemäß den Bestimmungen von Artikel L. 541-1-1 die Abfalleigenschaft erhält.</w:t>
      </w:r>
    </w:p>
    <w:p w14:paraId="0F475FF0" w14:textId="548885AC" w:rsidR="00A0611F" w:rsidRPr="00CE42FD" w:rsidRDefault="00A0611F" w:rsidP="00A0611F">
      <w:pPr>
        <w:pStyle w:val="SNConsultation"/>
        <w:ind w:firstLine="0"/>
      </w:pPr>
      <w:r>
        <w:t xml:space="preserve">Für die unter der Nummer 1 [Verpackungen, die für die Vermarktung von Produkten verwendet werden, die von Haushalten verbraucht oder verwendet werden, einschließlich derjenigen, die außer Haus verbraucht werden] in Artikel L. 541-10-1 genannten Verpackungen müssen Verbraucherinformationen über die Wiederverwendbarkeit bereitgestellt werden.</w:t>
      </w:r>
    </w:p>
    <w:p w14:paraId="403842CB" w14:textId="50DC367E" w:rsidR="00A0611F" w:rsidRPr="00CE42FD" w:rsidRDefault="00A0611F" w:rsidP="00A0611F">
      <w:pPr>
        <w:pStyle w:val="SNConsultation"/>
        <w:ind w:firstLine="0"/>
      </w:pPr>
      <w:r>
        <w:t xml:space="preserve">Diese Informationen werden in Form des Begriffs „wiederverwendbare Verpackung“ oder „wiederauffüllbare Verpackung“ angegeben.</w:t>
      </w:r>
    </w:p>
    <w:p w14:paraId="35CCA859" w14:textId="77777777" w:rsidR="00FE3AAB" w:rsidRPr="00217E2F" w:rsidRDefault="00FE3AAB" w:rsidP="00FE3AAB">
      <w:pPr>
        <w:pStyle w:val="SNConsultation"/>
        <w:ind w:firstLine="0"/>
      </w:pPr>
      <w:r>
        <w:t xml:space="preserve">VI.– </w:t>
      </w:r>
      <w:r>
        <w:rPr>
          <w:b/>
        </w:rPr>
        <w:t xml:space="preserve">Recyclingfähigkeit</w:t>
      </w:r>
      <w:r>
        <w:t xml:space="preserve"> bezeichnet die Fähigkeit, Abfälle von gleichen oder ähnlichen Produkten effektiv stofflich zu verwerten.</w:t>
      </w:r>
      <w:r>
        <w:t xml:space="preserve"> </w:t>
      </w:r>
      <w:r>
        <w:t xml:space="preserve">Die Recyclingfähigkeit ist für diese Abfälle gekennzeichnet durch:</w:t>
      </w:r>
    </w:p>
    <w:p w14:paraId="07633EFE" w14:textId="77777777" w:rsidR="00FE3AAB" w:rsidRPr="00217E2F" w:rsidRDefault="00FE3AAB" w:rsidP="00FE3AAB">
      <w:pPr>
        <w:pStyle w:val="SNConsultation"/>
        <w:ind w:firstLine="0"/>
      </w:pPr>
      <w:r>
        <w:t xml:space="preserve">1. die Fähigkeit, auf lokaler Ebene durch den Zugang der Bevölkerung zu lokalen Sammelstellen effizient gesammelt zu werden</w:t>
      </w:r>
    </w:p>
    <w:p w14:paraId="057455E4" w14:textId="48F09CE3" w:rsidR="00FE3AAB" w:rsidRPr="00217E2F" w:rsidRDefault="00FE3AAB" w:rsidP="00FE3AAB">
      <w:pPr>
        <w:pStyle w:val="SNConsultation"/>
        <w:ind w:firstLine="0"/>
      </w:pPr>
      <w:r>
        <w:t xml:space="preserve">2. die Fähigkeit, sortiert zu werden, d. h. die Zuführung zu den Recyclingkanälen, um recycelt zu werden</w:t>
      </w:r>
    </w:p>
    <w:p w14:paraId="5B0FC778" w14:textId="77777777" w:rsidR="00FE3AAB" w:rsidRPr="00217E2F" w:rsidRDefault="00FE3AAB" w:rsidP="00FE3AAB">
      <w:pPr>
        <w:pStyle w:val="SNConsultation"/>
        <w:ind w:firstLine="0"/>
      </w:pPr>
      <w:r>
        <w:t xml:space="preserve">3. das Fehlen von Elementen oder Stoffen, die die Sortierung oder das Recycling stören oder die Verwendung des recycelten Materials einschränken</w:t>
      </w:r>
    </w:p>
    <w:p w14:paraId="076436EA" w14:textId="77777777" w:rsidR="00FE3AAB" w:rsidRPr="00217E2F" w:rsidRDefault="00FE3AAB" w:rsidP="00FE3AAB">
      <w:pPr>
        <w:pStyle w:val="SNConsultation"/>
        <w:ind w:firstLine="0"/>
      </w:pPr>
      <w:r>
        <w:t xml:space="preserve">4. die Fähigkeit des durch die angewandten Recyclingverfahren erzeugten Recyclingmaterials, mehr als 50 Masseprozent der gesammelten Abfälle ausmachen zu können</w:t>
      </w:r>
    </w:p>
    <w:p w14:paraId="2A9B6D33" w14:textId="77777777" w:rsidR="00FE3AAB" w:rsidRPr="00217E2F" w:rsidRDefault="00FE3AAB" w:rsidP="00FE3AAB">
      <w:pPr>
        <w:pStyle w:val="SNConsultation"/>
        <w:ind w:firstLine="0"/>
      </w:pPr>
      <w:r>
        <w:t xml:space="preserve">5. die Fähigkeit, im industriellen Maßstab und in der Praxis recycelt zu werden, insbesondere durch eine Garantie, dass die Qualität des gewonnenen Recyclingmaterials ausreicht, um die Nachhaltigkeit der Verkaufsstellen zu gewährleisten, und dass der Recyclingsektor nachweisen kann, dass die Produkte, die in ihn integriert werden können, in ausreichendem Maße übernommen werden können.</w:t>
      </w:r>
      <w:r>
        <w:t xml:space="preserve"> </w:t>
      </w:r>
    </w:p>
    <w:p w14:paraId="27B90E3A" w14:textId="589EF154" w:rsidR="00FE3AAB" w:rsidRPr="00217E2F" w:rsidRDefault="00FE3AAB" w:rsidP="00FE3AAB">
      <w:pPr>
        <w:pStyle w:val="SNConsultation"/>
        <w:ind w:firstLine="0"/>
      </w:pPr>
      <w:r>
        <w:t xml:space="preserve">Informationen über die Recyclingfähigkeit werden dem Verbraucher in Form der Begriffe „recycelbare Produkt“ oder „recycelbare Verpackung“ zur Verfügung gestellt, wenn diese fünf Kriterien erfüllt sind.</w:t>
      </w:r>
      <w:r>
        <w:t xml:space="preserve"> </w:t>
      </w:r>
      <w:r>
        <w:t xml:space="preserve">Wenn das durch die angewandten Recyclingverfahren erzeugte Recyclingmaterial mehr als 95 Masseprozent der gesammelten Abfälle ausmacht, kann die Angabe „vollständig recycelbares Produkt“ angebracht werden.</w:t>
      </w:r>
    </w:p>
    <w:p w14:paraId="0163929A" w14:textId="262CE4D1" w:rsidR="00FE3AAB" w:rsidRPr="00217E2F" w:rsidRDefault="00FE3AAB" w:rsidP="00FE3AAB">
      <w:pPr>
        <w:pStyle w:val="SNConsultation"/>
        <w:ind w:firstLine="0"/>
      </w:pPr>
      <w:r>
        <w:t xml:space="preserve">Dies wird dem Hersteller von der Umwelteinrichtung mitgeteilt, der er seine Verpflichtung zur erweiterten Verantwortung gemäß Artikel L. 541-10 übertragen hat.</w:t>
      </w:r>
      <w:r>
        <w:t xml:space="preserve"> </w:t>
      </w:r>
      <w:r>
        <w:t xml:space="preserve">Hat der Hersteller ein individuelles System der erweiterten Verantwortung eingerichtet, bestimmt er diese Informationen unter seiner Verantwortung.</w:t>
      </w:r>
    </w:p>
    <w:p w14:paraId="63FBD504" w14:textId="77777777" w:rsidR="00FE3AAB" w:rsidRPr="00217E2F" w:rsidRDefault="00FE3AAB" w:rsidP="00FE3AAB">
      <w:pPr>
        <w:pStyle w:val="SNConsultation"/>
        <w:ind w:firstLine="0"/>
      </w:pPr>
      <w:r>
        <w:t xml:space="preserve">Entspricht die Recyclingfähigkeit dem Recycling von Materialien, die überwiegend in gleichwertigen Produkten wiederverwertet werden, die eine identische Verwendung und einen identischen Zweck ohne funktionalen Verlust des Materials haben, kann der Hersteller die Informationen über die Recyclingfähigkeit durch die Angabe „recycelbares Produkt mit geschlossenem Kreislauf“ oder „recycelbare Verpackung mit geschlossenem Kreislauf“ ergänzen.</w:t>
      </w:r>
    </w:p>
    <w:p w14:paraId="7E934972" w14:textId="3D73E894" w:rsidR="00BD4A74" w:rsidRPr="00FE3AAB" w:rsidRDefault="00FE3AAB" w:rsidP="00A0611F">
      <w:pPr>
        <w:pStyle w:val="SNConsultation"/>
        <w:ind w:firstLine="0"/>
      </w:pPr>
      <w:r>
        <w:t xml:space="preserve">Für die unter den Nummern 1 [Verpackungen, die für die Vermarktung von Produkten verwendet werden, die von Haushalten verbraucht oder verwendet werden, einschließlich derjenigen, die außer Haus verbraucht werden], 3 [bedrucktes Papier, ausgenommen Bücher und Papier für grafische Anwendungen], 4 [Bauprodukte oder Materialien] 5 [Elektro- und Elektronikgeräte], 6 [Batterien und Akkumulatoren], 7 [Chemikalienbehälter] für Behälter, 10 [Einrichtungsgegenstände], 11 [Textilerzeugnisse], 12 [Spielzeug, das nicht unter den Grundsatz der erweiterten Herstellerverantwortung in einer anderen Kategorie fällt], 13 [Sport- und Freizeitartikel], 14 [Heimwerker- und Gartenartikel] und 15 [Fahrzeuge] in Artikel L. 541-10-1 genannten Produktgruppen müssen Verbraucherinformationen über die Recyclingfähigkeit bereitgestellt werden.</w:t>
      </w:r>
    </w:p>
    <w:p w14:paraId="0718C702" w14:textId="77777777" w:rsidR="00A0611F" w:rsidRDefault="00A0611F" w:rsidP="00A0611F">
      <w:pPr>
        <w:pStyle w:val="SNConsultation"/>
        <w:ind w:firstLine="0"/>
      </w:pPr>
      <w:r>
        <w:t xml:space="preserve">VII.–</w:t>
      </w:r>
      <w:r>
        <w:rPr>
          <w:b/>
        </w:rPr>
        <w:t xml:space="preserve"> </w:t>
      </w:r>
      <w:r>
        <w:t xml:space="preserve">Für die Metalle Gold, Silber, Platin und Palladium müssen Verbraucherinformation über das </w:t>
      </w:r>
      <w:r>
        <w:rPr>
          <w:b/>
          <w:bCs/>
        </w:rPr>
        <w:t xml:space="preserve">Vorhandensein von Edelmetallen</w:t>
      </w:r>
      <w:r>
        <w:t xml:space="preserve"> bereitgestellt werden.</w:t>
      </w:r>
      <w:r>
        <w:t xml:space="preserve">  </w:t>
      </w:r>
    </w:p>
    <w:p w14:paraId="5C974967" w14:textId="67EF72F5" w:rsidR="00A0611F" w:rsidRPr="00501103" w:rsidRDefault="00A0611F" w:rsidP="00A0611F">
      <w:pPr>
        <w:pStyle w:val="SNConsultation"/>
        <w:ind w:firstLine="0"/>
        <w:rPr>
          <w:b/>
        </w:rPr>
      </w:pPr>
      <w:r>
        <w:t xml:space="preserve">Die Informationen über Edelmetalle werden aufgrund ihres hohen Umweltwerts für die unter den Nummern 5 [Elektro- und Elektronik</w:t>
      </w:r>
      <w:r>
        <w:rPr>
          <w:rFonts w:ascii="Times New Roman ,serif" w:hAnsi="Times New Roman ,serif"/>
        </w:rPr>
        <w:t xml:space="preserve">geräte</w:t>
      </w:r>
      <w:r>
        <w:t xml:space="preserve">] und 15 [Fahrzeuge] in Artikel L. 541-10-1 genannten Produktgruppen zur Verfügung gestellt.</w:t>
      </w:r>
    </w:p>
    <w:p w14:paraId="32E7DEAB" w14:textId="05780FDA" w:rsidR="00A0611F" w:rsidRDefault="00A0611F" w:rsidP="00A0611F">
      <w:pPr>
        <w:pStyle w:val="SNConsultation"/>
        <w:ind w:firstLine="0"/>
      </w:pPr>
      <w:r>
        <w:t xml:space="preserve">Diese Informationen werden als Masse, sofern diese größer als 1 Milligramm ist, in Form der Worte „enthält mindestens [X Milligramm] Edelmetalle“ angegeben.</w:t>
      </w:r>
    </w:p>
    <w:p w14:paraId="04560F54" w14:textId="77777777" w:rsidR="00A0611F" w:rsidRPr="003C2E20" w:rsidRDefault="00A0611F" w:rsidP="00A0611F">
      <w:pPr>
        <w:pStyle w:val="SNConsultation"/>
        <w:ind w:firstLine="0"/>
      </w:pPr>
      <w:r>
        <w:t xml:space="preserve">VIII.–</w:t>
      </w:r>
      <w:r>
        <w:rPr>
          <w:b/>
        </w:rPr>
        <w:t xml:space="preserve"> </w:t>
      </w:r>
      <w:r>
        <w:t xml:space="preserve">Für die Elemente Scandium, Yttrium, Lanthan, Cerium, Praseodym, Neodym, Promethium, Samarium, Europium, Gadolinium, Terbium, Dysprosium, Holmium, Erbium, Thulium, Ytterbium und Lutetium müssen Verbraucherinformationen über das </w:t>
      </w:r>
      <w:r>
        <w:rPr>
          <w:b/>
        </w:rPr>
        <w:t xml:space="preserve">Vorhandensein von seltenen Erden</w:t>
      </w:r>
      <w:r>
        <w:t xml:space="preserve"> bereitgestellt werden.</w:t>
      </w:r>
      <w:r>
        <w:t xml:space="preserve"> </w:t>
      </w:r>
    </w:p>
    <w:p w14:paraId="7496CEBF" w14:textId="4C8FEA67" w:rsidR="00A0611F" w:rsidRDefault="00A0611F" w:rsidP="00A0611F">
      <w:pPr>
        <w:pStyle w:val="SNConsultation"/>
        <w:ind w:firstLine="0"/>
      </w:pPr>
      <w:r>
        <w:t xml:space="preserve">Die Informationen über seltene Erden werden aufgrund ihres hohen Umweltwerts für die unter den Nummern 5 [Elektro- und Elektronik</w:t>
      </w:r>
      <w:r>
        <w:rPr>
          <w:rFonts w:ascii="Times New Roman ,serif" w:hAnsi="Times New Roman ,serif"/>
        </w:rPr>
        <w:t xml:space="preserve">geräte</w:t>
      </w:r>
      <w:r>
        <w:t xml:space="preserve">] und 15 [Fahrzeuge] in Artikel L. 541-10-1 genannten Produktgruppen zur Verfügung gestellt.</w:t>
      </w:r>
      <w:r>
        <w:t xml:space="preserve"> </w:t>
      </w:r>
    </w:p>
    <w:p w14:paraId="58866F4B" w14:textId="33E3BCAF" w:rsidR="00A0611F" w:rsidRDefault="00A0611F" w:rsidP="00A0611F">
      <w:pPr>
        <w:pStyle w:val="SNConsultation"/>
        <w:ind w:firstLine="0"/>
      </w:pPr>
      <w:r>
        <w:t xml:space="preserve">Diese Informationen werden als Masse, sofern diese größer als 1 Milligramm ist, in Form der Worte „enthält mindestens [X Milligramm] seltene Erden“ angegeben.</w:t>
      </w:r>
      <w:r>
        <w:t xml:space="preserve">   </w:t>
      </w:r>
    </w:p>
    <w:p w14:paraId="38687E77" w14:textId="77777777" w:rsidR="00A0611F" w:rsidRPr="00A9381C" w:rsidRDefault="00A0611F" w:rsidP="00A0611F">
      <w:pPr>
        <w:pStyle w:val="SNConsultation"/>
        <w:ind w:firstLine="0"/>
      </w:pPr>
      <w:r>
        <w:t xml:space="preserve">IX.–</w:t>
      </w:r>
      <w:r>
        <w:rPr>
          <w:b/>
        </w:rPr>
        <w:t xml:space="preserve"> </w:t>
      </w:r>
      <w:r>
        <w:t xml:space="preserve">Verbraucherinformationen über das Vorhandensein eines </w:t>
      </w:r>
      <w:r>
        <w:rPr>
          <w:b/>
        </w:rPr>
        <w:t xml:space="preserve">gefährlichen Stoffs</w:t>
      </w:r>
      <w:r>
        <w:t xml:space="preserve"> finden Anwendung, wenn dieser in einer Konzentration von mehr als 0,1 Masseprozent in einem Stoff, Gemisch oder Erzeugnis im Sinne von Artikel 3 Nummern 1, 2 und 3 der Verordnung (EG) Nr. 1907/2006 des Europäischen Parlaments und des Rates vom 18. Dezember 2006 (REACH), mit Ausnahme von Arzneimitteln, vorhanden ist.</w:t>
      </w:r>
      <w:r>
        <w:t xml:space="preserve"> </w:t>
      </w:r>
    </w:p>
    <w:p w14:paraId="1BC87C7D" w14:textId="48203F58" w:rsidR="00A0611F" w:rsidRDefault="00A0611F" w:rsidP="00A0611F">
      <w:pPr>
        <w:pStyle w:val="SNConsultation"/>
        <w:ind w:firstLine="0"/>
      </w:pPr>
      <w:r>
        <w:t xml:space="preserve">Im vorstehenden Absatz bezeichnet „gefährlicher Stoff“ jeden Stoff, der durch das in Anwendung von Artikel L. 541-9-1 Abschnitt I erlassene Dekret über die Identifizierung gefährlicher Stoffe in Abfall erzeugenden Produkten identifiziert wird.</w:t>
      </w:r>
    </w:p>
    <w:p w14:paraId="6AA4D2A5" w14:textId="77777777" w:rsidR="00BE6889" w:rsidRDefault="00EC0018" w:rsidP="00A0611F">
      <w:pPr>
        <w:pStyle w:val="SNConsultation"/>
        <w:ind w:firstLine="0"/>
      </w:pPr>
      <w:r>
        <w:t xml:space="preserve">Diese Informationen werden in Form der Worte „enthält einen gefährlichen Stoff“ oder, wenn es sich um den in Artikel R. 541-219 Absatz 1 genannten gefährlichen Stoff handelt, der Worte „enthält einen besonders besorgniserregenden Stoff“ angegeben.</w:t>
      </w:r>
      <w:r>
        <w:t xml:space="preserve"> </w:t>
      </w:r>
      <w:r>
        <w:t xml:space="preserve">Die Informationen werden durch die Bezeichnung der einzelnen gefährlichen Stoffe ergänzt.</w:t>
      </w:r>
      <w:r>
        <w:t xml:space="preserve"> </w:t>
      </w:r>
      <w:r>
        <w:t xml:space="preserve">Diese Art und Weise der Bereitstellung von Informationen gilt nicht für:</w:t>
      </w:r>
    </w:p>
    <w:p w14:paraId="21E4639B" w14:textId="0CCB4572" w:rsidR="00C666A2" w:rsidRDefault="00C666A2" w:rsidP="00A0611F">
      <w:pPr>
        <w:pStyle w:val="SNConsultation"/>
        <w:ind w:firstLine="0"/>
      </w:pPr>
      <w:r>
        <w:t xml:space="preserve">1. vorhandene Stoffe, die auch in der per Erlass gemäß Artikel R. 5232-19 Abschnitt I des Gesetzbuchs über das öffentliche Gesundheitswesen festgelegten Liste der Stoffe mit nachgewiesenen und vermuteten endokrinen Eigenschaften aufgeführt sind, für die die in Artikel R. 5232-20 des Gesetzbuchs über das öffentliche Gesundheitswesen genannten Informationen gelten.</w:t>
      </w:r>
    </w:p>
    <w:p w14:paraId="580BC810" w14:textId="47201403" w:rsidR="00C666A2" w:rsidRDefault="00C666A2" w:rsidP="00A0611F">
      <w:pPr>
        <w:pStyle w:val="SNConsultation"/>
        <w:ind w:firstLine="0"/>
      </w:pPr>
      <w:r>
        <w:t xml:space="preserve">2. vorhandene Stoffe, die auch in der per Erlass gemäß Artikel R. 5232-19 Abschnitt II des Gesetzbuchs über das öffentliche Gesundheitswesen festgelegten Liste der Stoffe mit mutmaßlich endokrinen Eigenschaften aufgeführt sind, für die die in Artikel R. 5232-20 des Gesetzbuchs über das öffentliche Gesundheitswesen genannten Informationen gelten.</w:t>
      </w:r>
    </w:p>
    <w:p w14:paraId="7C4FB52E" w14:textId="3386A922" w:rsidR="00A0611F" w:rsidRDefault="00A0611F" w:rsidP="00A0611F">
      <w:pPr>
        <w:pStyle w:val="SNConsultation"/>
        <w:ind w:firstLine="0"/>
      </w:pPr>
      <w:r>
        <w:t xml:space="preserve">Die Informationen müssen spätestens 18 Monate nach der Identifizierung des Stoffes als gefährlicher Stoff zur Verfügung gestellt werden.</w:t>
      </w:r>
    </w:p>
    <w:p w14:paraId="5791E55D" w14:textId="5013510C" w:rsidR="00CB77AD" w:rsidRDefault="00A0611F" w:rsidP="00A0611F">
      <w:pPr>
        <w:pStyle w:val="SNConsultation"/>
        <w:ind w:firstLine="0"/>
      </w:pPr>
      <w:r>
        <w:t xml:space="preserve">X.– Verbraucherinformationen über die </w:t>
      </w:r>
      <w:r>
        <w:rPr>
          <w:b/>
        </w:rPr>
        <w:t xml:space="preserve">Rückverfolgbarkeit</w:t>
      </w:r>
      <w:r>
        <w:t xml:space="preserve"> für die unter Nummer 11 [Textilerzeugnisse] in Artikel L. 541-10-1 genannten Produkte sind als geografische Angabe des Landes zu verstehen, in dem jede der folgenden Tätigkeiten, soweit zutreffend, durchgeführt wird:</w:t>
      </w:r>
      <w:r>
        <w:t xml:space="preserve"> </w:t>
      </w:r>
    </w:p>
    <w:p w14:paraId="76495063" w14:textId="10190F15" w:rsidR="00CB77AD" w:rsidRDefault="00CB77AD" w:rsidP="00A0611F">
      <w:pPr>
        <w:pStyle w:val="SNConsultation"/>
        <w:ind w:firstLine="0"/>
      </w:pPr>
      <w:r>
        <w:t xml:space="preserve">1. Anbau oder Erzeugung der Faser oder des Rohstoffs;</w:t>
      </w:r>
    </w:p>
    <w:p w14:paraId="4FF5616A" w14:textId="1D9D86EF" w:rsidR="00CB77AD" w:rsidRDefault="00CB77AD" w:rsidP="00A0611F">
      <w:pPr>
        <w:pStyle w:val="SNConsultation"/>
        <w:ind w:firstLine="0"/>
      </w:pPr>
      <w:r>
        <w:t xml:space="preserve">2. Spinnen und Weben;</w:t>
      </w:r>
      <w:r>
        <w:t xml:space="preserve"> </w:t>
      </w:r>
    </w:p>
    <w:p w14:paraId="49D85F28" w14:textId="2432ECDC" w:rsidR="00CB77AD" w:rsidRDefault="00CB77AD" w:rsidP="00A0611F">
      <w:pPr>
        <w:pStyle w:val="SNConsultation"/>
        <w:ind w:firstLine="0"/>
      </w:pPr>
      <w:r>
        <w:t xml:space="preserve">3. Färben und Drucken;</w:t>
      </w:r>
      <w:r>
        <w:t xml:space="preserve"> </w:t>
      </w:r>
    </w:p>
    <w:p w14:paraId="52C3722D" w14:textId="77777777" w:rsidR="00814529" w:rsidRDefault="00CB77AD" w:rsidP="00A0611F">
      <w:pPr>
        <w:pStyle w:val="SNConsultation"/>
        <w:ind w:firstLine="0"/>
      </w:pPr>
      <w:r>
        <w:t xml:space="preserve">4. Verarbeitung.</w:t>
      </w:r>
      <w:r>
        <w:t xml:space="preserve"> </w:t>
      </w:r>
    </w:p>
    <w:p w14:paraId="7CF39C3B" w14:textId="205DCF5E" w:rsidR="00CD3824" w:rsidRDefault="00F851F6" w:rsidP="00A0611F">
      <w:pPr>
        <w:pStyle w:val="SNConsultation"/>
        <w:ind w:firstLine="0"/>
      </w:pPr>
      <w:r>
        <w:t xml:space="preserve"> </w:t>
      </w:r>
      <w:r>
        <w:t xml:space="preserve">Bei Schuhen, die unter Nummer 11 [Textilerzeugnisse] in Artikel L. 541-10-1 fallen, sind dies folgende Tätigkeiten:</w:t>
      </w:r>
    </w:p>
    <w:p w14:paraId="77FBC51D" w14:textId="49E90FBB" w:rsidR="00CD3824" w:rsidRDefault="00CD3824" w:rsidP="00A0611F">
      <w:pPr>
        <w:pStyle w:val="SNConsultation"/>
        <w:ind w:firstLine="0"/>
      </w:pPr>
      <w:r>
        <w:t xml:space="preserve">1. Erzeugung des Rohstoffs;</w:t>
      </w:r>
      <w:r>
        <w:t xml:space="preserve"> </w:t>
      </w:r>
    </w:p>
    <w:p w14:paraId="0BEF1ADE" w14:textId="0D0D56D2" w:rsidR="00CD3824" w:rsidRDefault="00CD3824" w:rsidP="00A0611F">
      <w:pPr>
        <w:pStyle w:val="SNConsultation"/>
        <w:ind w:firstLine="0"/>
      </w:pPr>
      <w:r>
        <w:t xml:space="preserve">2. Zuschneiden;</w:t>
      </w:r>
      <w:r>
        <w:t xml:space="preserve"> </w:t>
      </w:r>
    </w:p>
    <w:p w14:paraId="2953264B" w14:textId="53C8809E" w:rsidR="00CD3824" w:rsidRDefault="00CD3824" w:rsidP="00A0611F">
      <w:pPr>
        <w:pStyle w:val="SNConsultation"/>
        <w:ind w:firstLine="0"/>
      </w:pPr>
      <w:r>
        <w:t xml:space="preserve">3. Nähen;</w:t>
      </w:r>
      <w:r>
        <w:t xml:space="preserve"> </w:t>
      </w:r>
    </w:p>
    <w:p w14:paraId="7C244636" w14:textId="3365746B" w:rsidR="00CD3824" w:rsidRDefault="00CD3824" w:rsidP="00A0611F">
      <w:pPr>
        <w:pStyle w:val="SNConsultation"/>
        <w:ind w:firstLine="0"/>
      </w:pPr>
      <w:r>
        <w:t xml:space="preserve">4. Montage;</w:t>
      </w:r>
    </w:p>
    <w:p w14:paraId="61219F8D" w14:textId="562FFA45" w:rsidR="00CD3824" w:rsidRPr="00517BD3" w:rsidRDefault="00CD3824" w:rsidP="00A0611F">
      <w:pPr>
        <w:pStyle w:val="SNConsultation"/>
        <w:ind w:firstLine="0"/>
      </w:pPr>
      <w:r>
        <w:t xml:space="preserve">5. Fertigstellung.</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Diese Informationen werden in Form der Angabe des Landes angegeben, in dem die einzelnen Schritte durchgeführt wurden.</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 Verbraucherinformationen über das </w:t>
      </w:r>
      <w:r>
        <w:rPr>
          <w:b/>
        </w:rPr>
        <w:t xml:space="preserve">Vorhandensein von Mikrofasern aus Kunststoff</w:t>
      </w:r>
      <w:r>
        <w:t xml:space="preserve"> in den unter Nummer 11 [Textilerzeugnisse] in Artikel L. 541-10-1 genannten Produkten sind als proportionale Masse der synthetischen Fasern im Produkt zu verstehen.</w:t>
      </w:r>
      <w:r>
        <w:t xml:space="preserve"> </w:t>
      </w:r>
      <w:r>
        <w:t xml:space="preserve">Diese Informationen werden bereitgestellt, sobald der Anteil der synthetischen Fasern 50 % übersteigt.</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Sie werden durch die Worte „gibt beim Waschen Mikrofasern aus Kunststoff an die Umwelt ab“ angegeben.</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Artikel R. 541-222.– Der Hersteller, Importeur oder ein anderer Inverkehrbringer der in Artikel R. 541-221 genannten Produkte stellt Informationen über die Umweltqualitäten und -eigenschaften dieser Produkte oder Produktgruppen sowie die Informationen über die Prämien und Sanktionen gemäß Artikel L. 541-10-3 bereit, die vom Hersteller auf der Grundlage von Umweltleistungskriterien gezahlt werden.</w:t>
      </w:r>
      <w:r>
        <w:t xml:space="preserve"> </w:t>
      </w:r>
      <w:r>
        <w:t xml:space="preserve">Diese Bereitstellung erfolgt in einem dematerialisierten Format, das zum Zeitpunkt des Kaufs kostenlos zugänglich und in einer Weise wiederverwendbar ist, die eine Aggregation ermöglicht.</w:t>
      </w:r>
      <w:r>
        <w:t xml:space="preserve"> </w:t>
      </w:r>
      <w:r>
        <w:t xml:space="preserve">Zu diesem Zweck stellt der Hersteller oder Importeur die Informationen auf einer speziellen Webseite mit einer Programmierschnittstelle für Anwendungen zur Verfügung.</w:t>
      </w:r>
      <w:r>
        <w:t xml:space="preserve"> </w:t>
      </w:r>
    </w:p>
    <w:p w14:paraId="1621FB5C" w14:textId="235E6D7F" w:rsidR="00531CE4" w:rsidRDefault="00D6632A" w:rsidP="00A0611F">
      <w:pPr>
        <w:pStyle w:val="SNConsultation"/>
        <w:ind w:firstLine="0"/>
      </w:pPr>
      <w:r>
        <w:t xml:space="preserve">Bei Stoffen im Sinne von Artikel R. 541-221 Abschnitt IX kann die Bereitstellung der Informationen alternativ durch eine per Erlass des Ministers für Umwelt bezeichnete Anwendung erfolgen.</w:t>
      </w:r>
      <w:r>
        <w:t xml:space="preserve"> </w:t>
      </w:r>
      <w:r>
        <w:t xml:space="preserve">Werden die Informationen über eine solche Anwendung bereitgestellt, so ist, wenn für mindestens eine andere Umweltqualität oder -eigenschaft eine eigene Webseite eingerichtet werden muss, dort darauf hinzuweisen, dass die Informationen über gefährliche Stoffe über die Anwendung abgerufen werden können.</w:t>
      </w:r>
      <w:r>
        <w:t xml:space="preserve"> </w:t>
      </w:r>
      <w:r>
        <w:t xml:space="preserve">Auf der entsprechenden Webseite sollte ein direkter Link zur Anwendung vorhanden sein.</w:t>
      </w:r>
      <w:r>
        <w:t xml:space="preserve"> </w:t>
      </w:r>
      <w:r>
        <w:t xml:space="preserve">Zusätzliche physische oder dematerialisierte Anzeigemittel, die zum Zeitpunkt des Kaufs sichtbar sind, können per Erlass des Ministers für Umwelt entsprechend den Qualitäten und Eigenschaften einerseits und den in Artikel R. 541-221 genannten Produkten und Produktgruppen andererseits sowie den Angaben zu den Prämien und Sanktionen gemäß Artikel L. 541-10-3 festgelegt werden.</w:t>
      </w:r>
      <w:r>
        <w:t xml:space="preserve"> </w:t>
      </w:r>
      <w:r>
        <w:t xml:space="preserve">In diesem Fall stellt der Hersteller oder Importeur dem Verkäufer die für diese Anzeige erforderlichen Informationen unentgeltlich zur Verfügung.</w:t>
      </w:r>
      <w:r>
        <w:t xml:space="preserve"> </w:t>
      </w:r>
    </w:p>
    <w:p w14:paraId="3FB9FCF6" w14:textId="549CAE16" w:rsidR="00D6632A" w:rsidRDefault="00D6632A" w:rsidP="00D6632A">
      <w:pPr>
        <w:pStyle w:val="SNConsultation"/>
        <w:ind w:firstLine="0"/>
      </w:pPr>
      <w:r>
        <w:t xml:space="preserve">Die Informationen werden bis zu zwei Jahre nach dem Inverkehrbringen der letzten Einheit des betreffenden Produkts bereitgestellt.</w:t>
      </w:r>
      <w:r>
        <w:t xml:space="preserve"> </w:t>
      </w:r>
    </w:p>
    <w:p w14:paraId="7F312AF1" w14:textId="5365C9F9" w:rsidR="00A0611F" w:rsidRDefault="00A0611F" w:rsidP="00A0611F">
      <w:pPr>
        <w:pStyle w:val="SNConsultation"/>
        <w:ind w:firstLine="0"/>
      </w:pPr>
      <w:r>
        <w:t xml:space="preserve">Jede freiwillige physische Anzeige in Bezug auf diese Umweltqualitäten und -eigenschaften muss den Definitionen in Artikel R. 541-221 entsprechen.</w:t>
      </w:r>
      <w:r>
        <w:t xml:space="preserve"> </w:t>
      </w:r>
    </w:p>
    <w:p w14:paraId="1C4965C0" w14:textId="432B6E2B" w:rsidR="00A0611F" w:rsidRDefault="00A0611F" w:rsidP="00A0611F">
      <w:pPr>
        <w:pStyle w:val="SNConsultation"/>
        <w:ind w:firstLine="0"/>
      </w:pPr>
      <w:r>
        <w:t xml:space="preserve">Die in diesem Artikel festgelegten Informationsanforderungen gelten nicht für die Umweltqualitäten und -eigenschaften gemäß Artikel R. 541-221 Abschnitt I und IV.</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Artikel R. 541-223.– Die in den Artikeln R. 541-221 und R. 541-222 vorgesehenen Verpflichtungen zur Information der Verbraucher gelten für Hersteller und Importeure, die für die in Artikel R. 541-221 genannten Produkte, die sie auf dem nationalen Markt in Verkehr bringen, einen Jahresumsatz von mehr als 50 Millionen EUR angeben.</w:t>
      </w:r>
    </w:p>
    <w:p w14:paraId="46A735A9" w14:textId="43A51871" w:rsidR="00350FE8" w:rsidRDefault="00350FE8" w:rsidP="00350FE8">
      <w:pPr>
        <w:pStyle w:val="Corpsdetexte"/>
        <w:keepNext/>
      </w:pPr>
      <w:r>
        <w:t xml:space="preserve">Ab dem 1. Januar 2024 gelten die in den Artikeln R. 541-221 und R. 541-222 vorgesehenen Verpflichtungen zur Information der Verbraucher für Hersteller und Importeure, die für die in Artikel R. 541-221 genannten Produkte, die sie auf dem nationalen Markt in Verkehr bringen, einen Jahresumsatz von mehr als 20 Millionen EUR angeben.</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Artikel R. 541-224.– Es ist verboten, die Angaben „biologisch abbaubar“, „umweltfreundlich“ oder andere gleichwertige Angaben auf einem Produkt oder einer Verpackung zu verwenden.“</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Artikel 2 – Inkrafttreten</w:t>
      </w:r>
    </w:p>
    <w:p w14:paraId="2C5F1691" w14:textId="4F965230" w:rsidR="00A0611F" w:rsidRDefault="00A0611F" w:rsidP="00A0611F">
      <w:pPr>
        <w:pStyle w:val="Corpsdetexte"/>
        <w:keepNext/>
        <w:keepLines/>
      </w:pPr>
      <w:r>
        <w:t xml:space="preserve">Die Bestimmungen des vorliegenden Dekrets treten am 1. Januar 2022 in Kraft.</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Artikel 3 – Durchführung</w:t>
      </w:r>
    </w:p>
    <w:p w14:paraId="42E479BF" w14:textId="77777777" w:rsidR="00A0611F" w:rsidRDefault="00A0611F" w:rsidP="00A0611F">
      <w:pPr>
        <w:pStyle w:val="SNArticle"/>
        <w:spacing w:before="240"/>
        <w:jc w:val="both"/>
        <w:rPr>
          <w:b w:val="0"/>
        </w:rPr>
      </w:pPr>
      <w:r>
        <w:rPr>
          <w:b w:val="0"/>
        </w:rPr>
        <w:t xml:space="preserve">Die Ministerin für den ökologischen Wandel und der Minister für Wirtschaft und Finanzen werden jeweils in ihrem Zuständigkeitsbereich mit der Durchführung des vorliegenden Dekrets beauftragt, das im </w:t>
      </w:r>
      <w:r>
        <w:rPr>
          <w:b w:val="0"/>
          <w:i/>
        </w:rPr>
        <w:t xml:space="preserve">Amtsblatt</w:t>
      </w:r>
      <w:r>
        <w:rPr>
          <w:b w:val="0"/>
        </w:rPr>
        <w:t xml:space="preserve"> der Französischen Republik veröffentlicht wird.</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Geschehen am [Datum]</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Im Namen des Premierministers:</w:t>
      </w:r>
    </w:p>
    <w:p w14:paraId="2A6EC749" w14:textId="5F63F38B" w:rsidR="003B3353" w:rsidRDefault="003B3353" w:rsidP="003B3353">
      <w:pPr>
        <w:pStyle w:val="SNDate"/>
        <w:spacing w:before="0" w:after="0"/>
        <w:ind w:firstLine="0"/>
        <w:jc w:val="left"/>
      </w:pPr>
      <w:r>
        <w:t xml:space="preserve">Jean Castex</w:t>
      </w:r>
      <w:r>
        <w:br/>
      </w:r>
      <w:r>
        <w:br/>
      </w:r>
      <w:r>
        <w:t xml:space="preserve">Die Ministerin für den ökologischen Wandel,</w:t>
      </w:r>
      <w:r>
        <w:br/>
      </w:r>
      <w:r>
        <w:t xml:space="preserve">Barbara POMPILI</w:t>
      </w:r>
    </w:p>
    <w:p w14:paraId="3BC92D43" w14:textId="77777777" w:rsidR="00D52AA5" w:rsidRDefault="004A0F51" w:rsidP="003B3353">
      <w:pPr>
        <w:pStyle w:val="SNDate"/>
        <w:spacing w:before="0" w:after="0"/>
        <w:ind w:firstLine="0"/>
        <w:jc w:val="right"/>
      </w:pPr>
      <w:r>
        <w:t xml:space="preserve">Der Minister für Wirtschaft, Finanzen und Aufschwung</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de-DE"/>
    </w:rPr>
  </w:style>
  <w:style w:type="paragraph" w:styleId="Titre2">
    <w:name w:val="heading 2"/>
    <w:basedOn w:val="Normal"/>
    <w:next w:val="Normal"/>
    <w:qFormat/>
    <w:pPr>
      <w:keepNext/>
      <w:numPr>
        <w:ilvl w:val="1"/>
        <w:numId w:val="1"/>
      </w:numPr>
      <w:spacing w:before="360"/>
      <w:jc w:val="center"/>
      <w:outlineLvl w:val="1"/>
    </w:pPr>
    <w:rPr>
      <w:b/>
      <w:bCs/>
      <w:iCs/>
      <w:smallCaps/>
      <w:lang w:val="de-DE"/>
    </w:rPr>
  </w:style>
  <w:style w:type="paragraph" w:styleId="Titre3">
    <w:name w:val="heading 3"/>
    <w:basedOn w:val="Normal"/>
    <w:next w:val="Normal"/>
    <w:qFormat/>
    <w:pPr>
      <w:keepNext/>
      <w:numPr>
        <w:ilvl w:val="2"/>
        <w:numId w:val="1"/>
      </w:numPr>
      <w:spacing w:before="360"/>
      <w:jc w:val="center"/>
      <w:outlineLvl w:val="2"/>
    </w:pPr>
    <w:rPr>
      <w:b/>
      <w:szCs w:val="26"/>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de-DE" w:bidi="ar-SA"/>
    </w:rPr>
  </w:style>
  <w:style w:type="character" w:customStyle="1" w:styleId="SNDateCar">
    <w:name w:val="SNDate Car"/>
    <w:qFormat/>
    <w:rPr>
      <w:sz w:val="24"/>
      <w:szCs w:val="24"/>
      <w:lang w:val="de-DE" w:bidi="ar-SA"/>
    </w:rPr>
  </w:style>
  <w:style w:type="character" w:customStyle="1" w:styleId="SNArticleCar">
    <w:name w:val="SNArticle Car"/>
    <w:qFormat/>
    <w:rPr>
      <w:b/>
      <w:bCs/>
      <w:sz w:val="24"/>
      <w:szCs w:val="24"/>
      <w:lang w:val="de-DE"/>
    </w:rPr>
  </w:style>
  <w:style w:type="character" w:customStyle="1" w:styleId="SNenProjet">
    <w:name w:val="SNenProjet"/>
    <w:basedOn w:val="Policepardfaut1"/>
    <w:qFormat/>
  </w:style>
  <w:style w:type="character" w:customStyle="1" w:styleId="CarCar5">
    <w:name w:val="Car Car5"/>
    <w:qFormat/>
    <w:rPr>
      <w:b/>
      <w:sz w:val="24"/>
      <w:szCs w:val="26"/>
      <w:lang w:val="de-DE"/>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de-DE"/>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de-DE" w:eastAsia="en-US"/>
    </w:rPr>
  </w:style>
  <w:style w:type="character" w:customStyle="1" w:styleId="TablebodyChar">
    <w:name w:val="Table body Char"/>
    <w:link w:val="Tablebody"/>
    <w:qFormat/>
    <w:rsid w:val="00C16C8D"/>
    <w:rPr>
      <w:rFonts w:ascii="Arial" w:eastAsia="Calibri" w:hAnsi="Arial"/>
      <w:szCs w:val="22"/>
      <w:lang w:val="de-DE" w:eastAsia="en-US"/>
    </w:rPr>
  </w:style>
  <w:style w:type="character" w:customStyle="1" w:styleId="TableheaderChar">
    <w:name w:val="Table header Char"/>
    <w:link w:val="Tableheader"/>
    <w:qFormat/>
    <w:rsid w:val="00C16C8D"/>
    <w:rPr>
      <w:rFonts w:ascii="Arial" w:eastAsia="Calibri" w:hAnsi="Arial"/>
      <w:szCs w:val="22"/>
      <w:lang w:val="de-DE"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de-DE"/>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de-DE"/>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de-DE"/>
    </w:rPr>
  </w:style>
  <w:style w:type="paragraph" w:styleId="En-tte">
    <w:name w:val="header"/>
    <w:basedOn w:val="Normal"/>
    <w:pPr>
      <w:tabs>
        <w:tab w:val="center" w:pos="4536"/>
        <w:tab w:val="right" w:pos="9072"/>
      </w:tabs>
    </w:pPr>
    <w:rPr>
      <w:lang w:val="de-DE"/>
    </w:rPr>
  </w:style>
  <w:style w:type="paragraph" w:styleId="Pieddepage">
    <w:name w:val="footer"/>
    <w:basedOn w:val="Normal"/>
    <w:link w:val="PieddepageCar"/>
    <w:uiPriority w:val="99"/>
    <w:pPr>
      <w:tabs>
        <w:tab w:val="center" w:pos="4536"/>
        <w:tab w:val="right" w:pos="9072"/>
      </w:tabs>
    </w:pPr>
    <w:rPr>
      <w:lang w:val="de-DE"/>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de-DE"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de-DE"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de-DE"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