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65F7" w14:textId="77777777"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2022 m. balandžio 29 d. Nutarimas Nr. 2022-748 dėl vartotojų informavimo apie atliekas generuojančių produktų ekologines savybes ir charakteristikas</w:t>
      </w:r>
    </w:p>
    <w:p w14:paraId="26DB97F0" w14:textId="77777777" w:rsidR="00D95325" w:rsidRPr="00D95325" w:rsidRDefault="00D95325" w:rsidP="00D95325">
      <w:pPr>
        <w:spacing w:after="0" w:line="240" w:lineRule="auto"/>
        <w:rPr>
          <w:rFonts w:ascii="Times New Roman" w:eastAsia="Times New Roman" w:hAnsi="Times New Roman" w:cs="Times New Roman"/>
          <w:sz w:val="24"/>
          <w:szCs w:val="24"/>
        </w:rPr>
      </w:pPr>
      <w:r>
        <w:rPr>
          <w:rFonts w:ascii="Times New Roman" w:hAnsi="Times New Roman"/>
          <w:sz w:val="24"/>
        </w:rPr>
        <w:t>NOR: TRED2203154D</w:t>
      </w:r>
      <w:r>
        <w:rPr>
          <w:rFonts w:ascii="Times New Roman" w:hAnsi="Times New Roman"/>
          <w:sz w:val="24"/>
        </w:rPr>
        <w:br/>
        <w:t>ELI: https://www.legifrance.gouv.fr/eli/decret/2022/4/29/TRED2203154D/jo/texte</w:t>
      </w:r>
      <w:r>
        <w:rPr>
          <w:rFonts w:ascii="Times New Roman" w:hAnsi="Times New Roman"/>
          <w:sz w:val="24"/>
        </w:rPr>
        <w:br/>
        <w:t>Alias: https://www.legifrance.gouv.fr/eli/decret/2022/4/29/2022-748/jo/texte 2022 m. balandžio 30 d. JORF Nr. 0101,</w:t>
      </w:r>
      <w:r>
        <w:rPr>
          <w:rFonts w:ascii="Times New Roman" w:hAnsi="Times New Roman"/>
          <w:sz w:val="24"/>
        </w:rPr>
        <w:br/>
        <w:t>Tekstas Nr. 4</w:t>
      </w:r>
    </w:p>
    <w:p w14:paraId="5160988B"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Suinteresuotoji visuomenė: gamintojai, importuotojai, platintojai arba kitos šalys, teikiančios atliekas generuojančius vartojimo produktus į rinką, įskaitant tuos, kurie, vykdydami komercinę veiklą Prancūzijoje, naudojasi interneto svetaine, platforma ar kitu platinimo kanalu, ir tokių produktų vartotojai. </w:t>
      </w:r>
      <w:r>
        <w:rPr>
          <w:rFonts w:ascii="Times New Roman" w:hAnsi="Times New Roman"/>
          <w:sz w:val="24"/>
        </w:rPr>
        <w:br/>
        <w:t xml:space="preserve">Objektas: Aplinkos kodekso L. 541-9-1 straipsnyje nustatyto įpareigojimo, susijusio su vartotojų informavimu apie atliekas generuojančių produktų ekologines savybes ir charakteristikas, įgyvendinimas. </w:t>
      </w:r>
      <w:r>
        <w:rPr>
          <w:rFonts w:ascii="Times New Roman" w:hAnsi="Times New Roman"/>
          <w:sz w:val="24"/>
        </w:rPr>
        <w:br/>
        <w:t xml:space="preserve">Įsigaliojimas: R. 541-223 straipsnis įsigalioja kitą dieną po šio nutarimo paskelbimo. Produktams ar pakuotėms, kuriems jis taikomas, numatomas atsargų realizavimo laikotarpis iki 2023 m. sausio 1 d., jei jie buvo pagaminti arba importuoti iki šio nutarimo paskelbimo dienos. R. 541-220–R. 541-222 straipsniai įsigalios palaipsniui nuo 2023 m. sausio 1 d. </w:t>
      </w:r>
      <w:r>
        <w:rPr>
          <w:rFonts w:ascii="Times New Roman" w:hAnsi="Times New Roman"/>
          <w:sz w:val="24"/>
        </w:rPr>
        <w:br/>
        <w:t xml:space="preserve">Pranešimas: nutarime nustatytos išsamios Aplinkos kodekso L. 541-9-1 straipsnio taikymo taisyklės, pagal kurias vartotojams, gamintojams ir importuotojams suteikiama tinkama informacija apie atliekas generuojančių produktų ekologines savybes ir charakteristikas – šiame tekste apibrėžtas sąvokas. Gamintojams ir importuotojams, kurie deklaruoja, kad R. 541-221 straipsnyje nurodytų produktų, kuriuos jie pateikia nacionalinei rinkai, metinė apyvarta viršija 10 mln. EUR ir kurie kasmet atsako už daugiau kaip 10 000 šių produktų vienetų pateikimą rinkai, taikomas informacijos reikalavimas. Perkant ši informacija pateikiama elektroniniu būdu ir, jeigu būtina, taikant procedūras, nustatytas užsakant, rodant, ženklinant, arba bet kokiu kitu įskaitomu ir suprantamu prietaisu. Šios ekologinės savybės ir charakteristikos, atsižvelgiant į atitinkamas produkto kategorijas, apima perdirbtų medžiagų naudojimą, atsinaujinančių išteklių naudojimą, tvarumą, tinkamumą kompostuoti, taisomumą, pakartotinio naudojimo galimybes, perdirbamumą, pavojingų medžiagų, tauriųjų metalų ar retųjų žemių metalų buvimą, atsekamumą ir plastiko mikropluošto buvimą. Duomenų apie šias ekologines savybes ir charakteristikas pateikimo vartotojams formatas turi būti lengvai pakartotinai naudojamas ir naudojamas automatizuotoje duomenų apdorojimo sistemoje apibendrinta forma. </w:t>
      </w:r>
      <w:r>
        <w:rPr>
          <w:rFonts w:ascii="Times New Roman" w:hAnsi="Times New Roman"/>
          <w:sz w:val="24"/>
        </w:rPr>
        <w:br/>
        <w:t xml:space="preserve">Nuorodos: šį nutarimą ir juo iš dalies keičiamą Aplinkos kodeksą galima rasti „Légifrance“ interneto svetainėje (http://www.legifrance.gouv.fr). </w:t>
      </w:r>
    </w:p>
    <w:p w14:paraId="01C8FBD8"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Ministras pirmininkas,</w:t>
      </w:r>
      <w:r>
        <w:rPr>
          <w:rFonts w:ascii="Times New Roman" w:hAnsi="Times New Roman"/>
          <w:sz w:val="24"/>
        </w:rPr>
        <w:br/>
        <w:t>dėl ekologinės pertvarkos ministro ir ekonomikos, finansų ir ekonomikos atgaivinimo ministro ataskaitos;</w:t>
      </w:r>
      <w:r>
        <w:rPr>
          <w:rFonts w:ascii="Times New Roman" w:hAnsi="Times New Roman"/>
          <w:sz w:val="24"/>
        </w:rPr>
        <w:br/>
        <w:t xml:space="preserve">atsižvelgdamas į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w:t>
      </w:r>
      <w:r>
        <w:rPr>
          <w:rFonts w:ascii="Times New Roman" w:hAnsi="Times New Roman"/>
          <w:sz w:val="24"/>
        </w:rPr>
        <w:lastRenderedPageBreak/>
        <w:t>(EB) Nr. 1488/94, Tarybos direktyvą 76/769/EEB ir Komisijos direktyvas 91/155/EEB, 93/67/EEB, 93/105/EB bei 2000/21/EB;</w:t>
      </w:r>
      <w:r>
        <w:rPr>
          <w:rFonts w:ascii="Times New Roman" w:hAnsi="Times New Roman"/>
          <w:sz w:val="24"/>
        </w:rPr>
        <w:br/>
        <w:t>atsižvelgdamas į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w:t>
      </w:r>
      <w:r>
        <w:rPr>
          <w:rFonts w:ascii="Times New Roman" w:hAnsi="Times New Roman"/>
          <w:sz w:val="24"/>
        </w:rPr>
        <w:br/>
        <w:t>atsižvelgdamas į 1994 m. gruodžio 20 d. Europos Parlamento ir Tarybos direktyvą 94/62/EB dėl pakuočių ir pakuočių atliekų;</w:t>
      </w:r>
      <w:r>
        <w:rPr>
          <w:rFonts w:ascii="Times New Roman" w:hAnsi="Times New Roman"/>
          <w:sz w:val="24"/>
        </w:rPr>
        <w:br/>
        <w:t>atsižvelgdamas į 2015 m. rugsėjo 9 d. Europos Parlamento ir Tarybos direktyvą (ES) 2015/1535, kuria nustatoma informacijos apie techninius reglamentus ir informacinės visuomenės paslaugų taisykles teikimo tvarka;</w:t>
      </w:r>
      <w:r>
        <w:rPr>
          <w:rFonts w:ascii="Times New Roman" w:hAnsi="Times New Roman"/>
          <w:sz w:val="24"/>
        </w:rPr>
        <w:br/>
        <w:t>atsižvelgdamas į Statybos ir būsto kodeksą, ypač į jo L. 171-2 ir R. 171-17 straipsnius;</w:t>
      </w:r>
      <w:r>
        <w:rPr>
          <w:rFonts w:ascii="Times New Roman" w:hAnsi="Times New Roman"/>
          <w:sz w:val="24"/>
        </w:rPr>
        <w:br/>
        <w:t>atsižvelgdamas į Aplinkos kodeksą, ypač į L. 541-1-1, L. 541-9-1, L. 541-9-2, L. 541-10, L. 541-10-1, L. 541-10-3 ir R. 543-226 straipsnius;</w:t>
      </w:r>
      <w:r>
        <w:rPr>
          <w:rFonts w:ascii="Times New Roman" w:hAnsi="Times New Roman"/>
          <w:sz w:val="24"/>
        </w:rPr>
        <w:br/>
        <w:t>atsižvelgdamas į Visuomenės sveikatos kodeksą, ypač į jo R. 5232-19 ir R. 5232-20 straipsnius;</w:t>
      </w:r>
      <w:r>
        <w:rPr>
          <w:rFonts w:ascii="Times New Roman" w:hAnsi="Times New Roman"/>
          <w:sz w:val="24"/>
        </w:rPr>
        <w:br/>
        <w:t>atsižvelgdamas į 2020 m. vasario 10 d. Įstatymą Nr. 2020-105 dėl atliekų ir žiedinės ekonomikos, ypač į jo 13 ir 130 straipsnius;</w:t>
      </w:r>
      <w:r>
        <w:rPr>
          <w:rFonts w:ascii="Times New Roman" w:hAnsi="Times New Roman"/>
          <w:sz w:val="24"/>
        </w:rPr>
        <w:br/>
        <w:t>atsižvelgdamas į pranešimą Nr. 2021/644/F, 2021 m. spalio 4 d. išsiųstą Europos Komisijai pagal Direktyvą 94/62/EB ir Direktyvą (ES) 2015/1535, ir 2022 m. sausio 5 d. atsakymą;</w:t>
      </w:r>
      <w:r>
        <w:rPr>
          <w:rFonts w:ascii="Times New Roman" w:hAnsi="Times New Roman"/>
          <w:sz w:val="24"/>
        </w:rPr>
        <w:br/>
        <w:t>atsižvelgdamas į pastabas, pateiktas per viešąsias konsultacijas, vykusias 2021 m. spalio 12 d. – lapkričio 17 d., pagal Aplinkos kodekso L. 123-19-1 straipsnį;</w:t>
      </w:r>
      <w:r>
        <w:rPr>
          <w:rFonts w:ascii="Times New Roman" w:hAnsi="Times New Roman"/>
          <w:sz w:val="24"/>
        </w:rPr>
        <w:br/>
        <w:t>išklausęs Valstybės Tarybą (Viešųjų darbų skyrių),</w:t>
      </w:r>
      <w:r>
        <w:rPr>
          <w:rFonts w:ascii="Times New Roman" w:hAnsi="Times New Roman"/>
          <w:sz w:val="24"/>
        </w:rPr>
        <w:br/>
        <w:t>priėmė šį nutarimą:</w:t>
      </w:r>
    </w:p>
    <w:p w14:paraId="16723DCD"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37B99B05"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Aplinkos kodekso V knygos IV antraštinės dalies I skyriaus 9 skirsnis papildomas 3 poskirsniu:</w:t>
      </w:r>
    </w:p>
    <w:p w14:paraId="667CEC7A" w14:textId="6718E75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F90651">
        <w:rPr>
          <w:rFonts w:ascii="Times New Roman" w:hAnsi="Times New Roman"/>
          <w:sz w:val="24"/>
        </w:rPr>
        <w:t>"</w:t>
      </w:r>
      <w:r>
        <w:rPr>
          <w:rFonts w:ascii="Times New Roman" w:hAnsi="Times New Roman"/>
          <w:sz w:val="24"/>
        </w:rPr>
        <w:t xml:space="preserve"> 3 poskirsnis</w:t>
      </w:r>
      <w:r>
        <w:rPr>
          <w:rFonts w:ascii="Times New Roman" w:hAnsi="Times New Roman"/>
          <w:sz w:val="24"/>
        </w:rPr>
        <w:br/>
        <w:t>Vartotojų informavimas apie atliekas generuojančių produktų ekologines savybes ir charakteristikas</w:t>
      </w:r>
    </w:p>
    <w:p w14:paraId="6188E01B"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541-220 straipsnis. - L. 541-9-1 straipsnyje nurodytos atliekas generuojančių produktų ekologinės savybės ir charakteristikos – tai tos ekologinės savybės ir charakteristikos, kuriomis siekiama informuoti vartotoją apie sąlygas, susijusias su geresne atliekų prevencija ir jų tvarkymu.</w:t>
      </w:r>
      <w:r>
        <w:rPr>
          <w:rFonts w:ascii="Times New Roman" w:hAnsi="Times New Roman"/>
          <w:sz w:val="24"/>
        </w:rPr>
        <w:br/>
        <w:t>" Informacija apie ekologines savybes ir charakteristikas, kaip apibrėžta L. 541-9-1 straipsnyje ir šiame poskirsnyje nustatytomis sąlygomis, apima R. 541-221 straipsnyje nurodytus rinkai pateikiamus naujus produktus.</w:t>
      </w:r>
      <w:r>
        <w:rPr>
          <w:rFonts w:ascii="Times New Roman" w:hAnsi="Times New Roman"/>
          <w:sz w:val="24"/>
        </w:rPr>
        <w:br/>
        <w:t>" Gamintojams, importuotojams ar kitiems rinkai teikiantiems subjektams, kurie deklaruoja R. 541-221 straipsnyje nurodytų produktų, kuriuos jie pateikia nacionalinei rinkai, apyvartą, kad jų apyvarta viršija 10 mln. EUR, ir kurie yra atsakingi už ne mažiau kaip 10 000 vienetų tų produktų pateikimą nacionalinei rinkai, taikomas įpareigojimas pateikti informaciją.</w:t>
      </w:r>
    </w:p>
    <w:p w14:paraId="5B0A5934" w14:textId="314DFF1B"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R. 541-221 straipsnis. - I. Vartotojų informavimas apie pataisomumą ir patvarumą susijęs su elektros arba elektronine įranga, kuriai taikomas L. 541-9-2 straipsnyje apibrėžtas pataisomumo rodiklis arba patvarumo rodiklis.</w:t>
      </w:r>
      <w:r>
        <w:rPr>
          <w:rFonts w:ascii="Times New Roman" w:hAnsi="Times New Roman"/>
          <w:sz w:val="24"/>
        </w:rPr>
        <w:br/>
        <w:t>" Ši informacija įgyvendinama kaip pataisomumo rodiklis, o nuo 2024 m. sausio 1 d. – kaip patvarumo rodiklis, vadovaujantis R. 541-210–R. 541-214 straipsnių nuostatomis.</w:t>
      </w:r>
      <w:r>
        <w:rPr>
          <w:rFonts w:ascii="Times New Roman" w:hAnsi="Times New Roman"/>
          <w:sz w:val="24"/>
        </w:rPr>
        <w:br/>
        <w:t>" II. Pakuočių, išvardytų R. 543-226 straipsnio ketvirtoje pastraipoje nurodytame sąraše, rūšys ir kategorijos įtraukiamos į vartotojų informavimo apie tinkamumą kompostuoti taikymo sritį.</w:t>
      </w:r>
      <w:r>
        <w:rPr>
          <w:rFonts w:ascii="Times New Roman" w:hAnsi="Times New Roman"/>
          <w:sz w:val="24"/>
        </w:rPr>
        <w:br/>
        <w:t>" Ši informacija pateikiama nurodant terminą „kompostuojamos pakuotės“.</w:t>
      </w:r>
      <w:r>
        <w:rPr>
          <w:rFonts w:ascii="Times New Roman" w:hAnsi="Times New Roman"/>
          <w:sz w:val="24"/>
        </w:rPr>
        <w:br/>
      </w:r>
      <w:r w:rsidR="00F90651">
        <w:rPr>
          <w:rFonts w:ascii="Times New Roman" w:hAnsi="Times New Roman"/>
          <w:sz w:val="24"/>
        </w:rPr>
        <w:t>"</w:t>
      </w:r>
      <w:r w:rsidR="00F90651">
        <w:rPr>
          <w:rFonts w:ascii="Times New Roman" w:hAnsi="Times New Roman"/>
          <w:sz w:val="24"/>
        </w:rPr>
        <w:t xml:space="preserve"> </w:t>
      </w:r>
      <w:r>
        <w:rPr>
          <w:rFonts w:ascii="Times New Roman" w:hAnsi="Times New Roman"/>
          <w:sz w:val="24"/>
        </w:rPr>
        <w:t xml:space="preserve">III. Perdirbtos medžiagos naudojimas matuojamas kaip bendra medžiagų, gautų perdirbant, kaip apibrėžta L. 541-1-1 straipsnyje, masės dalis. </w:t>
      </w:r>
      <w:r>
        <w:rPr>
          <w:rFonts w:ascii="Times New Roman" w:hAnsi="Times New Roman"/>
          <w:sz w:val="24"/>
        </w:rPr>
        <w:br/>
        <w:t>" Vartotojų informavimas apie perdirbtų medžiagų naudojimą yra susijęs su gaminių, nurodytų L. 541-10-1 straipsnio 3, 5, 6, 7, 10, 11 (išskyrus odos dirbinius), 13, 14 ir 15 dalyse, kategorijomis.</w:t>
      </w:r>
      <w:r>
        <w:rPr>
          <w:rFonts w:ascii="Times New Roman" w:hAnsi="Times New Roman"/>
          <w:sz w:val="24"/>
        </w:rPr>
        <w:br/>
        <w:t>" Ši informacija apie šiuos produktus išreiškiama terminu „produktas, kurio sudėtyje yra ne mažiau kaip [proc.] perdirbtų medžiagų“.</w:t>
      </w:r>
      <w:r>
        <w:rPr>
          <w:rFonts w:ascii="Times New Roman" w:hAnsi="Times New Roman"/>
          <w:sz w:val="24"/>
        </w:rPr>
        <w:br/>
        <w:t>" Vartotojų informavimas apie perdirbtų medžiagų naudojimą taip pat apima L. 541-10-1 straipsnio 1 dalyje nurodytas pakuotes.</w:t>
      </w:r>
      <w:r>
        <w:rPr>
          <w:rFonts w:ascii="Times New Roman" w:hAnsi="Times New Roman"/>
          <w:sz w:val="24"/>
        </w:rPr>
        <w:br/>
        <w:t>" Ši informacija apie šiuos produktus išreiškiama terminu „pakuotė, kurioje yra ne mažiau kaip [proc.] perdirbtų medžiagų“.</w:t>
      </w:r>
      <w:r>
        <w:rPr>
          <w:rFonts w:ascii="Times New Roman" w:hAnsi="Times New Roman"/>
          <w:sz w:val="24"/>
        </w:rPr>
        <w:br/>
        <w:t>" IV. Vartotojų informavimas apie atsinaujinančių išteklių naudojimą apima L. 541-10-1 straipsnio 4 dalyje nurodytus produktus arba statybines medžiagas, kuriems taikoma aplinkosaugos deklaracija pagal Statybos ir būsto kodekso R. 171-17 straipsnyje nustatytas sąlygas.</w:t>
      </w:r>
      <w:r>
        <w:rPr>
          <w:rFonts w:ascii="Times New Roman" w:hAnsi="Times New Roman"/>
          <w:sz w:val="24"/>
        </w:rPr>
        <w:br/>
        <w:t>" Ši informacija pateikiama laikantis Statybos ir būsto kodekso I knygos VII antraštinės dalies I skyriaus 3 skirsnio 1 poskirsnyje nustatytų sąlygų.</w:t>
      </w:r>
      <w:r>
        <w:rPr>
          <w:rFonts w:ascii="Times New Roman" w:hAnsi="Times New Roman"/>
          <w:sz w:val="24"/>
        </w:rPr>
        <w:br/>
        <w:t>" V. L. 541-10-1 straipsnio 1 dalyje nurodytos pakuotės įtraukiamos į vartotojų informavimą apie pakartotinio naudojimo galimybes.</w:t>
      </w:r>
      <w:r>
        <w:rPr>
          <w:rFonts w:ascii="Times New Roman" w:hAnsi="Times New Roman"/>
          <w:sz w:val="24"/>
        </w:rPr>
        <w:br/>
        <w:t>" Pakartotinio naudojimo galimybės suprantamos kaip galimybės pakuotėms atitikti R. 541-350 straipsnio 3 dalyje nustatytas sąlygas, kad jos būtų laikomos daugkartinėmis arba pakartotinai naudojamomis pakuotėmis.</w:t>
      </w:r>
      <w:r>
        <w:rPr>
          <w:rFonts w:ascii="Times New Roman" w:hAnsi="Times New Roman"/>
          <w:sz w:val="24"/>
        </w:rPr>
        <w:br/>
        <w:t>" Ši informacija pateikiama nurodant terminus „vienkartinė pakuotė“ arba „pakartotinai pripildoma pakuotė“.</w:t>
      </w:r>
      <w:r>
        <w:rPr>
          <w:rFonts w:ascii="Times New Roman" w:hAnsi="Times New Roman"/>
          <w:sz w:val="24"/>
        </w:rPr>
        <w:br/>
      </w:r>
      <w:r w:rsidR="00F90651">
        <w:rPr>
          <w:rFonts w:ascii="Times New Roman" w:hAnsi="Times New Roman"/>
          <w:sz w:val="24"/>
        </w:rPr>
        <w:t>"</w:t>
      </w:r>
      <w:r w:rsidR="00F90651">
        <w:rPr>
          <w:rFonts w:ascii="Times New Roman" w:hAnsi="Times New Roman"/>
          <w:sz w:val="24"/>
        </w:rPr>
        <w:t xml:space="preserve"> </w:t>
      </w:r>
      <w:r>
        <w:rPr>
          <w:rFonts w:ascii="Times New Roman" w:hAnsi="Times New Roman"/>
          <w:sz w:val="24"/>
        </w:rPr>
        <w:t>VI. Perdirbamumas – tai faktinis tokių pačių arba panašių produktų atliekų perdirbimo pajėgumas.  Šių atliekų perdirbamumas apibūdinamas taip:</w:t>
      </w:r>
      <w:r>
        <w:rPr>
          <w:rFonts w:ascii="Times New Roman" w:hAnsi="Times New Roman"/>
          <w:sz w:val="24"/>
        </w:rPr>
        <w:br/>
      </w:r>
      <w:r w:rsidR="00F90651">
        <w:rPr>
          <w:rFonts w:ascii="Times New Roman" w:hAnsi="Times New Roman"/>
          <w:sz w:val="24"/>
        </w:rPr>
        <w:t>"</w:t>
      </w:r>
      <w:r>
        <w:rPr>
          <w:rFonts w:ascii="Times New Roman" w:hAnsi="Times New Roman"/>
          <w:sz w:val="24"/>
        </w:rPr>
        <w:t>1) tinkamumas būti veiksmingai renkamoms vietose užtikrinant gyventojų prieigą prie vietinių surinkimo punktų;</w:t>
      </w:r>
      <w:r>
        <w:rPr>
          <w:rFonts w:ascii="Times New Roman" w:hAnsi="Times New Roman"/>
          <w:sz w:val="24"/>
        </w:rPr>
        <w:br/>
      </w:r>
      <w:r w:rsidR="00F90651">
        <w:rPr>
          <w:rFonts w:ascii="Times New Roman" w:hAnsi="Times New Roman"/>
          <w:sz w:val="24"/>
        </w:rPr>
        <w:t>"</w:t>
      </w:r>
      <w:r>
        <w:rPr>
          <w:rFonts w:ascii="Times New Roman" w:hAnsi="Times New Roman"/>
          <w:sz w:val="24"/>
        </w:rPr>
        <w:t>2) tinkamumas rūšiuoti, t. y. nukreiptas į tam tikrus perdirbimo kanalus, kad būtų perdirbtos;</w:t>
      </w:r>
      <w:r>
        <w:rPr>
          <w:rFonts w:ascii="Times New Roman" w:hAnsi="Times New Roman"/>
          <w:sz w:val="24"/>
        </w:rPr>
        <w:br/>
      </w:r>
      <w:r w:rsidR="00F90651">
        <w:rPr>
          <w:rFonts w:ascii="Times New Roman" w:hAnsi="Times New Roman"/>
          <w:sz w:val="24"/>
        </w:rPr>
        <w:t>"</w:t>
      </w:r>
      <w:r>
        <w:rPr>
          <w:rFonts w:ascii="Times New Roman" w:hAnsi="Times New Roman"/>
          <w:sz w:val="24"/>
        </w:rPr>
        <w:t>3) elementų ar medžiagų, kurios trukdytų rūšiuoti, perdirbti arba apriboti perdirbtos medžiagos naudojimą, nebuvimas;</w:t>
      </w:r>
      <w:r>
        <w:rPr>
          <w:rFonts w:ascii="Times New Roman" w:hAnsi="Times New Roman"/>
          <w:sz w:val="24"/>
        </w:rPr>
        <w:br/>
      </w:r>
      <w:r w:rsidR="00F90651">
        <w:rPr>
          <w:rFonts w:ascii="Times New Roman" w:hAnsi="Times New Roman"/>
          <w:sz w:val="24"/>
        </w:rPr>
        <w:t>"</w:t>
      </w:r>
      <w:r>
        <w:rPr>
          <w:rFonts w:ascii="Times New Roman" w:hAnsi="Times New Roman"/>
          <w:sz w:val="24"/>
        </w:rPr>
        <w:t>4) perdirbtos medžiagos, pagamintos taikant perdirbimo procesus, kiekis sudaro daugiau kaip 50 proc. visų surinktų atliekų kiekio;</w:t>
      </w:r>
      <w:r>
        <w:rPr>
          <w:rFonts w:ascii="Times New Roman" w:hAnsi="Times New Roman"/>
          <w:sz w:val="24"/>
        </w:rPr>
        <w:br/>
      </w:r>
      <w:r w:rsidR="00F90651">
        <w:rPr>
          <w:rFonts w:ascii="Times New Roman" w:hAnsi="Times New Roman"/>
          <w:sz w:val="24"/>
        </w:rPr>
        <w:t>"</w:t>
      </w:r>
      <w:r>
        <w:rPr>
          <w:rFonts w:ascii="Times New Roman" w:hAnsi="Times New Roman"/>
          <w:sz w:val="24"/>
        </w:rPr>
        <w:t>5. gebėjimas būti perdirbtoms pramoniniu mastu ir praktiškai, visų pirma užtikrinant, kad gautos perdirbtos medžiagos kokybė būtų pakankama siekiant užtikrinti pardavimo rinkų tvarumą ir perdirbimo grandinės tinkamumą įrodyti pakankamą gebėjimą perimti atsakomybę už produktus, kurie gali būti integruoti į ją.</w:t>
      </w:r>
      <w:r>
        <w:rPr>
          <w:rFonts w:ascii="Times New Roman" w:hAnsi="Times New Roman"/>
          <w:sz w:val="24"/>
        </w:rPr>
        <w:br/>
        <w:t xml:space="preserve">Informacija apie perdirbamumą vartotojui pateikiama antrašte „dažniausiai perdirbamas produktas“ arba „dažniausiai perdirbama pakuotė“, jeigu laikomasi šių penkių kriterijų. </w:t>
      </w:r>
      <w:r>
        <w:rPr>
          <w:rFonts w:ascii="Times New Roman" w:hAnsi="Times New Roman"/>
          <w:sz w:val="24"/>
        </w:rPr>
        <w:lastRenderedPageBreak/>
        <w:t>Jeigu taikant perdirbimo procesus pagaminta perdirbta medžiaga sudaro daugiau kaip 95 proc. visų surinktų atliekų, į pateiktą informaciją galima įtraukti teiginį „visiškai perdirbtas produktas“.</w:t>
      </w:r>
      <w:r>
        <w:rPr>
          <w:rFonts w:ascii="Times New Roman" w:hAnsi="Times New Roman"/>
          <w:sz w:val="24"/>
        </w:rPr>
        <w:br/>
        <w:t>" Apie jį gamintojui praneša ekologinė organizacija, kuriai jis perdavė savo įsipareigojimą dėl didesnės atsakomybės pagal L. 541-10 straipsnį, prireikus pateikiant priemonę produkto perdirbamumui apskaičiuoti naudojant suderintą metodą. Jeigu gamintojas yra įdiegęs individualią didesnės atsakomybės sistemą, jis nustato informaciją, už kurią jis yra atsakingas.</w:t>
      </w:r>
      <w:r>
        <w:rPr>
          <w:rFonts w:ascii="Times New Roman" w:hAnsi="Times New Roman"/>
          <w:sz w:val="24"/>
        </w:rPr>
        <w:br/>
        <w:t>" Jeigu perdirbtini kiekiai atitinka medžiagų, kurios dažniausiai pakartotinai įtraukiamos į lygiaverčio pobūdžio produktus, atitinkančius tapatų naudojimą ir paskirtį, perdirbimą, nepatiriant funkcinio medžiagos nuostolio, gamintojas informaciją apie perdirbamumą gali papildyti teiginiu „produktas gali būti perdirbamas į tos pačios rūšies produktą“ arba „pakuotė gali būti perdirbama į tos pačios rūšies pakuotę“.</w:t>
      </w:r>
      <w:r>
        <w:rPr>
          <w:rFonts w:ascii="Times New Roman" w:hAnsi="Times New Roman"/>
          <w:sz w:val="24"/>
        </w:rPr>
        <w:br/>
        <w:t>" L. 541-10-1 straipsnio 1, 3, 4, 5, 6, 7, 10, 11, 12, 13, 14 ir 15 dalyse nurodytų kategorijų produktams taikomas vartotojų informavimas apie perdirbamumą.</w:t>
      </w:r>
      <w:r>
        <w:rPr>
          <w:rFonts w:ascii="Times New Roman" w:hAnsi="Times New Roman"/>
          <w:sz w:val="24"/>
        </w:rPr>
        <w:br/>
        <w:t>" VII. Į vartotojų informavimą apie tauriųjų metalų buvimą, atsižvelgiant į jų gavybos sąlygų poveikį aplinkai, įtraukiami šie metalai: auksas, sidabras, platina ir paladis.</w:t>
      </w:r>
      <w:r>
        <w:rPr>
          <w:rFonts w:ascii="Times New Roman" w:hAnsi="Times New Roman"/>
          <w:sz w:val="24"/>
        </w:rPr>
        <w:br/>
        <w:t>" Informacija, susijusi su tauriaisiais metalais, pateikiama L. 541-10-1 straipsnio 5 ir 15 dalyse nurodytų kategorijų produktams.</w:t>
      </w:r>
      <w:r>
        <w:rPr>
          <w:rFonts w:ascii="Times New Roman" w:hAnsi="Times New Roman"/>
          <w:sz w:val="24"/>
        </w:rPr>
        <w:br/>
        <w:t>" Ši informacija išreiškiama taikant masę, jeigu ji didesnė kaip 1 miligramas, arba žodžiais „sudėtyje yra ne mažiau kaip [X miligramų] tauriųjų metalų“, arba nurodant išsamią informaciją apie kiekvieną esamą taurųjį metalą, išreiškiamą mažiausia mase tame pačiame vienete, žodžiais „sudėtyje yra ne mažiau kaip [X miligramų] aukso, sidabro, platinos ir paladžio“.</w:t>
      </w:r>
      <w:r>
        <w:rPr>
          <w:rFonts w:ascii="Times New Roman" w:hAnsi="Times New Roman"/>
          <w:sz w:val="24"/>
        </w:rPr>
        <w:br/>
        <w:t>" VIII. - Į vartotojų informavimą apie retųjų žemės metalų buvimą sudėtyje, atsižvelgiant į jų gavybos sąlygų poveikį aplinkai, įtraukiama: skandis, itris, lantanas, ceris, prazeodimis, neodimis, prometis, samaris, europis, gadolinis, terbis, disprozis, holmis, erbis, tulis, iterbis, lutecis.</w:t>
      </w:r>
      <w:r>
        <w:rPr>
          <w:rFonts w:ascii="Times New Roman" w:hAnsi="Times New Roman"/>
          <w:sz w:val="24"/>
        </w:rPr>
        <w:br/>
        <w:t>" Informacija, susijusi su retaisiais žemės metalais, pateikiama L. 541-10-1 straipsnio 5 ir 15 dalyse nurodytų kategorijų produktams.</w:t>
      </w:r>
      <w:r>
        <w:rPr>
          <w:rFonts w:ascii="Times New Roman" w:hAnsi="Times New Roman"/>
          <w:sz w:val="24"/>
        </w:rPr>
        <w:br/>
        <w:t>" Ši informacija išreiškiama mase, jei ji yra didesnė kaip 1 miligramas, arba žodžiais „sudėtyje yra ne mažiau kaip [X miligramų] retųjų žemės metalų“, arba nurodant išsamią informaciją apie kiekvieną retąjį žemės metalą, išreiškiamą mažiausia mase tame pačiame vienete, „sudėtyje yra ne mažiau kaip [X miligramų] skandžio, itrio, lantano, cerio, prazeodimio, neodimio, promečio, samario, europio, gadolinio, terbio, disprozio, holmio, erbio, tulio, iterbio, lutecio“.</w:t>
      </w:r>
      <w:r>
        <w:rPr>
          <w:rFonts w:ascii="Times New Roman" w:hAnsi="Times New Roman"/>
          <w:sz w:val="24"/>
        </w:rPr>
        <w:br/>
        <w:t>" „IX. Vartotojų informavimas apie pavojingų medžiagų buvimą taikomas tuo atveju, kai medžiagos, mišinio ar gaminio, išskyrus vaistus, koncentracija didesnė nei 0,1 proc. masės, kaip apibrėžta 2006 m. gruodžio 18 d. Europos Parlamento ir Tarybos reglamento (EB) Nr. 1907/2006 dėl cheminių medžiagų registracijos, įvertinimo, autorizacijos ir apribojimų, įsteigiančio Europos cheminių medžiagų agentūrą, iš dalies keičiančio Direktyvą 1999/45/EB bei panaikinančio Tarybos reglamentą (EEB) Nr. 793/93, Komisijos reglamentą (EB) Nr. 1488/94, Tarybos direktyvą 76/769/EEB ir Komisijos direktyvas 91/155/EEB, 93/67/EEB, 93/105/EB bei 2000/21/EB (REACH), 3 straipsnio 1, 2 ir 3 punktuose.</w:t>
      </w:r>
      <w:r>
        <w:rPr>
          <w:rFonts w:ascii="Times New Roman" w:hAnsi="Times New Roman"/>
          <w:sz w:val="24"/>
        </w:rPr>
        <w:br/>
        <w:t>" Pirmesnėje pastraipoje „pavojinga medžiaga“ – tai bet kuri medžiaga, nurodyta nutarimo, priimto gavus Nacionalinės maisto, aplinkos ir darbuotojų sveikatos saugos agentūros nuomonę, L. 541-9-1 straipsnio paskutinėje pastraipoje, dėl pavojingų medžiagų nustatymo atliekas generuojančiuose produktuose.</w:t>
      </w:r>
      <w:r>
        <w:rPr>
          <w:rFonts w:ascii="Times New Roman" w:hAnsi="Times New Roman"/>
          <w:sz w:val="24"/>
        </w:rPr>
        <w:br/>
        <w:t xml:space="preserve">" Ši informacija nurodoma žodžiais „sudėtyje yra pavojingos medžiagos“ arba, jeigu </w:t>
      </w:r>
      <w:r>
        <w:rPr>
          <w:rFonts w:ascii="Times New Roman" w:hAnsi="Times New Roman"/>
          <w:sz w:val="24"/>
        </w:rPr>
        <w:lastRenderedPageBreak/>
        <w:t>pavojinga medžiaga yra įtraukta į 2006 m. gruodžio 18 d. Reglamento (EB) Nr. 1907/2006 59 straipsnio 1 dalyje nurodytą sąrašą, cituojamą pirmiau ir paskelbtą pagal 59 straipsnio 10 dalį, teiginiu „sudėtyje yra labai didelį susirūpinimą keliančios cheminės medžiagos“. Informacija papildoma kiekvienos esančios pavojingos medžiagos pavadinimu.</w:t>
      </w:r>
      <w:r>
        <w:rPr>
          <w:rFonts w:ascii="Times New Roman" w:hAnsi="Times New Roman"/>
          <w:sz w:val="24"/>
        </w:rPr>
        <w:br/>
        <w:t>" Tačiau šis informacijos pateikimo būdas netaikomas medžiagoms, nurodytoms Visuomenės sveikatos kodekso R. 5232-19 straipsnio 1 ir 2 dalyse, kurioms taikomas informacijos pateikimo būdas, nurodytas to paties kodekso R. 5232-20 straipsnyje.</w:t>
      </w:r>
      <w:r>
        <w:rPr>
          <w:rFonts w:ascii="Times New Roman" w:hAnsi="Times New Roman"/>
          <w:sz w:val="24"/>
        </w:rPr>
        <w:br/>
        <w:t>" Informacija pateikiama ne vėliau kaip per šešis mėnesius nuo tos dienos, kai cheminė medžiaga nustatoma kaip pavojinga medžiaga.</w:t>
      </w:r>
      <w:r>
        <w:rPr>
          <w:rFonts w:ascii="Times New Roman" w:hAnsi="Times New Roman"/>
          <w:sz w:val="24"/>
        </w:rPr>
        <w:br/>
        <w:t>" X. Vartotojų informavimas dėl produktų, nurodytų L. 541-10-1 straipsnio 11 dalyje, reiškia šalies, kurioje, jeigu taikoma, iš esmės atliekama kiekviena iš šių operacijų, geografinę nuorodą:</w:t>
      </w:r>
      <w:r>
        <w:rPr>
          <w:rFonts w:ascii="Times New Roman" w:hAnsi="Times New Roman"/>
          <w:sz w:val="24"/>
        </w:rPr>
        <w:br/>
      </w:r>
      <w:r w:rsidR="00F90651">
        <w:rPr>
          <w:rFonts w:ascii="Times New Roman" w:hAnsi="Times New Roman"/>
          <w:sz w:val="24"/>
        </w:rPr>
        <w:t>"</w:t>
      </w:r>
      <w:r>
        <w:rPr>
          <w:rFonts w:ascii="Times New Roman" w:hAnsi="Times New Roman"/>
          <w:sz w:val="24"/>
        </w:rPr>
        <w:t>1) audimas;</w:t>
      </w:r>
      <w:r>
        <w:rPr>
          <w:rFonts w:ascii="Times New Roman" w:hAnsi="Times New Roman"/>
          <w:sz w:val="24"/>
        </w:rPr>
        <w:br/>
      </w:r>
      <w:r w:rsidR="00F90651">
        <w:rPr>
          <w:rFonts w:ascii="Times New Roman" w:hAnsi="Times New Roman"/>
          <w:sz w:val="24"/>
        </w:rPr>
        <w:t>"</w:t>
      </w:r>
      <w:r>
        <w:rPr>
          <w:rFonts w:ascii="Times New Roman" w:hAnsi="Times New Roman"/>
          <w:sz w:val="24"/>
        </w:rPr>
        <w:t>2) dažymas ir spausdinimas;</w:t>
      </w:r>
      <w:r>
        <w:rPr>
          <w:rFonts w:ascii="Times New Roman" w:hAnsi="Times New Roman"/>
          <w:sz w:val="24"/>
        </w:rPr>
        <w:br/>
      </w:r>
      <w:r w:rsidR="00F90651">
        <w:rPr>
          <w:rFonts w:ascii="Times New Roman" w:hAnsi="Times New Roman"/>
          <w:sz w:val="24"/>
        </w:rPr>
        <w:t>"</w:t>
      </w:r>
      <w:r>
        <w:rPr>
          <w:rFonts w:ascii="Times New Roman" w:hAnsi="Times New Roman"/>
          <w:sz w:val="24"/>
        </w:rPr>
        <w:t>3) siuvimas.</w:t>
      </w:r>
      <w:r>
        <w:rPr>
          <w:rFonts w:ascii="Times New Roman" w:hAnsi="Times New Roman"/>
          <w:sz w:val="24"/>
        </w:rPr>
        <w:br/>
        <w:t>" Jei tai avalynė, įtraukta į L. 541-10-1 straipsnio 11 dalį, šios operacijos yra tokios:</w:t>
      </w:r>
      <w:r>
        <w:rPr>
          <w:rFonts w:ascii="Times New Roman" w:hAnsi="Times New Roman"/>
          <w:sz w:val="24"/>
        </w:rPr>
        <w:br/>
      </w:r>
      <w:r w:rsidR="00F90651">
        <w:rPr>
          <w:rFonts w:ascii="Times New Roman" w:hAnsi="Times New Roman"/>
          <w:sz w:val="24"/>
        </w:rPr>
        <w:t>"</w:t>
      </w:r>
      <w:r>
        <w:rPr>
          <w:rFonts w:ascii="Times New Roman" w:hAnsi="Times New Roman"/>
          <w:sz w:val="24"/>
        </w:rPr>
        <w:t>1) susiuvimas;</w:t>
      </w:r>
      <w:r>
        <w:rPr>
          <w:rFonts w:ascii="Times New Roman" w:hAnsi="Times New Roman"/>
          <w:sz w:val="24"/>
        </w:rPr>
        <w:br/>
      </w:r>
      <w:r w:rsidR="00F90651">
        <w:rPr>
          <w:rFonts w:ascii="Times New Roman" w:hAnsi="Times New Roman"/>
          <w:sz w:val="24"/>
        </w:rPr>
        <w:t>"</w:t>
      </w:r>
      <w:r>
        <w:rPr>
          <w:rFonts w:ascii="Times New Roman" w:hAnsi="Times New Roman"/>
          <w:sz w:val="24"/>
        </w:rPr>
        <w:t>2) įtaisymas;</w:t>
      </w:r>
      <w:r>
        <w:rPr>
          <w:rFonts w:ascii="Times New Roman" w:hAnsi="Times New Roman"/>
          <w:sz w:val="24"/>
        </w:rPr>
        <w:br/>
      </w:r>
      <w:r w:rsidR="00F90651">
        <w:rPr>
          <w:rFonts w:ascii="Times New Roman" w:hAnsi="Times New Roman"/>
          <w:sz w:val="24"/>
        </w:rPr>
        <w:t>"</w:t>
      </w:r>
      <w:r>
        <w:rPr>
          <w:rFonts w:ascii="Times New Roman" w:hAnsi="Times New Roman"/>
          <w:sz w:val="24"/>
        </w:rPr>
        <w:t>3) apdaila.</w:t>
      </w:r>
      <w:r>
        <w:rPr>
          <w:rFonts w:ascii="Times New Roman" w:hAnsi="Times New Roman"/>
          <w:sz w:val="24"/>
        </w:rPr>
        <w:br/>
        <w:t>" Ši informacija pateikiama kaip kiekvieno etapo nuoroda į šalį, kurioje ji buvo pateikta.</w:t>
      </w:r>
      <w:r>
        <w:rPr>
          <w:rFonts w:ascii="Times New Roman" w:hAnsi="Times New Roman"/>
          <w:sz w:val="24"/>
        </w:rPr>
        <w:br/>
        <w:t>" „XI. Vartotojų informavimas, susijęs su plastiko mikropluoštų buvimu produktuose, nurodytuose L. 541-10-1 straipsnio 11 dalyje, suprantamas kaip proporcinė sintetinio pluošto masė gaminyje. Ši informacija pateikiama tada, jeigu sintetinių pluoštų dalis viršija 50 proc.</w:t>
      </w:r>
      <w:r>
        <w:rPr>
          <w:rFonts w:ascii="Times New Roman" w:hAnsi="Times New Roman"/>
          <w:sz w:val="24"/>
        </w:rPr>
        <w:br/>
        <w:t>" Ji išreiškiama žodžiais „plastikinių mikropluoštų šalinimas į aplinką plaunant“.</w:t>
      </w:r>
    </w:p>
    <w:p w14:paraId="370D0139"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541-222 straipsnis. - Gamintojas, importuotojas ar kita šalis, pateikianti rinkai R. 541-221 straipsnyje nurodytus produktus, pateikia informaciją apie tų produktų arba produktų kategorijų ekologines savybes ir charakteristikas bei informaciją apie L. 541-10-3 straipsnyje nurodytas priemokas ir nuobaudas, kurias gamintojas moka pagal ekologinio veiksmingumo kriterijus. Jie pateikiami nepopieriniu formatu, perkant prieinami nemokamai ir gali būti pakartotinai naudojami taip, kad juos būtų galima apibendrinti. Šiuo tikslu gamintojas ar importuotojas apie kiekvieną R. 541-221 straipsnyje minimą produktą pateikia informaciją, pateiktą tam skirtoje interneto svetainėje arba interneto puslapyje, kurį sudaro lapas „produkto lapas, susijęs su savybėmis ir ekologinėmis charakteristikomis“, kad būtų galima atlikti tiesioginius tyrimus ir užklausas internete, taip pat gauti duomenis, kad būtų galima automatiškai apdoroti pateiktą informaciją.</w:t>
      </w:r>
      <w:r>
        <w:rPr>
          <w:rFonts w:ascii="Times New Roman" w:hAnsi="Times New Roman"/>
          <w:sz w:val="24"/>
        </w:rPr>
        <w:br/>
        <w:t>" Tačiau R. 541-221 straipsnio IX dalyje nurodytų medžiagų atveju šią informaciją galima pateikti aplinkos ministro įsakymu nurodytu prašymu. Jeigu informacija pateikiama naudojant tokį prašymą ir jeigu būtina sukurti specialią svetainę arba tinklalapį, skirtą bent vienai kitai kokybės ar ekologinei charakteristikai, toje svetainėje arba tinklalapyje turėtų būti nurodyta, kad informacija apie pavojingas medžiagas nurodoma pateikus prašymą, ir pateikiama tiesioginė interneto nuoroda.</w:t>
      </w:r>
      <w:r>
        <w:rPr>
          <w:rFonts w:ascii="Times New Roman" w:hAnsi="Times New Roman"/>
          <w:sz w:val="24"/>
        </w:rPr>
        <w:br/>
        <w:t>Aplinkos ministro nutarime, jei reikia, nurodomos svetainių ar interneto puslapių, skirtų R. 541-21 straipsnyje nurodytų produktų ekologinėms savybėms ir charakteristikoms, techninės charakteristikos ir pateikimo būdai.</w:t>
      </w:r>
      <w:r>
        <w:rPr>
          <w:rFonts w:ascii="Times New Roman" w:hAnsi="Times New Roman"/>
          <w:sz w:val="24"/>
        </w:rPr>
        <w:br/>
        <w:t xml:space="preserve">" Įpareigojimas pateikti R. 541-221 straipsnyje nurodytą informaciją galioja dvejus metus </w:t>
      </w:r>
      <w:r>
        <w:rPr>
          <w:rFonts w:ascii="Times New Roman" w:hAnsi="Times New Roman"/>
          <w:sz w:val="24"/>
        </w:rPr>
        <w:lastRenderedPageBreak/>
        <w:t>nuo paskutinio atitinkamo produkto vieneto pateikimo rinkai.</w:t>
      </w:r>
      <w:r>
        <w:rPr>
          <w:rFonts w:ascii="Times New Roman" w:hAnsi="Times New Roman"/>
          <w:sz w:val="24"/>
        </w:rPr>
        <w:br/>
        <w:t>" Bet kokia su šiomis ekologinėmis savybėmis ir charakteristikomis susijusi savanoriškai materialioje laikmenoje pateikta informacija turi atitikti R. 541-221 straipsnyje pateiktas nuostatas.</w:t>
      </w:r>
      <w:r>
        <w:rPr>
          <w:rFonts w:ascii="Times New Roman" w:hAnsi="Times New Roman"/>
          <w:sz w:val="24"/>
        </w:rPr>
        <w:br/>
        <w:t>" Šiame straipsnyje nustatyti informavimo būdai netaikomi R. 541-221 straipsnio I ir IV dalyse apibrėžtoms ekologinėms savybėms ir charakteristikoms.</w:t>
      </w:r>
    </w:p>
    <w:p w14:paraId="08F4BFAD"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R. 541-223 straipsnis. - Draudžiama ant vartotojui skirto naujo produkto ar pakuotės įrašyti žodžius „biologiškai skaidus“, „nekenksmingas aplinkai“ arba bet kokį kitą lygiavertį ekologiškumo teiginį.“</w:t>
      </w:r>
    </w:p>
    <w:p w14:paraId="306A0CC4"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straipsnis</w:t>
      </w:r>
    </w:p>
    <w:p w14:paraId="6F788887"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Visuomenės sveikatos kodekso R. 5232-20 straipsnio pirmoje pastraipoje formuluotė „specialiame tinklalapyje“ pakeičiama formuluote: „specialioje interneto svetainėje arba tinklalapyje“, o formuluotė „ir įskaitant taikomųjų programų sąsają“ išbraukiama.</w:t>
      </w:r>
    </w:p>
    <w:p w14:paraId="7E1A8E43"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straipsnis</w:t>
      </w:r>
    </w:p>
    <w:p w14:paraId="5BD09DD8"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Aplinkos kodekso, iš dalies pakeisto šio nutarimo 1 straipsniu, R. 541-220–R. 541-222 straipsniai taikomi:</w:t>
      </w:r>
      <w:r>
        <w:rPr>
          <w:rFonts w:ascii="Times New Roman" w:hAnsi="Times New Roman"/>
          <w:sz w:val="24"/>
        </w:rPr>
        <w:br/>
        <w:t>(1) nuo 2023 m. sausio 1 d. – gamintojams, importuotojams ir visiems kitiems rinkai teikiantiems subjektams, kurie deklaruoja R. 541-221 straipsnyje nurodytų produktų pateikimo nacionalinei rinkai metinę apyvartą, viršijančią 50 mln. EUR, ir yra atsakingi už ne mažiau kaip 25 000 tų produktų pateikimą nacionalinei rinkai. Tačiau jie netaikomi produktams, kurių paskutinis vienetas pateikiamas rinkai nuo 2023 m. sausio 1 d. iki kovo 31 d.;</w:t>
      </w:r>
      <w:r>
        <w:rPr>
          <w:rFonts w:ascii="Times New Roman" w:hAnsi="Times New Roman"/>
          <w:sz w:val="24"/>
        </w:rPr>
        <w:br/>
        <w:t>(2) nuo 2024 m. sausio 1 d. – gamintojams, importuotojams ir bet kokiam kitam R. 541-221 straipsnyje nurodytų produktų pateikimui rinkai, kurie deklaruoja, kad pateikia nacionalinei rinkai metinę apyvartą, viršijančią 20 mln. EUR, ir yra atsakingi už ne mažiau kaip 10 000 tų produktų pateikimą nacionalinei rinkai;</w:t>
      </w:r>
      <w:r>
        <w:rPr>
          <w:rFonts w:ascii="Times New Roman" w:hAnsi="Times New Roman"/>
          <w:sz w:val="24"/>
        </w:rPr>
        <w:br/>
        <w:t>(3) nuo 2025 m. sausio 1 d. – gamintojams, importuotojams ir bet kokiam kitam pateikimui rinkai, kurie deklaruoja, kad R. 541-221 straipsnyje nurodytų produktų pateikimo nacionalinei rinkai metinė apyvarta viršija 10 mln. EUR, ir yra atsakingi už ne mažiau kaip 10 000 tų produktų pateikimą nacionalinei rinkai.</w:t>
      </w:r>
      <w:r>
        <w:rPr>
          <w:rFonts w:ascii="Times New Roman" w:hAnsi="Times New Roman"/>
          <w:sz w:val="24"/>
        </w:rPr>
        <w:br/>
        <w:t>II. Nedarant poveikio I nuostatoms, Aplinkos kodekso su pakeitimais, padarytais šio nutarimo 1 straipsniu, R. 541-220–R. 541-222 straipsniai nuo 2024 m. sausio 1 d. taikomi Aplinkos kodekso L. 541-10-1 straipsnio 4 ir 12–15 dalyse nurodytiems produktams.</w:t>
      </w:r>
      <w:r>
        <w:rPr>
          <w:rFonts w:ascii="Times New Roman" w:hAnsi="Times New Roman"/>
          <w:sz w:val="24"/>
        </w:rPr>
        <w:br/>
        <w:t>III. Aplinkos kodekso R. 541-223 straipsnis, išreikštas šio nutarimo 1 straipsnio formuluote, įsigalioja kitą dieną po šio nutarimo paskelbimo dienos. Produktams ar pakuotėms, kuriems jis taikomas, numatomas atsargų realizavimo laikotarpis iki 2023 m. sausio 1 d., jei jie buvo pagaminti arba importuoti iki šio nutarimo paskelbimo dienos.</w:t>
      </w:r>
    </w:p>
    <w:p w14:paraId="6D444AE5"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4 straipsnis</w:t>
      </w:r>
    </w:p>
    <w:p w14:paraId="6FFA34D1"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Ekologinės pertvarkos ministras ir ekonomikos, finansų ir ekonomikos gaivinimo ministras yra atitinkamai atsakingi už šio nutarimo, kuris bus paskelbtas Prancūzijos Respublikos oficialiajame leidinyje, įgyvendinimą.</w:t>
      </w:r>
    </w:p>
    <w:p w14:paraId="6CC9190E"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Pasirašyta 2022 m. balandžio 29 d.</w:t>
      </w:r>
    </w:p>
    <w:p w14:paraId="79D313E9"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Ministras pirmininkas:</w:t>
      </w:r>
    </w:p>
    <w:p w14:paraId="31AFCC27"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Ekologinės pertvarkos ministrė</w:t>
      </w:r>
      <w:r>
        <w:rPr>
          <w:rFonts w:ascii="Times New Roman" w:hAnsi="Times New Roman"/>
          <w:sz w:val="24"/>
        </w:rPr>
        <w:br/>
        <w:t>Barbara Pompili</w:t>
      </w:r>
    </w:p>
    <w:p w14:paraId="4037CD68"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Ekonomikos, finansų ir ekonomikos gaivinimo ministras</w:t>
      </w:r>
      <w:r>
        <w:rPr>
          <w:rFonts w:ascii="Times New Roman" w:hAnsi="Times New Roman"/>
          <w:sz w:val="24"/>
        </w:rPr>
        <w:br/>
        <w:t>Bruno Le Maire</w:t>
      </w:r>
    </w:p>
    <w:p w14:paraId="37CFF56F" w14:textId="77777777" w:rsidR="004D07E1" w:rsidRDefault="004D07E1"/>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25"/>
    <w:rsid w:val="004D07E1"/>
    <w:rsid w:val="00D95325"/>
    <w:rsid w:val="00F90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9161"/>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2491</Words>
  <Characters>16942</Characters>
  <Application>Microsoft Office Word</Application>
  <DocSecurity>0</DocSecurity>
  <Lines>302</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2022-08-12T13:31:00Z</dcterms:created>
  <dcterms:modified xsi:type="dcterms:W3CDTF">2022-08-12T13:31:00Z</dcterms:modified>
</cp:coreProperties>
</file>