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4AE00" w14:textId="7BCD9C58" w:rsidR="002D0C84" w:rsidRPr="00E00E94" w:rsidRDefault="002D0C84" w:rsidP="002D0C84">
      <w:pPr>
        <w:jc w:val="center"/>
        <w:rPr>
          <w:rFonts w:ascii="Courier New" w:hAnsi="Courier New" w:cs="Courier New"/>
          <w:sz w:val="20"/>
        </w:rPr>
      </w:pPr>
      <w:r>
        <w:rPr>
          <w:rFonts w:ascii="Courier New" w:hAnsi="Courier New"/>
          <w:sz w:val="20"/>
        </w:rPr>
        <w:t xml:space="preserve">1. ------IND- 2018 0040 DK- </w:t>
      </w:r>
      <w:r w:rsidR="00AF314E">
        <w:rPr>
          <w:rFonts w:ascii="Courier New" w:hAnsi="Courier New"/>
          <w:sz w:val="20"/>
        </w:rPr>
        <w:t>FR</w:t>
      </w:r>
      <w:bookmarkStart w:id="0" w:name="_GoBack"/>
      <w:bookmarkEnd w:id="0"/>
      <w:r>
        <w:rPr>
          <w:rFonts w:ascii="Courier New" w:hAnsi="Courier New"/>
          <w:sz w:val="20"/>
        </w:rPr>
        <w:t>- ------ 20180205 --- --- PROJET</w:t>
      </w:r>
    </w:p>
    <w:p w14:paraId="439CD003" w14:textId="706DA54A" w:rsidR="00077FC3" w:rsidRPr="0039240C" w:rsidRDefault="00077FC3" w:rsidP="00350478">
      <w:pPr>
        <w:jc w:val="center"/>
        <w:rPr>
          <w:b/>
        </w:rPr>
      </w:pPr>
      <w:r>
        <w:rPr>
          <w:b/>
        </w:rPr>
        <w:t>Projet de</w:t>
      </w:r>
    </w:p>
    <w:p w14:paraId="41411111" w14:textId="6518E614" w:rsidR="00BE5847" w:rsidRPr="0039240C" w:rsidRDefault="00350478" w:rsidP="00350478">
      <w:pPr>
        <w:jc w:val="center"/>
        <w:rPr>
          <w:b/>
        </w:rPr>
      </w:pPr>
      <w:r>
        <w:rPr>
          <w:b/>
        </w:rPr>
        <w:t>règlement relatif à l’utilisation d’instruments de pesage à fonctionnement automatique</w:t>
      </w:r>
      <w:r>
        <w:rPr>
          <w:rStyle w:val="FootnoteReference"/>
          <w:b/>
        </w:rPr>
        <w:footnoteReference w:id="1"/>
      </w:r>
    </w:p>
    <w:p w14:paraId="78389EDA" w14:textId="5286F2E0" w:rsidR="00350478" w:rsidRPr="0039240C" w:rsidRDefault="000F2D7B" w:rsidP="00350478">
      <w:r>
        <w:t>En vertu de l</w:t>
      </w:r>
      <w:r w:rsidR="00AE5624">
        <w:t>’</w:t>
      </w:r>
      <w:r>
        <w:t>article 15, paragraphe 1, et de l</w:t>
      </w:r>
      <w:r w:rsidR="00AE5624">
        <w:t>’</w:t>
      </w:r>
      <w:r>
        <w:t>article 22, paragraphe 4, de la loi sur la promotion des échanges commerciaux et le développement régional (voir l</w:t>
      </w:r>
      <w:r w:rsidR="00AE5624">
        <w:t>’</w:t>
      </w:r>
      <w:r>
        <w:t>arrêté de publication nº 820 du 28 juin</w:t>
      </w:r>
      <w:r w:rsidR="00AE5624">
        <w:t> </w:t>
      </w:r>
      <w:r>
        <w:t>2016), il est décidé par délégation ce qui suit, conformément à l’article 4, paragraphe 3:</w:t>
      </w:r>
    </w:p>
    <w:p w14:paraId="523B49BD" w14:textId="77777777" w:rsidR="000F2D7B" w:rsidRPr="0039240C" w:rsidRDefault="000F2D7B" w:rsidP="000F2D7B">
      <w:pPr>
        <w:jc w:val="center"/>
      </w:pPr>
      <w:r>
        <w:t>Chapitre 1</w:t>
      </w:r>
    </w:p>
    <w:p w14:paraId="4788BAB7" w14:textId="7B41A4D3" w:rsidR="000F2D7B" w:rsidRPr="0039240C" w:rsidRDefault="000F2D7B" w:rsidP="000F2D7B">
      <w:pPr>
        <w:jc w:val="center"/>
        <w:rPr>
          <w:i/>
        </w:rPr>
      </w:pPr>
      <w:r>
        <w:rPr>
          <w:i/>
        </w:rPr>
        <w:t>Champ d</w:t>
      </w:r>
      <w:r w:rsidR="00AE5624">
        <w:rPr>
          <w:i/>
        </w:rPr>
        <w:t>’</w:t>
      </w:r>
      <w:r>
        <w:rPr>
          <w:i/>
        </w:rPr>
        <w:t>application</w:t>
      </w:r>
    </w:p>
    <w:p w14:paraId="31A06407" w14:textId="77777777" w:rsidR="0039240C" w:rsidRPr="0039240C" w:rsidRDefault="000F2D7B" w:rsidP="0039240C">
      <w:pPr>
        <w:spacing w:after="0"/>
      </w:pPr>
      <w:r>
        <w:rPr>
          <w:b/>
        </w:rPr>
        <w:t xml:space="preserve">Article premier. </w:t>
      </w:r>
      <w:r>
        <w:t>Le règlement s’applique aux instruments de pesage à fonctionnement automatique utilisés pour la mesure massique et prévoyant un paiement basé sur la mesure.</w:t>
      </w:r>
    </w:p>
    <w:p w14:paraId="636FDD43" w14:textId="4A36543D" w:rsidR="000F2D7B" w:rsidRPr="0039240C" w:rsidRDefault="00913C8A" w:rsidP="0039240C">
      <w:pPr>
        <w:ind w:firstLine="180"/>
      </w:pPr>
      <w:r>
        <w:rPr>
          <w:i/>
        </w:rPr>
        <w:t>Paragraphe</w:t>
      </w:r>
      <w:r w:rsidR="00AE5624">
        <w:rPr>
          <w:i/>
        </w:rPr>
        <w:t> </w:t>
      </w:r>
      <w:r>
        <w:rPr>
          <w:i/>
        </w:rPr>
        <w:t xml:space="preserve">2. </w:t>
      </w:r>
      <w:r>
        <w:t>L</w:t>
      </w:r>
      <w:r w:rsidR="00AE5624">
        <w:t>’</w:t>
      </w:r>
      <w:r>
        <w:t>application du présent règlement est subordonnée au règlement (CE) nº 764/2008 du Parlement européen et du Conseil du 9 juillet 2008 établissant les procédures relatives à l</w:t>
      </w:r>
      <w:r w:rsidR="00AE5624">
        <w:t>’</w:t>
      </w:r>
      <w:r>
        <w:t>application de certaines règles techniques nationales à des produits commercialisés légalement dans un autre État membre, ultérieurement modifié.</w:t>
      </w:r>
    </w:p>
    <w:p w14:paraId="55884AED" w14:textId="77777777" w:rsidR="00E04C85" w:rsidRPr="0039240C" w:rsidRDefault="00E04C85" w:rsidP="00E04C85">
      <w:pPr>
        <w:jc w:val="center"/>
      </w:pPr>
      <w:r>
        <w:t>Chapitre 2</w:t>
      </w:r>
    </w:p>
    <w:p w14:paraId="68AF3C0A" w14:textId="77777777" w:rsidR="00E04C85" w:rsidRPr="0039240C" w:rsidRDefault="00E04C85" w:rsidP="00E04C85">
      <w:pPr>
        <w:jc w:val="center"/>
        <w:rPr>
          <w:i/>
        </w:rPr>
      </w:pPr>
      <w:r>
        <w:rPr>
          <w:i/>
        </w:rPr>
        <w:t>Définitions</w:t>
      </w:r>
    </w:p>
    <w:p w14:paraId="259F3296" w14:textId="77777777" w:rsidR="00D34628" w:rsidRPr="0039240C" w:rsidRDefault="00E04C85" w:rsidP="00E04C85">
      <w:r>
        <w:rPr>
          <w:b/>
        </w:rPr>
        <w:t xml:space="preserve">Article 2. </w:t>
      </w:r>
      <w:r>
        <w:t>Aux fins du présent règlement, on entend par:</w:t>
      </w:r>
    </w:p>
    <w:p w14:paraId="405C3EA7" w14:textId="1347E4D8" w:rsidR="00D34628" w:rsidRPr="0039240C" w:rsidRDefault="00447940" w:rsidP="00184B91">
      <w:pPr>
        <w:pStyle w:val="ListParagraph"/>
        <w:numPr>
          <w:ilvl w:val="0"/>
          <w:numId w:val="6"/>
        </w:numPr>
      </w:pPr>
      <w:r>
        <w:t>Instrument de pesage à fonctionnement automatique: un instrument déterminant la masse d’un produit sans intervention d’un opérateur et suivant un programme prédéfini composé de processus automatiques, caractéristiques de l’instrument.</w:t>
      </w:r>
    </w:p>
    <w:p w14:paraId="4822E5F2" w14:textId="09CEC406" w:rsidR="005F626A" w:rsidRPr="0039240C" w:rsidRDefault="005F626A" w:rsidP="005F626A">
      <w:pPr>
        <w:pStyle w:val="ListParagraph"/>
        <w:numPr>
          <w:ilvl w:val="0"/>
          <w:numId w:val="6"/>
        </w:numPr>
      </w:pPr>
      <w:r>
        <w:t>Domaine d’utilisation: la partie de la plage de pesage à l’intérieur de laquelle un instrument de pesage à fonctionnement automatique pèse dans l’installation en question et qui répond aux conditions d’exploitation pour lesquelles l’instrument automatique a été agréé lorsqu’il a été mis sur le marché.</w:t>
      </w:r>
    </w:p>
    <w:p w14:paraId="780910CE" w14:textId="7A601CFB" w:rsidR="00605DDB" w:rsidRPr="0039240C" w:rsidRDefault="00605DDB" w:rsidP="00605DDB">
      <w:pPr>
        <w:pStyle w:val="ListParagraph"/>
        <w:numPr>
          <w:ilvl w:val="0"/>
          <w:numId w:val="6"/>
        </w:numPr>
      </w:pPr>
      <w:r>
        <w:t>Scellement: les dispositifs physiques ou électroniques destinés à empêcher toute intervention sur l’instrument de pesage.</w:t>
      </w:r>
    </w:p>
    <w:p w14:paraId="5444B049" w14:textId="7E1026D0" w:rsidR="00605DDB" w:rsidRPr="0039240C" w:rsidRDefault="00605DDB" w:rsidP="00605DDB">
      <w:pPr>
        <w:pStyle w:val="ListParagraph"/>
        <w:numPr>
          <w:ilvl w:val="0"/>
          <w:numId w:val="6"/>
        </w:numPr>
      </w:pPr>
      <w:r>
        <w:t>Revérification: les opérations qui constatent et confirment qu’un instrument de pesage à fonctionnement automatique utilisé répond aux exigences réglementaires et satisfait aux mêmes exigences d’exactitude dans le domaine d’utilisation en question que celles qui étaient en vigueur lors de la mise sur le marché de l’instrument de pesage.</w:t>
      </w:r>
    </w:p>
    <w:p w14:paraId="74F5A228" w14:textId="77777777" w:rsidR="002B1E7F" w:rsidRPr="0039240C" w:rsidRDefault="002B1E7F" w:rsidP="002B1E7F">
      <w:pPr>
        <w:pStyle w:val="ListParagraph"/>
        <w:numPr>
          <w:ilvl w:val="0"/>
          <w:numId w:val="6"/>
        </w:numPr>
      </w:pPr>
      <w:r>
        <w:t>Fournisseur de matériel: un fabricant, importateur ou négociant d’instruments de pesage à fonctionnement automatique visés à l’article premier, paragraphe 1.</w:t>
      </w:r>
    </w:p>
    <w:p w14:paraId="0E5ACCAD" w14:textId="45470AB2" w:rsidR="002B1E7F" w:rsidRPr="0039240C" w:rsidRDefault="002B1E7F" w:rsidP="002B1E7F">
      <w:pPr>
        <w:pStyle w:val="ListParagraph"/>
        <w:numPr>
          <w:ilvl w:val="0"/>
          <w:numId w:val="6"/>
        </w:numPr>
      </w:pPr>
      <w:r>
        <w:lastRenderedPageBreak/>
        <w:t>Propriétaire d’instrument de pesage: une entreprise disposant d’un ou de plusieurs instruments de pesage à fonctionnement automatique, et utilisant l’instrument de pesage aux fins prévues à l’article premier, paragraphe</w:t>
      </w:r>
      <w:r w:rsidR="00AE5624">
        <w:t> </w:t>
      </w:r>
      <w:r>
        <w:t>1.</w:t>
      </w:r>
    </w:p>
    <w:p w14:paraId="79C5CCDF" w14:textId="77777777" w:rsidR="000A29EE" w:rsidRPr="0039240C" w:rsidRDefault="00C52BD0" w:rsidP="004320C5">
      <w:pPr>
        <w:jc w:val="center"/>
      </w:pPr>
      <w:r>
        <w:t>Chapitre 3</w:t>
      </w:r>
    </w:p>
    <w:p w14:paraId="34518425" w14:textId="061BACA3" w:rsidR="004320C5" w:rsidRPr="0039240C" w:rsidRDefault="00EC5C64" w:rsidP="004320C5">
      <w:pPr>
        <w:jc w:val="center"/>
        <w:rPr>
          <w:i/>
        </w:rPr>
      </w:pPr>
      <w:r>
        <w:rPr>
          <w:i/>
        </w:rPr>
        <w:t>Exigences pour le fournisseur d</w:t>
      </w:r>
      <w:r w:rsidR="00AE5624">
        <w:rPr>
          <w:i/>
        </w:rPr>
        <w:t>’</w:t>
      </w:r>
      <w:r>
        <w:rPr>
          <w:i/>
        </w:rPr>
        <w:t>équipements</w:t>
      </w:r>
    </w:p>
    <w:p w14:paraId="77DB339F" w14:textId="335AB951" w:rsidR="001657CA" w:rsidRPr="0039240C" w:rsidRDefault="000A29EE" w:rsidP="000F2D7B">
      <w:r>
        <w:rPr>
          <w:b/>
        </w:rPr>
        <w:t>Article 3.</w:t>
      </w:r>
      <w:r>
        <w:t xml:space="preserve"> Le fournisseur d’un instrument de pesage à fonctionnement automatique qui fonctionne selon d’autres principes de mesure ou est conçu d’une autre manière que celle prévue à l’annexe 8 du règlement relatif à la mise à disposition sur le marché d’instruments de mesure doit uniquement commercialiser ou vendre un instrument de pesage à fonctionnement automatique visé à l’article premier, paragraphe 1, si l’instrument de pesage </w:t>
      </w:r>
    </w:p>
    <w:p w14:paraId="031D982C" w14:textId="1353AE6F" w:rsidR="001657CA" w:rsidRPr="0039240C" w:rsidRDefault="001657CA" w:rsidP="001657CA">
      <w:pPr>
        <w:pStyle w:val="ListParagraph"/>
        <w:numPr>
          <w:ilvl w:val="0"/>
          <w:numId w:val="10"/>
        </w:numPr>
      </w:pPr>
      <w:r>
        <w:t>répond à des exigences similaires en termes de fonctionnement et d’exactitude qu’un instrument de pesage à fonctionnement automatique relevant du règlement relatif à la mise à disposition sur le marché d’instruments de mesure, ou satisfait aux exigences en termes de fonctionnement et d’exactitude indiquées dans les normes pertinentes ou aux recommandations de l’OIML, et</w:t>
      </w:r>
    </w:p>
    <w:p w14:paraId="16E12AF4" w14:textId="0270057C" w:rsidR="001657CA" w:rsidRPr="0039240C" w:rsidRDefault="001657CA" w:rsidP="001657CA">
      <w:pPr>
        <w:pStyle w:val="ListParagraph"/>
        <w:numPr>
          <w:ilvl w:val="0"/>
          <w:numId w:val="10"/>
        </w:numPr>
      </w:pPr>
      <w:r>
        <w:t>répond aux exigences de l’annexe 1 et de l’annexe 8 du règlement relatif à la mise à disposition sur le marché d’instruments de mesure qui sont par ailleurs pertinentes par rapport à l’utilisation de l’instrument de pesage.</w:t>
      </w:r>
    </w:p>
    <w:p w14:paraId="43AE6436" w14:textId="2135A94F" w:rsidR="001657CA" w:rsidRPr="0039240C" w:rsidRDefault="001657CA" w:rsidP="0039240C">
      <w:pPr>
        <w:ind w:firstLine="180"/>
      </w:pPr>
      <w:r>
        <w:rPr>
          <w:i/>
        </w:rPr>
        <w:t>Paragraphe</w:t>
      </w:r>
      <w:r w:rsidR="00AE5624">
        <w:rPr>
          <w:i/>
        </w:rPr>
        <w:t> </w:t>
      </w:r>
      <w:r>
        <w:rPr>
          <w:i/>
        </w:rPr>
        <w:t>2.</w:t>
      </w:r>
      <w:r>
        <w:t xml:space="preserve"> Un instrument de pesage à fonctionnement automatique visé au paragraphe 1 qui est conforme aux normes danoises publiées par Dansk Standard (DS), aux normes européennes publiées par le Comité européen de normalisation (CEN) ou aux recommandations de l’OIML ou à des parties de celles-ci est réputé être en conformité avec les exigences du paragraphe 1, points 1 et 2.</w:t>
      </w:r>
    </w:p>
    <w:p w14:paraId="71331807" w14:textId="4ABB88D5" w:rsidR="002827E1" w:rsidRPr="0039240C" w:rsidRDefault="001657CA" w:rsidP="000F2D7B">
      <w:r>
        <w:rPr>
          <w:b/>
        </w:rPr>
        <w:t xml:space="preserve">Article 4. </w:t>
      </w:r>
      <w:r>
        <w:t>Pour prouver qu’un instrument de pesage à fonctionnement automatique visé à l’article 3, paragraphe 1, qui est commercialisé ou vendu pour un usage prévu à l’article premier, paragraphe 1, satisfait aux exigences de l’article 3, paragraphe 1, le fournisseur du matériel doit s’assurer que les éléments suivants peuvent être mis à disposition de l’Agence danoise pour la sécurité technologique:</w:t>
      </w:r>
    </w:p>
    <w:p w14:paraId="14A15F58" w14:textId="61010D16" w:rsidR="002827E1" w:rsidRPr="0039240C" w:rsidRDefault="002827E1" w:rsidP="002827E1">
      <w:pPr>
        <w:pStyle w:val="ListNumber"/>
        <w:numPr>
          <w:ilvl w:val="0"/>
          <w:numId w:val="11"/>
        </w:numPr>
      </w:pPr>
      <w:r>
        <w:t>des informations sur le fabricant de l’instrument de pesage;</w:t>
      </w:r>
    </w:p>
    <w:p w14:paraId="0DD37F2D" w14:textId="78CF02C9" w:rsidR="002827E1" w:rsidRPr="0039240C" w:rsidRDefault="002239F2" w:rsidP="002827E1">
      <w:pPr>
        <w:pStyle w:val="ListNumber"/>
        <w:numPr>
          <w:ilvl w:val="0"/>
          <w:numId w:val="11"/>
        </w:numPr>
      </w:pPr>
      <w:r>
        <w:t>des informations sur l’instrument de pesage identifiant clairement celui-ci par indication de la dénomination de type, du numéro de série, du numéro de fabrication ou autre;</w:t>
      </w:r>
    </w:p>
    <w:p w14:paraId="05C28A6A" w14:textId="2A65BF90" w:rsidR="002827E1" w:rsidRPr="0039240C" w:rsidRDefault="002827E1" w:rsidP="002827E1">
      <w:pPr>
        <w:pStyle w:val="ListNumber"/>
        <w:numPr>
          <w:ilvl w:val="0"/>
          <w:numId w:val="11"/>
        </w:numPr>
      </w:pPr>
      <w:r>
        <w:t>une description générale de la conception et du fonctionnement de l’instrument de pesage;</w:t>
      </w:r>
    </w:p>
    <w:p w14:paraId="0C820F47" w14:textId="57C816CC" w:rsidR="00C23E95" w:rsidRPr="0039240C" w:rsidRDefault="002827E1" w:rsidP="002239F2">
      <w:pPr>
        <w:pStyle w:val="ListNumber"/>
        <w:numPr>
          <w:ilvl w:val="0"/>
          <w:numId w:val="11"/>
        </w:numPr>
      </w:pPr>
      <w:r>
        <w:t>des documents sur les examens et tests effectués montrant que l’instrument de pesage répond aux exigences d’exactitude, voir article</w:t>
      </w:r>
      <w:r w:rsidR="00AE5624">
        <w:t> </w:t>
      </w:r>
      <w:r>
        <w:t>3, paragraphe</w:t>
      </w:r>
      <w:r w:rsidR="00AE5624">
        <w:t> </w:t>
      </w:r>
      <w:r>
        <w:t>1, point 1;</w:t>
      </w:r>
    </w:p>
    <w:p w14:paraId="6844B6F0" w14:textId="14D9FF90" w:rsidR="009B5880" w:rsidRPr="0039240C" w:rsidRDefault="00B84A09" w:rsidP="002239F2">
      <w:pPr>
        <w:pStyle w:val="ListNumber"/>
        <w:numPr>
          <w:ilvl w:val="0"/>
          <w:numId w:val="11"/>
        </w:numPr>
      </w:pPr>
      <w:r>
        <w:t xml:space="preserve">l’indication de l’endroit où se trouve le scellement. </w:t>
      </w:r>
    </w:p>
    <w:p w14:paraId="7A411EEB" w14:textId="77777777" w:rsidR="002239F2" w:rsidRPr="0039240C" w:rsidRDefault="002239F2" w:rsidP="002239F2">
      <w:pPr>
        <w:pStyle w:val="ListNumber"/>
        <w:numPr>
          <w:ilvl w:val="0"/>
          <w:numId w:val="0"/>
        </w:numPr>
        <w:ind w:left="720"/>
      </w:pPr>
    </w:p>
    <w:p w14:paraId="5ED3C6AE" w14:textId="13795D42" w:rsidR="00E40B0D" w:rsidRPr="0039240C" w:rsidRDefault="00E40B0D" w:rsidP="0039240C">
      <w:pPr>
        <w:pStyle w:val="ListNumber"/>
        <w:numPr>
          <w:ilvl w:val="0"/>
          <w:numId w:val="0"/>
        </w:numPr>
        <w:ind w:firstLine="180"/>
      </w:pPr>
      <w:r>
        <w:rPr>
          <w:i/>
        </w:rPr>
        <w:t>Paragraphe</w:t>
      </w:r>
      <w:r w:rsidR="00AE5624">
        <w:rPr>
          <w:i/>
        </w:rPr>
        <w:t> </w:t>
      </w:r>
      <w:r>
        <w:rPr>
          <w:i/>
        </w:rPr>
        <w:t>2.</w:t>
      </w:r>
      <w:r>
        <w:t xml:space="preserve"> Si les normes ou les recommandations de l’OIML visées à l’article 3, paragraphe</w:t>
      </w:r>
      <w:r w:rsidR="00AE5624">
        <w:t> </w:t>
      </w:r>
      <w:r>
        <w:t>2, ne sont pas utilisées ou sont utilisées partiellement, le fournisseur du matériel doit en outre s’assurer que les éléments suivants peuvent être mis à disposition de l’Agence danoise pour la sécurité technologique:</w:t>
      </w:r>
    </w:p>
    <w:p w14:paraId="2A1EF94B" w14:textId="6DCB265D" w:rsidR="00C23E95" w:rsidRPr="0039240C" w:rsidRDefault="00C23E95" w:rsidP="00C23E95">
      <w:pPr>
        <w:pStyle w:val="ListNumber"/>
        <w:numPr>
          <w:ilvl w:val="0"/>
          <w:numId w:val="14"/>
        </w:numPr>
      </w:pPr>
      <w:r>
        <w:t>les plans de conception et de fabrication</w:t>
      </w:r>
      <w:r w:rsidR="00AE5624">
        <w:t>,</w:t>
      </w:r>
      <w:r>
        <w:t xml:space="preserve"> ainsi que les descriptions et explications correspondantes;</w:t>
      </w:r>
    </w:p>
    <w:p w14:paraId="3D8E181D" w14:textId="08002524" w:rsidR="00C23E95" w:rsidRPr="0039240C" w:rsidRDefault="00C23E95" w:rsidP="00C23E95">
      <w:pPr>
        <w:pStyle w:val="ListNumber"/>
        <w:numPr>
          <w:ilvl w:val="0"/>
          <w:numId w:val="14"/>
        </w:numPr>
      </w:pPr>
      <w:r>
        <w:lastRenderedPageBreak/>
        <w:t>les descriptions indiquant que l’instrument de pesage à fonctionnement automatique répond aux exigences de l</w:t>
      </w:r>
      <w:r w:rsidR="00AE5624">
        <w:t>’</w:t>
      </w:r>
      <w:r>
        <w:t>article 3, paragraphe 1, point 2.</w:t>
      </w:r>
    </w:p>
    <w:p w14:paraId="7D7A3638" w14:textId="77777777" w:rsidR="007C27C8" w:rsidRPr="0039240C" w:rsidRDefault="007C27C8" w:rsidP="00907775">
      <w:pPr>
        <w:pStyle w:val="ListNumber"/>
        <w:numPr>
          <w:ilvl w:val="0"/>
          <w:numId w:val="0"/>
        </w:numPr>
        <w:ind w:left="360" w:hanging="360"/>
      </w:pPr>
    </w:p>
    <w:p w14:paraId="7EC365B3" w14:textId="7D354261" w:rsidR="00907775" w:rsidRPr="0039240C" w:rsidRDefault="00907775" w:rsidP="0039240C">
      <w:pPr>
        <w:pStyle w:val="ListNumber"/>
        <w:numPr>
          <w:ilvl w:val="0"/>
          <w:numId w:val="0"/>
        </w:numPr>
        <w:ind w:firstLine="180"/>
      </w:pPr>
      <w:r>
        <w:rPr>
          <w:i/>
        </w:rPr>
        <w:t>Paragraphe</w:t>
      </w:r>
      <w:r w:rsidR="00AE5624">
        <w:rPr>
          <w:i/>
        </w:rPr>
        <w:t> </w:t>
      </w:r>
      <w:r>
        <w:rPr>
          <w:i/>
        </w:rPr>
        <w:t>3.</w:t>
      </w:r>
      <w:r>
        <w:t xml:space="preserve"> Le fournisseur de matériel doit conserver la documentation visée aux paragraphes 1 et 2 pendant 10</w:t>
      </w:r>
      <w:r w:rsidR="00AE5624">
        <w:t> </w:t>
      </w:r>
      <w:r>
        <w:t>ans à partir de la mise sur le marché de l’instrument de pesage à fonctionnement automatique.</w:t>
      </w:r>
    </w:p>
    <w:p w14:paraId="66731C48" w14:textId="77777777" w:rsidR="00F1611D" w:rsidRPr="0039240C" w:rsidRDefault="004320C5" w:rsidP="00F1611D">
      <w:pPr>
        <w:jc w:val="center"/>
      </w:pPr>
      <w:r>
        <w:t>Chapitre 4</w:t>
      </w:r>
    </w:p>
    <w:p w14:paraId="6910D324" w14:textId="36EBD490" w:rsidR="00F1611D" w:rsidRPr="0039240C" w:rsidRDefault="00C52BD0" w:rsidP="00F1611D">
      <w:pPr>
        <w:jc w:val="center"/>
        <w:rPr>
          <w:i/>
        </w:rPr>
      </w:pPr>
      <w:r>
        <w:rPr>
          <w:i/>
        </w:rPr>
        <w:t>Exigences pour le propriétaire de l’instrument de pesage</w:t>
      </w:r>
    </w:p>
    <w:p w14:paraId="6AAAAC45" w14:textId="67AF4256" w:rsidR="0039240C" w:rsidRPr="0039240C" w:rsidRDefault="00C52BD0" w:rsidP="0039240C">
      <w:pPr>
        <w:spacing w:after="0"/>
      </w:pPr>
      <w:r>
        <w:rPr>
          <w:b/>
        </w:rPr>
        <w:t xml:space="preserve">Article 5. </w:t>
      </w:r>
      <w:r>
        <w:t>Aux fins prévues à l</w:t>
      </w:r>
      <w:r w:rsidR="00AE5624">
        <w:t>’</w:t>
      </w:r>
      <w:r>
        <w:t>article premier, paragraphe</w:t>
      </w:r>
      <w:r w:rsidR="00AE5624">
        <w:t> </w:t>
      </w:r>
      <w:r>
        <w:t xml:space="preserve">1, le propriétaire de l’instrument de pesage doit utiliser un instrument de pesage à fonctionnement automatique qui répond aux exigences énoncées dans le règlement relatif à la mise à disposition sur le marché d’instruments de mesure, et qui </w:t>
      </w:r>
      <w:r w:rsidR="00AE5624">
        <w:t>es</w:t>
      </w:r>
      <w:r>
        <w:t>t étiqueté conformément à ce règlement ou des instruments de pesage visés à l</w:t>
      </w:r>
      <w:r w:rsidR="00AE5624">
        <w:t>’</w:t>
      </w:r>
      <w:r>
        <w:t>article 3, sous réserve de l’article 16, paragraphe 3.</w:t>
      </w:r>
    </w:p>
    <w:p w14:paraId="4580F5E0" w14:textId="2BF0C1DA" w:rsidR="00C47B3E" w:rsidRPr="0039240C" w:rsidRDefault="00DE458E" w:rsidP="0039240C">
      <w:pPr>
        <w:ind w:firstLine="180"/>
      </w:pPr>
      <w:r>
        <w:rPr>
          <w:i/>
        </w:rPr>
        <w:t>Paragraphe</w:t>
      </w:r>
      <w:r w:rsidR="00AE5624">
        <w:rPr>
          <w:i/>
        </w:rPr>
        <w:t> </w:t>
      </w:r>
      <w:r>
        <w:rPr>
          <w:i/>
        </w:rPr>
        <w:t xml:space="preserve">2. </w:t>
      </w:r>
      <w:r>
        <w:t>Le propriétaire de l’instrument de pesage doit s’assurer que celui-ci est installé conformément aux instructions du fabricant.</w:t>
      </w:r>
    </w:p>
    <w:p w14:paraId="7F657E7E" w14:textId="4AA06658" w:rsidR="00C47B3E" w:rsidRPr="0039240C" w:rsidRDefault="00B722DE" w:rsidP="00F1611D">
      <w:r>
        <w:rPr>
          <w:b/>
        </w:rPr>
        <w:t xml:space="preserve">Article 6. </w:t>
      </w:r>
      <w:r>
        <w:t>Le propriétaire de l’instrument de pesage doit, pour un instrument de pesage à fonctionnement automatique relevant du règlement relatif à la mise à disposition sur le marché d’instruments de mesure, utiliser un instrument de pesage permettant une mesure précise lors de l’utilisation prévue ou pouvant être prévue. Pour choisir un instrument de pesage, le propriétaire d’un instrument de pesage doit utiliser les valeurs déclarées par le fabricant, voir annexe 1, point 1.3, et annexe 8, chapitre 1, point 1, du règlement relatif à la mise à disposition sur le marché d’instruments de mesure, concernant</w:t>
      </w:r>
    </w:p>
    <w:p w14:paraId="73B2AC18" w14:textId="7C9C9202" w:rsidR="00C47B3E" w:rsidRPr="0039240C" w:rsidRDefault="00F30503" w:rsidP="00C47B3E">
      <w:pPr>
        <w:pStyle w:val="ListParagraph"/>
        <w:numPr>
          <w:ilvl w:val="0"/>
          <w:numId w:val="3"/>
        </w:numPr>
      </w:pPr>
      <w:r>
        <w:t>1) l</w:t>
      </w:r>
      <w:r w:rsidR="00AE5624">
        <w:t>’</w:t>
      </w:r>
      <w:r>
        <w:t>environnement climatique, mécanique et électromagnétique dans lequel l’instrument de pesage est prévu d</w:t>
      </w:r>
      <w:r w:rsidR="00AE5624">
        <w:t>’</w:t>
      </w:r>
      <w:r>
        <w:t>être utilisé, et l</w:t>
      </w:r>
      <w:r w:rsidR="00AE5624">
        <w:t>’</w:t>
      </w:r>
      <w:r>
        <w:t>alimentation électrique et les autres grandeurs d</w:t>
      </w:r>
      <w:r w:rsidR="00AE5624">
        <w:t>’</w:t>
      </w:r>
      <w:r>
        <w:t>influence susceptibles d</w:t>
      </w:r>
      <w:r w:rsidR="00AE5624">
        <w:t>’</w:t>
      </w:r>
      <w:r>
        <w:t>avoir un impact sur la précision de l’instrument de mesure, et</w:t>
      </w:r>
    </w:p>
    <w:p w14:paraId="7BCCCA3A" w14:textId="62FC7E72" w:rsidR="00E910C0" w:rsidRPr="0039240C" w:rsidRDefault="00F30503" w:rsidP="000B6915">
      <w:pPr>
        <w:pStyle w:val="ListParagraph"/>
        <w:numPr>
          <w:ilvl w:val="0"/>
          <w:numId w:val="3"/>
        </w:numPr>
      </w:pPr>
      <w:r>
        <w:t>les conditions d’exploitation autorisées.</w:t>
      </w:r>
    </w:p>
    <w:p w14:paraId="330E8A71" w14:textId="46EB9837" w:rsidR="00210CDC" w:rsidRPr="0039240C" w:rsidRDefault="00210CDC" w:rsidP="00210CDC">
      <w:pPr>
        <w:jc w:val="center"/>
        <w:rPr>
          <w:i/>
        </w:rPr>
      </w:pPr>
      <w:r>
        <w:rPr>
          <w:i/>
        </w:rPr>
        <w:t xml:space="preserve">Classes d’exactitude </w:t>
      </w:r>
    </w:p>
    <w:p w14:paraId="52CE1679" w14:textId="76368323" w:rsidR="00414889" w:rsidRPr="0039240C" w:rsidRDefault="00414889" w:rsidP="00414889">
      <w:r>
        <w:rPr>
          <w:b/>
        </w:rPr>
        <w:t xml:space="preserve">Article 7. </w:t>
      </w:r>
      <w:r>
        <w:t>Le propriétaire de l’instrument de pesage doit utiliser un instrument de pesage à fonctionnement automatique de la classe d’exactitude suivante, fixée à l’annexe 8 du règlement relatif à la mise à disposition sur le marché d’instruments de mesure, en fonction du domaine d’utilisation pour lequel l’instrument de pesage va être utilisé:</w:t>
      </w:r>
    </w:p>
    <w:p w14:paraId="4740F407" w14:textId="77777777" w:rsidR="00414889" w:rsidRPr="0039240C" w:rsidRDefault="00414889" w:rsidP="00414889">
      <w:pPr>
        <w:pStyle w:val="ListParagraph"/>
        <w:numPr>
          <w:ilvl w:val="0"/>
          <w:numId w:val="18"/>
        </w:numPr>
      </w:pPr>
      <w:r>
        <w:t>Trieurs-étiqueteurs à fonctionnement automatique de catégorie X:</w:t>
      </w:r>
    </w:p>
    <w:p w14:paraId="21DE82BE" w14:textId="38E4D152" w:rsidR="00414889" w:rsidRPr="0039240C" w:rsidRDefault="00414889" w:rsidP="00414889">
      <w:pPr>
        <w:pStyle w:val="ListParagraph"/>
        <w:numPr>
          <w:ilvl w:val="1"/>
          <w:numId w:val="18"/>
        </w:numPr>
      </w:pPr>
      <w:r>
        <w:t>pour le contrôle des produits préemballés, notamment des produits marqués «E», des instruments de pesage de la classe d’exactitude XIII ou au-dessus doivent être utilisés, sous réserve du point 1, b</w:t>
      </w:r>
      <w:r w:rsidR="002479F7">
        <w:t>;</w:t>
      </w:r>
    </w:p>
    <w:p w14:paraId="704A7076" w14:textId="1BDB73A2" w:rsidR="00414889" w:rsidRPr="0039240C" w:rsidRDefault="002479F7" w:rsidP="00414889">
      <w:pPr>
        <w:pStyle w:val="ListParagraph"/>
        <w:numPr>
          <w:ilvl w:val="1"/>
          <w:numId w:val="18"/>
        </w:numPr>
      </w:pPr>
      <w:r>
        <w:t>s</w:t>
      </w:r>
      <w:r w:rsidR="00414889">
        <w:t xml:space="preserve">ont exemptés de l’exigence du point 1, a, les instruments de pesage utilisés pour contrôler les préemballages non marqués «E» de produits à faible valeur unitaire (par exemple le sable, le gravier, le mortier et les déchets à l’exception des déchets dangereux) et les instruments de pesage utilisés pour l’établissement des frais de transport autres que </w:t>
      </w:r>
      <w:r w:rsidR="00414889">
        <w:lastRenderedPageBreak/>
        <w:t>postaux. Pour ces usages, des instruments de pesage de la classe d’exactitude XIII ou au-dessus peuvent être utilisés.</w:t>
      </w:r>
    </w:p>
    <w:p w14:paraId="72C95CF8" w14:textId="77777777" w:rsidR="00414889" w:rsidRPr="0039240C" w:rsidRDefault="00414889" w:rsidP="00414889">
      <w:pPr>
        <w:pStyle w:val="ListParagraph"/>
        <w:numPr>
          <w:ilvl w:val="0"/>
          <w:numId w:val="18"/>
        </w:numPr>
      </w:pPr>
      <w:r>
        <w:t>Trieurs-étiqueteurs à fonctionnement automatique de catégorie Y:</w:t>
      </w:r>
    </w:p>
    <w:p w14:paraId="32008AE8" w14:textId="6E792747" w:rsidR="00414889" w:rsidRPr="0039240C" w:rsidRDefault="00414889" w:rsidP="00414889">
      <w:pPr>
        <w:pStyle w:val="ListParagraph"/>
        <w:numPr>
          <w:ilvl w:val="1"/>
          <w:numId w:val="18"/>
        </w:numPr>
      </w:pPr>
      <w:r>
        <w:t>des instruments de pesage de classe d’exactitude Y(a) ou au-dessus doivent être utilisés, sous réserve du point 2, b</w:t>
      </w:r>
      <w:r w:rsidR="002479F7">
        <w:t>;</w:t>
      </w:r>
    </w:p>
    <w:p w14:paraId="59DDC703" w14:textId="35DD4DC1" w:rsidR="00414889" w:rsidRPr="0039240C" w:rsidRDefault="002479F7" w:rsidP="00414889">
      <w:pPr>
        <w:pStyle w:val="ListParagraph"/>
        <w:numPr>
          <w:ilvl w:val="1"/>
          <w:numId w:val="18"/>
        </w:numPr>
      </w:pPr>
      <w:r>
        <w:t>s</w:t>
      </w:r>
      <w:r w:rsidR="00414889">
        <w:t>ont exemptés de l’exigence du point 2, a, les instruments de pesage utilisés pour peser les produits à faible valeur unitaire (par exemple, le sable, le gravier, le mortier et les déchets à l’exception des déchets dangereux) et les instruments de pesage utilisés pour l’établissement des frais de transport autres que postaux. Pour ces usages, des instruments de pesage de classe d’exactitude Y(b) ou au-dessus peuvent être utilisés.</w:t>
      </w:r>
    </w:p>
    <w:p w14:paraId="2C28AB0A" w14:textId="77777777" w:rsidR="00414889" w:rsidRPr="0039240C" w:rsidRDefault="00414889" w:rsidP="00414889">
      <w:pPr>
        <w:pStyle w:val="ListParagraph"/>
        <w:numPr>
          <w:ilvl w:val="0"/>
          <w:numId w:val="18"/>
        </w:numPr>
      </w:pPr>
      <w:r>
        <w:t>Instruments de remplissage gravimétrique automatiques:</w:t>
      </w:r>
    </w:p>
    <w:p w14:paraId="2F365628" w14:textId="43C16CD6" w:rsidR="00414889" w:rsidRPr="0039240C" w:rsidRDefault="00414889" w:rsidP="00414889">
      <w:pPr>
        <w:pStyle w:val="ListParagraph"/>
        <w:numPr>
          <w:ilvl w:val="1"/>
          <w:numId w:val="18"/>
        </w:numPr>
      </w:pPr>
      <w:r>
        <w:t>des instruments de pesage de classe d’exactitude X(1) ou au-dessus doivent être utilisés, sous réserve du point 3, b</w:t>
      </w:r>
      <w:r w:rsidR="002479F7">
        <w:t>;</w:t>
      </w:r>
    </w:p>
    <w:p w14:paraId="529406DC" w14:textId="28AD836B" w:rsidR="00414889" w:rsidRPr="0039240C" w:rsidRDefault="002479F7" w:rsidP="00414889">
      <w:pPr>
        <w:pStyle w:val="ListParagraph"/>
        <w:numPr>
          <w:ilvl w:val="1"/>
          <w:numId w:val="18"/>
        </w:numPr>
      </w:pPr>
      <w:r>
        <w:t>s</w:t>
      </w:r>
      <w:r w:rsidR="00414889">
        <w:t>ont exemptés de l’exigence du point 3, </w:t>
      </w:r>
      <w:proofErr w:type="gramStart"/>
      <w:r w:rsidR="00414889">
        <w:t>a</w:t>
      </w:r>
      <w:proofErr w:type="gramEnd"/>
      <w:r w:rsidR="00414889">
        <w:t>, les instruments de pesage utilisés pour peser les produits à faible valeur unitaire (par exemple le sable, le gravier, le mortier et les déchets à l’exception des déchets dangereux) et les instruments de pesage utilisés pour l’établissement des frais de transport. Pour ces usages, des instruments de pesage de classe d’exactitude X(2) ou au-dessus peuvent être utilisés.</w:t>
      </w:r>
    </w:p>
    <w:p w14:paraId="13D806F5" w14:textId="77777777" w:rsidR="00414889" w:rsidRPr="0039240C" w:rsidRDefault="00414889" w:rsidP="00414889">
      <w:pPr>
        <w:pStyle w:val="ListParagraph"/>
        <w:numPr>
          <w:ilvl w:val="0"/>
          <w:numId w:val="18"/>
        </w:numPr>
      </w:pPr>
      <w:r>
        <w:t>Totalisateurs discontinus:</w:t>
      </w:r>
    </w:p>
    <w:p w14:paraId="618FA118" w14:textId="7FDFB220" w:rsidR="00414889" w:rsidRPr="0039240C" w:rsidRDefault="00414889" w:rsidP="00414889">
      <w:pPr>
        <w:pStyle w:val="ListParagraph"/>
        <w:numPr>
          <w:ilvl w:val="1"/>
          <w:numId w:val="18"/>
        </w:numPr>
      </w:pPr>
      <w:r>
        <w:t>des instruments de pesage de classe d’exactitude 1 ou au-dessus doivent être utilisés, sous réserve du point 4, b</w:t>
      </w:r>
      <w:r w:rsidR="002479F7">
        <w:t>;</w:t>
      </w:r>
    </w:p>
    <w:p w14:paraId="5E24097B" w14:textId="341AE871" w:rsidR="00414889" w:rsidRPr="0039240C" w:rsidRDefault="002479F7" w:rsidP="00414889">
      <w:pPr>
        <w:pStyle w:val="ListParagraph"/>
        <w:numPr>
          <w:ilvl w:val="1"/>
          <w:numId w:val="18"/>
        </w:numPr>
      </w:pPr>
      <w:r>
        <w:t>s</w:t>
      </w:r>
      <w:r w:rsidR="00414889">
        <w:t>ont exemptés de l’exigence du point 4, </w:t>
      </w:r>
      <w:proofErr w:type="gramStart"/>
      <w:r w:rsidR="00414889">
        <w:t>a</w:t>
      </w:r>
      <w:proofErr w:type="gramEnd"/>
      <w:r w:rsidR="00414889">
        <w:t>, les instruments de pesage utilisés pour peser les produits à faible valeur unitaire (par exemple le sable, le gravier, le mortier et les déchets à l’exception des déchets dangereux) et les instruments de pesage utilisés pour l’établissement des frais de transport. Pour ces usages, des instruments de pesage de classe d’exactitude 2 ou au-dessus peuvent être utilisés.</w:t>
      </w:r>
    </w:p>
    <w:p w14:paraId="278CA5E0" w14:textId="77777777" w:rsidR="00414889" w:rsidRPr="0039240C" w:rsidRDefault="00414889" w:rsidP="00414889">
      <w:pPr>
        <w:pStyle w:val="ListParagraph"/>
        <w:numPr>
          <w:ilvl w:val="0"/>
          <w:numId w:val="18"/>
        </w:numPr>
      </w:pPr>
      <w:r>
        <w:t>Totalisateurs continus:</w:t>
      </w:r>
    </w:p>
    <w:p w14:paraId="59C45552" w14:textId="259E4860" w:rsidR="00414889" w:rsidRPr="0039240C" w:rsidRDefault="00414889" w:rsidP="00414889">
      <w:pPr>
        <w:pStyle w:val="ListParagraph"/>
        <w:numPr>
          <w:ilvl w:val="1"/>
          <w:numId w:val="18"/>
        </w:numPr>
      </w:pPr>
      <w:r>
        <w:t>des instruments de pesage de classe d’exactitude 1 ou au-dessus doivent être utilisés, sous réserve du point 5, b</w:t>
      </w:r>
      <w:r w:rsidR="002479F7">
        <w:t>;</w:t>
      </w:r>
    </w:p>
    <w:p w14:paraId="5C0A078D" w14:textId="3DDC9ABA" w:rsidR="00414889" w:rsidRPr="0039240C" w:rsidRDefault="002479F7" w:rsidP="00414889">
      <w:pPr>
        <w:pStyle w:val="ListParagraph"/>
        <w:numPr>
          <w:ilvl w:val="1"/>
          <w:numId w:val="18"/>
        </w:numPr>
      </w:pPr>
      <w:r>
        <w:t>s</w:t>
      </w:r>
      <w:r w:rsidR="00414889">
        <w:t>ont exemptés de l’exigence du point 5, a, les instruments de pesage utilisés pour peser les produits à faible valeur unitaire (par exemple, le sable, le gravier, le mortier et les déchets à l’exception des déchets dangereux) et les instruments de pesage utilisés pour l’établissement des frais de transport autres que postaux. Pour ces usages, des instruments de pesage de classe d’exactitude 2 ou au-dessus peuvent être utilisés.</w:t>
      </w:r>
    </w:p>
    <w:p w14:paraId="07D0811F" w14:textId="77777777" w:rsidR="00414889" w:rsidRPr="0039240C" w:rsidRDefault="00414889" w:rsidP="00414889">
      <w:pPr>
        <w:pStyle w:val="ListParagraph"/>
        <w:numPr>
          <w:ilvl w:val="0"/>
          <w:numId w:val="18"/>
        </w:numPr>
      </w:pPr>
      <w:r>
        <w:t>Ponts-bascules ferroviaires automatiques:</w:t>
      </w:r>
    </w:p>
    <w:p w14:paraId="64F62E05" w14:textId="6C8C17B5" w:rsidR="00414889" w:rsidRPr="0039240C" w:rsidRDefault="00414889" w:rsidP="00414889">
      <w:pPr>
        <w:pStyle w:val="ListParagraph"/>
        <w:numPr>
          <w:ilvl w:val="1"/>
          <w:numId w:val="18"/>
        </w:numPr>
      </w:pPr>
      <w:r>
        <w:t>des instruments de pesage de classe d’exactitude 1 ou au-dessus doivent être utilisés, sous réserve du point 6, b</w:t>
      </w:r>
      <w:r w:rsidR="002479F7">
        <w:t>;</w:t>
      </w:r>
    </w:p>
    <w:p w14:paraId="0B8BD3E7" w14:textId="3A277F7B" w:rsidR="00414889" w:rsidRPr="0039240C" w:rsidRDefault="002479F7" w:rsidP="00414889">
      <w:pPr>
        <w:pStyle w:val="ListParagraph"/>
        <w:numPr>
          <w:ilvl w:val="1"/>
          <w:numId w:val="18"/>
        </w:numPr>
      </w:pPr>
      <w:r>
        <w:t>s</w:t>
      </w:r>
      <w:r w:rsidR="00414889">
        <w:t>ont exemptés de l’exigence du point 6, </w:t>
      </w:r>
      <w:proofErr w:type="gramStart"/>
      <w:r w:rsidR="00414889">
        <w:t>a</w:t>
      </w:r>
      <w:proofErr w:type="gramEnd"/>
      <w:r w:rsidR="00414889">
        <w:t>, les instruments de pesage utilisés pour peser les produits à faible valeur unitaire (par exemple le sable, le gravier, le mortier et les déchets à l’exception des déchets dangereux) et les instruments de pesage utilisés pour l’établissement des frais de transport. Pour ces usages, des instruments de pesage de classe d’exactitude 2 ou au-dessus peuvent être utilisés.</w:t>
      </w:r>
    </w:p>
    <w:p w14:paraId="5E318DD6" w14:textId="7711D278" w:rsidR="0009683E" w:rsidRPr="0039240C" w:rsidRDefault="0009683E" w:rsidP="00186E5F">
      <w:pPr>
        <w:jc w:val="center"/>
        <w:rPr>
          <w:i/>
        </w:rPr>
      </w:pPr>
      <w:r>
        <w:rPr>
          <w:i/>
        </w:rPr>
        <w:lastRenderedPageBreak/>
        <w:t>Autocontrôle</w:t>
      </w:r>
    </w:p>
    <w:p w14:paraId="3C435101" w14:textId="77777777" w:rsidR="0039240C" w:rsidRPr="0039240C" w:rsidRDefault="0009683E" w:rsidP="0039240C">
      <w:pPr>
        <w:spacing w:after="0"/>
      </w:pPr>
      <w:r>
        <w:rPr>
          <w:b/>
        </w:rPr>
        <w:t xml:space="preserve">Article 8. </w:t>
      </w:r>
      <w:r>
        <w:t xml:space="preserve">Pour les instruments de pesage à fonctionnement automatique utilisés pour la mesure massique et prévoyant un paiement direct de l’utilisateur final sur la base de la mesure, le propriétaire de l’instrument de pesage doit effectuer un autocontrôle qui apporte une garantie suffisante pour que la tolérance d’utilisation visée au paragraphe 3 ne soit pas dépassée. </w:t>
      </w:r>
    </w:p>
    <w:p w14:paraId="2A53B347" w14:textId="78531687" w:rsidR="0039240C" w:rsidRPr="0039240C" w:rsidRDefault="008038B4" w:rsidP="0039240C">
      <w:pPr>
        <w:spacing w:after="0"/>
        <w:ind w:firstLine="187"/>
      </w:pPr>
      <w:r>
        <w:rPr>
          <w:i/>
        </w:rPr>
        <w:t>Paragraphe</w:t>
      </w:r>
      <w:r w:rsidR="00AE5624">
        <w:rPr>
          <w:i/>
        </w:rPr>
        <w:t> </w:t>
      </w:r>
      <w:r>
        <w:rPr>
          <w:i/>
        </w:rPr>
        <w:t>2.</w:t>
      </w:r>
      <w:r>
        <w:t xml:space="preserve"> L’autocontrôle visé au paragraphe 1 doit se baser sur des mesures traçables sur le plan métrologique.</w:t>
      </w:r>
    </w:p>
    <w:p w14:paraId="0E150ECC" w14:textId="1D14D247" w:rsidR="0039240C" w:rsidRPr="0039240C" w:rsidRDefault="008038B4" w:rsidP="0039240C">
      <w:pPr>
        <w:spacing w:after="0"/>
        <w:ind w:firstLine="187"/>
      </w:pPr>
      <w:r>
        <w:rPr>
          <w:i/>
        </w:rPr>
        <w:t>Paragraphe</w:t>
      </w:r>
      <w:r w:rsidR="00AE5624">
        <w:rPr>
          <w:i/>
        </w:rPr>
        <w:t> </w:t>
      </w:r>
      <w:r>
        <w:rPr>
          <w:i/>
        </w:rPr>
        <w:t xml:space="preserve">3. </w:t>
      </w:r>
      <w:r>
        <w:t>La tolérance d’utilisation est égale au double de la tolérance en vigueur lors de la mise sur le marché des instruments de pesage à fonctionnement automatique.</w:t>
      </w:r>
    </w:p>
    <w:p w14:paraId="62D74645" w14:textId="4D9671F3" w:rsidR="0039240C" w:rsidRPr="0039240C" w:rsidRDefault="00B91AB7" w:rsidP="0039240C">
      <w:pPr>
        <w:spacing w:after="0"/>
        <w:ind w:firstLine="187"/>
      </w:pPr>
      <w:r>
        <w:rPr>
          <w:i/>
        </w:rPr>
        <w:t>Paragraphe</w:t>
      </w:r>
      <w:r w:rsidR="00AE5624">
        <w:rPr>
          <w:i/>
        </w:rPr>
        <w:t> </w:t>
      </w:r>
      <w:r>
        <w:rPr>
          <w:i/>
        </w:rPr>
        <w:t xml:space="preserve">4. </w:t>
      </w:r>
      <w:r>
        <w:t>Le propriétaire de l’instrument de pesage ne doit pas faire régler un instrument de pesage à fonctionnement automatique de manière à exploiter les erreurs maximales tolérées ou à favoriser systématiquement une partie précise.</w:t>
      </w:r>
    </w:p>
    <w:p w14:paraId="576D88E6" w14:textId="1AC838F9" w:rsidR="0009683E" w:rsidRPr="0039240C" w:rsidRDefault="008038B4" w:rsidP="0039240C">
      <w:pPr>
        <w:ind w:firstLine="180"/>
      </w:pPr>
      <w:r>
        <w:rPr>
          <w:i/>
        </w:rPr>
        <w:t>Paragraphe</w:t>
      </w:r>
      <w:r w:rsidR="00AE5624">
        <w:rPr>
          <w:i/>
        </w:rPr>
        <w:t> </w:t>
      </w:r>
      <w:r>
        <w:rPr>
          <w:i/>
        </w:rPr>
        <w:t xml:space="preserve">5. </w:t>
      </w:r>
      <w:r>
        <w:t>À la demande de l’Agence danoise pour la sécurité technologique, le propriétaire de l’instrument de pesage doit pouvoir prouver que les instruments de pesage à fonctionnement automatique utilisés pour la mesure massique et prévoyant le paiement direct par l’utilisateur final sur la base de la mesure sont conformes au paragraphe 1.</w:t>
      </w:r>
    </w:p>
    <w:p w14:paraId="164F1F28" w14:textId="2E1B3C8F" w:rsidR="00186E5F" w:rsidRPr="0039240C" w:rsidRDefault="00186E5F" w:rsidP="00186E5F">
      <w:pPr>
        <w:jc w:val="center"/>
        <w:rPr>
          <w:i/>
        </w:rPr>
      </w:pPr>
      <w:r>
        <w:rPr>
          <w:i/>
        </w:rPr>
        <w:t>Revérification</w:t>
      </w:r>
    </w:p>
    <w:p w14:paraId="4E8C9DBE" w14:textId="77777777" w:rsidR="0039240C" w:rsidRPr="0039240C" w:rsidRDefault="000F1A44" w:rsidP="0039240C">
      <w:pPr>
        <w:spacing w:after="0"/>
      </w:pPr>
      <w:r>
        <w:rPr>
          <w:b/>
        </w:rPr>
        <w:t xml:space="preserve">Article 9. </w:t>
      </w:r>
      <w:r>
        <w:t>Lorsque le scellement d’un instrument de pesage à fonctionnement automatique utilisé conformément à l’article premier est rompu, ou que l’instrument de pesage a subi une intervention susceptible d’affecter la capacité de mesure, le propriétaire de l’instrument de pesage doit s’assurer que l’instrument ne soit pas utilisé avant d’être revérifié.</w:t>
      </w:r>
    </w:p>
    <w:p w14:paraId="74A20052" w14:textId="0CBAEA93" w:rsidR="0039240C" w:rsidRPr="0039240C" w:rsidRDefault="00714025" w:rsidP="0039240C">
      <w:pPr>
        <w:spacing w:after="0"/>
        <w:ind w:firstLine="180"/>
      </w:pPr>
      <w:r>
        <w:rPr>
          <w:i/>
        </w:rPr>
        <w:t>Paragraphe</w:t>
      </w:r>
      <w:r w:rsidR="00AE5624">
        <w:rPr>
          <w:i/>
        </w:rPr>
        <w:t> </w:t>
      </w:r>
      <w:r>
        <w:rPr>
          <w:i/>
        </w:rPr>
        <w:t xml:space="preserve">2. </w:t>
      </w:r>
      <w:r>
        <w:t>Le propriétaire de l’instrument de pesage doit veiller à ce que l’instrument de pesage à fonctionnement automatique soit au moins revérifié de manière à ce que son erreur d’indication se situe dans les limites des erreurs maximales tolérées dans le domaine d’utilisation en question.</w:t>
      </w:r>
    </w:p>
    <w:p w14:paraId="7A77008A" w14:textId="2FEF0C4D" w:rsidR="00F54E97" w:rsidRPr="0039240C" w:rsidRDefault="002F7BEC" w:rsidP="0039240C">
      <w:pPr>
        <w:ind w:firstLine="180"/>
      </w:pPr>
      <w:r>
        <w:rPr>
          <w:i/>
        </w:rPr>
        <w:t>Paragraphe</w:t>
      </w:r>
      <w:r w:rsidR="00AE5624">
        <w:rPr>
          <w:i/>
        </w:rPr>
        <w:t> </w:t>
      </w:r>
      <w:r>
        <w:rPr>
          <w:i/>
        </w:rPr>
        <w:t>3.</w:t>
      </w:r>
      <w:r>
        <w:t xml:space="preserve"> Un instrument de pesage à fonctionnement automatique doit uniquement être utilisé dans le domaine d’utilisation dans lequel il a été revérifié.</w:t>
      </w:r>
    </w:p>
    <w:p w14:paraId="582BE532" w14:textId="634BACD2" w:rsidR="00160157" w:rsidRPr="0039240C" w:rsidRDefault="00790889" w:rsidP="00F1611D">
      <w:r>
        <w:rPr>
          <w:b/>
        </w:rPr>
        <w:t xml:space="preserve">Article 10. </w:t>
      </w:r>
      <w:r>
        <w:t>Une revérification se compose des opérations suivantes:</w:t>
      </w:r>
    </w:p>
    <w:p w14:paraId="5F630B9E" w14:textId="2941E1CA" w:rsidR="00160157" w:rsidRPr="0039240C" w:rsidRDefault="00160157" w:rsidP="00160157">
      <w:pPr>
        <w:pStyle w:val="ListNumber"/>
        <w:numPr>
          <w:ilvl w:val="0"/>
          <w:numId w:val="16"/>
        </w:numPr>
      </w:pPr>
      <w:r>
        <w:t>identification de l’instrument de pesage, où il est constaté s’il répond aux caractéristiques identifiables indiquées sur le certificat d’examen UE de type, l’homologation de type nationale ou de l’EEE pertinente ou dans un autre document technique montrant que l’instrument de pesage est conforme aux règles en vigueur;</w:t>
      </w:r>
    </w:p>
    <w:p w14:paraId="75C19CB7" w14:textId="4225DB51" w:rsidR="00160157" w:rsidRPr="0039240C" w:rsidRDefault="00160157" w:rsidP="00160157">
      <w:pPr>
        <w:pStyle w:val="ListNumber"/>
        <w:numPr>
          <w:ilvl w:val="0"/>
          <w:numId w:val="16"/>
        </w:numPr>
      </w:pPr>
      <w:r>
        <w:t>constatation du fait que l’erreur d’indication se situe dans les limites des erreurs maximales tolérées dans le domaine d</w:t>
      </w:r>
      <w:r w:rsidR="00AE5624">
        <w:t>’</w:t>
      </w:r>
      <w:r>
        <w:t xml:space="preserve">utilisation en question; </w:t>
      </w:r>
    </w:p>
    <w:p w14:paraId="27B6DCAA" w14:textId="73FD3445" w:rsidR="00160157" w:rsidRPr="0039240C" w:rsidRDefault="000C31C1" w:rsidP="007410EE">
      <w:pPr>
        <w:pStyle w:val="ListNumber"/>
        <w:numPr>
          <w:ilvl w:val="0"/>
          <w:numId w:val="16"/>
        </w:numPr>
      </w:pPr>
      <w:r>
        <w:t>scellement de l’instrument de pesage s’il répond aux exigences des points 1 et 2.</w:t>
      </w:r>
    </w:p>
    <w:p w14:paraId="155C07DB" w14:textId="77777777" w:rsidR="00160157" w:rsidRPr="0039240C" w:rsidRDefault="00160157" w:rsidP="00160157">
      <w:pPr>
        <w:pStyle w:val="ListNumber"/>
        <w:numPr>
          <w:ilvl w:val="0"/>
          <w:numId w:val="0"/>
        </w:numPr>
        <w:ind w:left="720"/>
      </w:pPr>
    </w:p>
    <w:p w14:paraId="1A183C74" w14:textId="244C1FFA" w:rsidR="00160157" w:rsidRPr="0039240C" w:rsidRDefault="00160157" w:rsidP="00DB58A5">
      <w:pPr>
        <w:pStyle w:val="ListNumber"/>
        <w:numPr>
          <w:ilvl w:val="0"/>
          <w:numId w:val="0"/>
        </w:numPr>
        <w:ind w:firstLine="142"/>
      </w:pPr>
      <w:r>
        <w:rPr>
          <w:i/>
        </w:rPr>
        <w:t>Paragraphe</w:t>
      </w:r>
      <w:r w:rsidR="00AE5624">
        <w:rPr>
          <w:i/>
        </w:rPr>
        <w:t> </w:t>
      </w:r>
      <w:r>
        <w:rPr>
          <w:i/>
        </w:rPr>
        <w:t>2.</w:t>
      </w:r>
      <w:r>
        <w:t xml:space="preserve"> La revérification doit être effectuée en vertu de la ou des normes pertinentes, des recommandations de l’OIML ou des guides WELMEC et des indications sur le certificat d’examen UE de type, l’homologation de type nationale ou de l’EEE pertinente ou dans un document technique correspondant pertinent.</w:t>
      </w:r>
    </w:p>
    <w:p w14:paraId="425C9682" w14:textId="188DAEFE" w:rsidR="00C53CA2" w:rsidRPr="0039240C" w:rsidRDefault="00790889" w:rsidP="00F1611D">
      <w:r>
        <w:rPr>
          <w:b/>
        </w:rPr>
        <w:lastRenderedPageBreak/>
        <w:t xml:space="preserve">Article 11. </w:t>
      </w:r>
      <w:r>
        <w:t>Il appartient au propriétaire de l’instrument de pesage de demander une revérification auprès d’une entreprise</w:t>
      </w:r>
    </w:p>
    <w:p w14:paraId="7506D41D" w14:textId="6E3B143B" w:rsidR="00087EDB" w:rsidRPr="0039240C" w:rsidRDefault="00087EDB" w:rsidP="00C53CA2">
      <w:pPr>
        <w:pStyle w:val="ListParagraph"/>
        <w:numPr>
          <w:ilvl w:val="0"/>
          <w:numId w:val="5"/>
        </w:numPr>
      </w:pPr>
      <w:r>
        <w:t>qui est établie au Danemark et qui, par une accréditation de DANAK (le Fonds danois d</w:t>
      </w:r>
      <w:r w:rsidR="00AE5624">
        <w:t>’</w:t>
      </w:r>
      <w:r>
        <w:t>accréditation) ou d’un organisme d’accréditation équivalent, cosignataire d’accords multilatéraux de reconnaissance mutuelle de l’EA, de l’ILAC ou de l’IAF, est qualifiée pour effectuer une revérification au titre du présent règlement, ou</w:t>
      </w:r>
    </w:p>
    <w:p w14:paraId="446A931A" w14:textId="2DD70FEE" w:rsidR="00660ABE" w:rsidRPr="0039240C" w:rsidRDefault="00087EDB" w:rsidP="00660ABE">
      <w:pPr>
        <w:pStyle w:val="ListParagraph"/>
        <w:numPr>
          <w:ilvl w:val="0"/>
          <w:numId w:val="5"/>
        </w:numPr>
      </w:pPr>
      <w:r>
        <w:t>qui fournit provisoirement des services au Danemark, et qui est légalement établie dans un autre pays de l’UE/EEE où l’entreprise peut légalement effectuer la revérification du type d’instrument de pesage à fonctionnement automatique en question.</w:t>
      </w:r>
    </w:p>
    <w:p w14:paraId="17909943" w14:textId="46A72692" w:rsidR="0039240C" w:rsidRPr="0039240C" w:rsidRDefault="00037437" w:rsidP="0039240C">
      <w:pPr>
        <w:spacing w:after="0"/>
        <w:ind w:firstLine="144"/>
      </w:pPr>
      <w:r>
        <w:rPr>
          <w:i/>
        </w:rPr>
        <w:t>Paragraphe</w:t>
      </w:r>
      <w:r w:rsidR="00AE5624">
        <w:rPr>
          <w:i/>
        </w:rPr>
        <w:t> </w:t>
      </w:r>
      <w:r>
        <w:rPr>
          <w:i/>
        </w:rPr>
        <w:t xml:space="preserve">2. </w:t>
      </w:r>
      <w:r>
        <w:t>L’entreprise perçoit un paiement pour la revérification.</w:t>
      </w:r>
    </w:p>
    <w:p w14:paraId="656405C5" w14:textId="57BA4CA2" w:rsidR="00E12057" w:rsidRPr="0039240C" w:rsidRDefault="00660ABE" w:rsidP="00DB58A5">
      <w:pPr>
        <w:ind w:firstLine="142"/>
      </w:pPr>
      <w:r>
        <w:rPr>
          <w:i/>
        </w:rPr>
        <w:t>Paragraphe</w:t>
      </w:r>
      <w:r w:rsidR="00AE5624">
        <w:rPr>
          <w:i/>
        </w:rPr>
        <w:t> </w:t>
      </w:r>
      <w:r>
        <w:rPr>
          <w:i/>
        </w:rPr>
        <w:t xml:space="preserve">3. </w:t>
      </w:r>
      <w:r>
        <w:t>Le propriétaire de l’instrument de pesage doit pouvoir prouver, à la demande de l’Agence danoise pour la sécurité technologique, que l’entreprise qui a revérifié les instruments de pesage à fonctionnement automatique du propriétaire d’instruments de pesage satisfait aux exigences du paragraphe 1.</w:t>
      </w:r>
    </w:p>
    <w:p w14:paraId="73D3806E" w14:textId="77777777" w:rsidR="00860ABA" w:rsidRPr="0039240C" w:rsidRDefault="00860ABA" w:rsidP="00860ABA">
      <w:pPr>
        <w:jc w:val="center"/>
      </w:pPr>
      <w:r>
        <w:t>Chapitre 5</w:t>
      </w:r>
    </w:p>
    <w:p w14:paraId="13F2F712" w14:textId="77777777" w:rsidR="00860ABA" w:rsidRPr="0039240C" w:rsidRDefault="00860ABA" w:rsidP="00860ABA">
      <w:pPr>
        <w:jc w:val="center"/>
        <w:rPr>
          <w:i/>
        </w:rPr>
      </w:pPr>
      <w:r>
        <w:rPr>
          <w:i/>
        </w:rPr>
        <w:t>Interventions sur l’instrument de pesage</w:t>
      </w:r>
    </w:p>
    <w:p w14:paraId="6AFD31CC" w14:textId="462DF500" w:rsidR="00860ABA" w:rsidRPr="0039240C" w:rsidRDefault="00860ABA" w:rsidP="00860ABA">
      <w:r>
        <w:rPr>
          <w:b/>
        </w:rPr>
        <w:t xml:space="preserve">Article 12. </w:t>
      </w:r>
      <w:r>
        <w:t>Personne ne doit effectuer d’intervention indue sur des instruments de pesage à fonctionnement automatique visés par le présent règlement ou influer autrement sur le bon fonctionnement et la capacité de pesage de l’instrument de pesage.</w:t>
      </w:r>
    </w:p>
    <w:p w14:paraId="0E6C4B29" w14:textId="77777777" w:rsidR="00860ABA" w:rsidRPr="0039240C" w:rsidRDefault="00860ABA" w:rsidP="00860ABA">
      <w:pPr>
        <w:jc w:val="center"/>
      </w:pPr>
      <w:r>
        <w:t>Chapitre 6</w:t>
      </w:r>
    </w:p>
    <w:p w14:paraId="6B8C14AC" w14:textId="48782B24" w:rsidR="00860ABA" w:rsidRPr="0039240C" w:rsidRDefault="000F7CC8" w:rsidP="00860ABA">
      <w:pPr>
        <w:jc w:val="center"/>
        <w:rPr>
          <w:i/>
        </w:rPr>
      </w:pPr>
      <w:r>
        <w:rPr>
          <w:i/>
        </w:rPr>
        <w:t>Contrôle</w:t>
      </w:r>
    </w:p>
    <w:p w14:paraId="30564973" w14:textId="413726A9" w:rsidR="0039240C" w:rsidRPr="0039240C" w:rsidRDefault="00860ABA" w:rsidP="0039240C">
      <w:pPr>
        <w:spacing w:after="0"/>
      </w:pPr>
      <w:r>
        <w:rPr>
          <w:b/>
        </w:rPr>
        <w:t xml:space="preserve">Article 13. </w:t>
      </w:r>
      <w:r>
        <w:t>L</w:t>
      </w:r>
      <w:r w:rsidR="00AE5624">
        <w:t>’</w:t>
      </w:r>
      <w:r>
        <w:t>Agence danoise pour la sécurité technologique surveille le respect du présent règlement.</w:t>
      </w:r>
    </w:p>
    <w:p w14:paraId="7D0E258C" w14:textId="1BE7CB67" w:rsidR="00860ABA" w:rsidRPr="0039240C" w:rsidRDefault="000F7CC8" w:rsidP="0039240C">
      <w:pPr>
        <w:ind w:firstLine="180"/>
      </w:pPr>
      <w:r>
        <w:rPr>
          <w:i/>
        </w:rPr>
        <w:t>Paragraphe</w:t>
      </w:r>
      <w:r w:rsidR="00AE5624">
        <w:rPr>
          <w:i/>
        </w:rPr>
        <w:t> </w:t>
      </w:r>
      <w:r>
        <w:rPr>
          <w:i/>
        </w:rPr>
        <w:t>2.</w:t>
      </w:r>
      <w:r>
        <w:t xml:space="preserve"> L</w:t>
      </w:r>
      <w:r w:rsidR="00AE5624">
        <w:t>’</w:t>
      </w:r>
      <w:r>
        <w:t>Agence danoise pour la sécurité technologique est habilitée à recevoir toutes les informations nécessaires à la réalisation du contrôle visé au paragraphe 1.</w:t>
      </w:r>
    </w:p>
    <w:p w14:paraId="7D042E58" w14:textId="7A71BD2D" w:rsidR="001D5E95" w:rsidRPr="0039240C" w:rsidRDefault="001D5E95" w:rsidP="001D5E95">
      <w:r>
        <w:rPr>
          <w:b/>
        </w:rPr>
        <w:t xml:space="preserve">Article 14. </w:t>
      </w:r>
      <w:r>
        <w:t>Les entreprises qui revérifient les instruments de pesage à fonctionnement automatique conformément à l’article 11, paragraphe 1, point 1, doivent, à la demande de l’Agence danoise pour la sécurité technologique, mettre à la disposition de celle-ci les données des revérifications effectuées en vue des tâches de contrôle de l’Agence.</w:t>
      </w:r>
    </w:p>
    <w:p w14:paraId="22C360F9" w14:textId="77777777" w:rsidR="00860ABA" w:rsidRPr="0039240C" w:rsidRDefault="00860ABA" w:rsidP="00860ABA">
      <w:pPr>
        <w:jc w:val="center"/>
      </w:pPr>
      <w:r>
        <w:t>Chapitre 7</w:t>
      </w:r>
    </w:p>
    <w:p w14:paraId="3C6C06B3" w14:textId="77777777" w:rsidR="00860ABA" w:rsidRPr="0039240C" w:rsidRDefault="00860ABA" w:rsidP="00860ABA">
      <w:pPr>
        <w:jc w:val="center"/>
        <w:rPr>
          <w:i/>
        </w:rPr>
      </w:pPr>
      <w:r>
        <w:rPr>
          <w:i/>
        </w:rPr>
        <w:t>Clauses pénales</w:t>
      </w:r>
    </w:p>
    <w:p w14:paraId="1749DD7E" w14:textId="72B492EC" w:rsidR="00860ABA" w:rsidRPr="0039240C" w:rsidRDefault="00BD1E0A" w:rsidP="00860ABA">
      <w:r>
        <w:rPr>
          <w:b/>
        </w:rPr>
        <w:t xml:space="preserve">Article 15. </w:t>
      </w:r>
      <w:r>
        <w:t>Est puni d</w:t>
      </w:r>
      <w:r w:rsidR="00AE5624">
        <w:t>’</w:t>
      </w:r>
      <w:r>
        <w:t>une amende quiconque</w:t>
      </w:r>
    </w:p>
    <w:p w14:paraId="07C2E3CC" w14:textId="23A3B996" w:rsidR="005C614A" w:rsidRPr="0039240C" w:rsidRDefault="00B722DE" w:rsidP="005C614A">
      <w:pPr>
        <w:pStyle w:val="ListParagraph"/>
        <w:numPr>
          <w:ilvl w:val="0"/>
          <w:numId w:val="8"/>
        </w:numPr>
      </w:pPr>
      <w:r>
        <w:t>enfreint l</w:t>
      </w:r>
      <w:r w:rsidR="00AE5624">
        <w:t>’</w:t>
      </w:r>
      <w:r>
        <w:t>article</w:t>
      </w:r>
      <w:r w:rsidR="00AE5624">
        <w:t> </w:t>
      </w:r>
      <w:r>
        <w:t>3, paragraphe 1, les articles 4 à 7, l’article 8, paragraphes 1, 2, 4 et 5, l</w:t>
      </w:r>
      <w:r w:rsidR="00AE5624">
        <w:t>’</w:t>
      </w:r>
      <w:r>
        <w:t>article 9 et l</w:t>
      </w:r>
      <w:r w:rsidR="00AE5624">
        <w:t>’</w:t>
      </w:r>
      <w:r>
        <w:t>article 11, paragraphes 1 et 3;</w:t>
      </w:r>
    </w:p>
    <w:p w14:paraId="1ADE6282" w14:textId="2BA8EC7D" w:rsidR="008311DB" w:rsidRPr="0039240C" w:rsidRDefault="008311DB" w:rsidP="005C614A">
      <w:pPr>
        <w:pStyle w:val="ListParagraph"/>
        <w:numPr>
          <w:ilvl w:val="0"/>
          <w:numId w:val="8"/>
        </w:numPr>
      </w:pPr>
      <w:r>
        <w:t>revérifie des instruments de pesage à fonctionnement automatique relevant du présent règlement sans être en conformité avec les exigences de l’article 11, paragraphe 1;</w:t>
      </w:r>
    </w:p>
    <w:p w14:paraId="3E04E909" w14:textId="3690C12D" w:rsidR="005C614A" w:rsidRPr="0039240C" w:rsidRDefault="005C614A" w:rsidP="008311DB">
      <w:pPr>
        <w:pStyle w:val="ListParagraph"/>
        <w:numPr>
          <w:ilvl w:val="0"/>
          <w:numId w:val="8"/>
        </w:numPr>
      </w:pPr>
      <w:r>
        <w:lastRenderedPageBreak/>
        <w:t>procède à des interventions injustifiées sur des instruments de pesage à fonctionnement automatique, voir article 12; ou</w:t>
      </w:r>
    </w:p>
    <w:p w14:paraId="06292E28" w14:textId="387E9E51" w:rsidR="00BD1E0A" w:rsidRPr="0039240C" w:rsidRDefault="00BD1E0A" w:rsidP="005C614A">
      <w:pPr>
        <w:pStyle w:val="ListParagraph"/>
        <w:numPr>
          <w:ilvl w:val="0"/>
          <w:numId w:val="8"/>
        </w:numPr>
      </w:pPr>
      <w:r>
        <w:t>néglige le devoir d</w:t>
      </w:r>
      <w:r w:rsidR="00AE5624">
        <w:t>’</w:t>
      </w:r>
      <w:r>
        <w:t>information prévu à l</w:t>
      </w:r>
      <w:r w:rsidR="00AE5624">
        <w:t>’</w:t>
      </w:r>
      <w:r>
        <w:t>article 13, paragraphe 2.</w:t>
      </w:r>
    </w:p>
    <w:p w14:paraId="43DF324A" w14:textId="5EB2516E" w:rsidR="00453D12" w:rsidRPr="0039240C" w:rsidRDefault="00453D12" w:rsidP="00DB58A5">
      <w:pPr>
        <w:ind w:firstLine="284"/>
      </w:pPr>
      <w:r>
        <w:rPr>
          <w:i/>
        </w:rPr>
        <w:t>Paragraphe</w:t>
      </w:r>
      <w:r w:rsidR="00AE5624">
        <w:rPr>
          <w:i/>
        </w:rPr>
        <w:t> </w:t>
      </w:r>
      <w:r>
        <w:rPr>
          <w:i/>
        </w:rPr>
        <w:t xml:space="preserve">2. </w:t>
      </w:r>
      <w:r>
        <w:t>Des sanctions pénales peuvent être infligées à toute entreprise, etc. (personnes morales), conformément aux dispositions du chapitre 5 du code pénal.</w:t>
      </w:r>
    </w:p>
    <w:p w14:paraId="5D6CC1DA" w14:textId="77777777" w:rsidR="0047638F" w:rsidRPr="0039240C" w:rsidRDefault="0047638F" w:rsidP="0047638F">
      <w:pPr>
        <w:jc w:val="center"/>
      </w:pPr>
      <w:r>
        <w:t>Chapitre 8</w:t>
      </w:r>
    </w:p>
    <w:p w14:paraId="3055C241" w14:textId="5F38ED50" w:rsidR="0047638F" w:rsidRPr="0039240C" w:rsidRDefault="0047638F" w:rsidP="0047638F">
      <w:pPr>
        <w:jc w:val="center"/>
        <w:rPr>
          <w:i/>
        </w:rPr>
      </w:pPr>
      <w:r>
        <w:rPr>
          <w:i/>
        </w:rPr>
        <w:t>Entrée en vigueur et dispositions transitoires</w:t>
      </w:r>
    </w:p>
    <w:p w14:paraId="63F2D717" w14:textId="58C85848" w:rsidR="0039240C" w:rsidRPr="0039240C" w:rsidRDefault="0047638F" w:rsidP="0039240C">
      <w:pPr>
        <w:spacing w:after="0"/>
      </w:pPr>
      <w:r>
        <w:rPr>
          <w:b/>
        </w:rPr>
        <w:t xml:space="preserve">Article 16. </w:t>
      </w:r>
      <w:r>
        <w:t>Le présent règlement entre en vigueur le 1</w:t>
      </w:r>
      <w:r>
        <w:rPr>
          <w:vertAlign w:val="superscript"/>
        </w:rPr>
        <w:t>er</w:t>
      </w:r>
      <w:r>
        <w:t> juillet</w:t>
      </w:r>
      <w:r w:rsidR="00AE5624">
        <w:t> </w:t>
      </w:r>
      <w:r>
        <w:t>2018.</w:t>
      </w:r>
    </w:p>
    <w:p w14:paraId="650A0D54" w14:textId="3E120637" w:rsidR="0047638F" w:rsidRPr="0039240C" w:rsidRDefault="0047638F" w:rsidP="0039240C">
      <w:pPr>
        <w:ind w:firstLine="180"/>
      </w:pPr>
      <w:r>
        <w:rPr>
          <w:i/>
        </w:rPr>
        <w:t>Paragraphe</w:t>
      </w:r>
      <w:r w:rsidR="00AE5624">
        <w:rPr>
          <w:i/>
        </w:rPr>
        <w:t> </w:t>
      </w:r>
      <w:r>
        <w:rPr>
          <w:i/>
        </w:rPr>
        <w:t xml:space="preserve">2. </w:t>
      </w:r>
      <w:r>
        <w:t>Les règlements, orientations, directives métrologiques et avis métrologiques suivants sont abrogés:</w:t>
      </w:r>
    </w:p>
    <w:p w14:paraId="4DAE47ED" w14:textId="3D2061B6" w:rsidR="0087010A" w:rsidRPr="0039240C" w:rsidRDefault="0087010A" w:rsidP="0047638F">
      <w:pPr>
        <w:pStyle w:val="ListParagraph"/>
        <w:numPr>
          <w:ilvl w:val="0"/>
          <w:numId w:val="9"/>
        </w:numPr>
      </w:pPr>
      <w:r>
        <w:t>communication métrologique de février</w:t>
      </w:r>
      <w:r w:rsidR="00AE5624">
        <w:t> </w:t>
      </w:r>
      <w:r>
        <w:t>1985 concernant les essais sur les trémies peseuses automatiques discontinues et totalisatrices en vue de la réception par type et de la vérification (MM 06);</w:t>
      </w:r>
    </w:p>
    <w:p w14:paraId="320A24F7" w14:textId="77777777" w:rsidR="0047638F" w:rsidRPr="0039240C" w:rsidRDefault="0047638F" w:rsidP="0047638F">
      <w:pPr>
        <w:pStyle w:val="ListParagraph"/>
        <w:numPr>
          <w:ilvl w:val="0"/>
          <w:numId w:val="9"/>
        </w:numPr>
      </w:pPr>
      <w:r>
        <w:t>directive métrologique du 11 mai 2000 relative aux instruments de pesage à fonctionnement automatique; étendue des essais dans le cadre de la réception par type et de la vérification par type conformément à l’OIML, MDIR 04.31-03;</w:t>
      </w:r>
    </w:p>
    <w:p w14:paraId="4A38F7B7" w14:textId="77777777" w:rsidR="00142DF2" w:rsidRPr="0039240C" w:rsidRDefault="00142DF2" w:rsidP="0047638F">
      <w:pPr>
        <w:pStyle w:val="ListParagraph"/>
        <w:numPr>
          <w:ilvl w:val="0"/>
          <w:numId w:val="9"/>
        </w:numPr>
      </w:pPr>
      <w:r>
        <w:t>orientation nº 9069 du 19 janvier 2004 relative aux instruments de pesage à fonctionnement automatique; demande de réception par type; directive métrologique (MDIR 04.31-02, version 6);</w:t>
      </w:r>
    </w:p>
    <w:p w14:paraId="0683F51C" w14:textId="77777777" w:rsidR="0047638F" w:rsidRPr="0039240C" w:rsidRDefault="0047638F" w:rsidP="0047638F">
      <w:pPr>
        <w:pStyle w:val="ListParagraph"/>
        <w:numPr>
          <w:ilvl w:val="0"/>
          <w:numId w:val="9"/>
        </w:numPr>
      </w:pPr>
      <w:r>
        <w:t>règlement nº 1033 du 17 octobre 2006 relatif au contrôle métrologique des instruments de mesure utilisés pour mesurer la masse («instrument de pesage»);</w:t>
      </w:r>
    </w:p>
    <w:p w14:paraId="0F5EED8B" w14:textId="77777777" w:rsidR="0047638F" w:rsidRPr="0039240C" w:rsidRDefault="0047638F" w:rsidP="0047638F">
      <w:pPr>
        <w:pStyle w:val="ListParagraph"/>
        <w:numPr>
          <w:ilvl w:val="0"/>
          <w:numId w:val="9"/>
        </w:numPr>
      </w:pPr>
      <w:r>
        <w:t>orientation du 7 septembre 2007 sur les instruments de pesage à fonctionnement automatique, etc.; demande de réception par type, agrément complémentaire, prolongation de la durée de validité de la réception par type et certificat de l’OIML; orientation métrologique (MV 04.31-02, version 7);</w:t>
      </w:r>
    </w:p>
    <w:p w14:paraId="47CBB414" w14:textId="77777777" w:rsidR="0047638F" w:rsidRPr="0039240C" w:rsidRDefault="0047638F" w:rsidP="0047638F">
      <w:pPr>
        <w:pStyle w:val="ListParagraph"/>
        <w:numPr>
          <w:ilvl w:val="0"/>
          <w:numId w:val="9"/>
        </w:numPr>
      </w:pPr>
      <w:r>
        <w:t>orientation nº 9177 du 17 janvier 2008 sur les instruments de pesage à fonctionnement automatique, etc.; procédure et autre lors de la réception par type; orientation métrologique (MV 04.31-01, version 3);</w:t>
      </w:r>
    </w:p>
    <w:p w14:paraId="6CC84126" w14:textId="77777777" w:rsidR="0047638F" w:rsidRPr="0039240C" w:rsidRDefault="0047638F" w:rsidP="0047638F">
      <w:pPr>
        <w:pStyle w:val="ListParagraph"/>
        <w:numPr>
          <w:ilvl w:val="0"/>
          <w:numId w:val="9"/>
        </w:numPr>
      </w:pPr>
      <w:r>
        <w:t>orientation nº 9237 du 17 octobre 2008 concernant le règlement relatif au contrôle métrologique pour la mesure massique; orientation métrologique (MV 04.31-04, version 2);</w:t>
      </w:r>
    </w:p>
    <w:p w14:paraId="59783F7F" w14:textId="162AEE1B" w:rsidR="0047638F" w:rsidRPr="0039240C" w:rsidRDefault="0047638F" w:rsidP="0047638F">
      <w:pPr>
        <w:pStyle w:val="ListParagraph"/>
        <w:numPr>
          <w:ilvl w:val="0"/>
          <w:numId w:val="9"/>
        </w:numPr>
      </w:pPr>
      <w:r>
        <w:t>orientation nº 9057 du 18 janvier 2010 concernant la vérification des instruments de pesage OIML</w:t>
      </w:r>
      <w:r w:rsidR="00AE5624">
        <w:t> </w:t>
      </w:r>
      <w:r>
        <w:t>R51 x (trieuses pondérales); orientation métrologique (MV 04.31-11, version 1).</w:t>
      </w:r>
    </w:p>
    <w:p w14:paraId="42422FF8" w14:textId="174B4AB2" w:rsidR="00E0267C" w:rsidRPr="0039240C" w:rsidRDefault="00E0267C" w:rsidP="0039240C">
      <w:pPr>
        <w:ind w:firstLine="180"/>
      </w:pPr>
      <w:r>
        <w:rPr>
          <w:i/>
        </w:rPr>
        <w:t>Paragraphe</w:t>
      </w:r>
      <w:r w:rsidR="00AE5624">
        <w:rPr>
          <w:i/>
        </w:rPr>
        <w:t> </w:t>
      </w:r>
      <w:r>
        <w:rPr>
          <w:i/>
        </w:rPr>
        <w:t>3.</w:t>
      </w:r>
      <w:r>
        <w:t xml:space="preserve"> Les instruments de pesage qui sont légalement mis en service conformément au règlement nº 1033 du 17 octobre 2006 relatif au contrôle métrologique des instruments de mesure utilisés pour mesurer la masse («instrument de pesage»), sans être concernés par le règlement relatif à la mise à disposition sur le marché d’instruments de mesure, peuvent toujours être utilisés en toute légalité dans la mesure où le propriétaire de l’instrument de mesure s’assure de leur conformité avec les articles 8 à 11 du présent règlement.</w:t>
      </w:r>
    </w:p>
    <w:p w14:paraId="392D7014" w14:textId="32AFD172" w:rsidR="008F5718" w:rsidRPr="0039240C" w:rsidRDefault="00BD1E0A" w:rsidP="00BD1E0A">
      <w:r>
        <w:rPr>
          <w:b/>
        </w:rPr>
        <w:t xml:space="preserve">Article 17. </w:t>
      </w:r>
      <w:r>
        <w:t>Le présent règlement n</w:t>
      </w:r>
      <w:r w:rsidR="00AE5624">
        <w:t>’</w:t>
      </w:r>
      <w:r>
        <w:t xml:space="preserve">est pas applicable aux </w:t>
      </w:r>
      <w:r w:rsidR="00AE5624">
        <w:t>î</w:t>
      </w:r>
      <w:r>
        <w:t>les Féroé ni au Groenland.</w:t>
      </w:r>
    </w:p>
    <w:sectPr w:rsidR="008F5718" w:rsidRPr="0039240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0AD99" w14:textId="77777777" w:rsidR="009B7E53" w:rsidRDefault="009B7E53" w:rsidP="00184B91">
      <w:pPr>
        <w:spacing w:after="0" w:line="240" w:lineRule="auto"/>
      </w:pPr>
      <w:r>
        <w:separator/>
      </w:r>
    </w:p>
  </w:endnote>
  <w:endnote w:type="continuationSeparator" w:id="0">
    <w:p w14:paraId="2EBC0740" w14:textId="77777777" w:rsidR="009B7E53" w:rsidRDefault="009B7E53" w:rsidP="0018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EB1C" w14:textId="77777777" w:rsidR="00AE5624" w:rsidRDefault="00AE5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2A265" w14:textId="77777777" w:rsidR="00AE5624" w:rsidRDefault="00AE5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50CF" w14:textId="77777777" w:rsidR="00AE5624" w:rsidRDefault="00AE5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46375" w14:textId="77777777" w:rsidR="009B7E53" w:rsidRDefault="009B7E53" w:rsidP="00184B91">
      <w:pPr>
        <w:spacing w:after="0" w:line="240" w:lineRule="auto"/>
      </w:pPr>
      <w:r>
        <w:separator/>
      </w:r>
    </w:p>
  </w:footnote>
  <w:footnote w:type="continuationSeparator" w:id="0">
    <w:p w14:paraId="2FBAAB7B" w14:textId="77777777" w:rsidR="009B7E53" w:rsidRDefault="009B7E53" w:rsidP="00184B91">
      <w:pPr>
        <w:spacing w:after="0" w:line="240" w:lineRule="auto"/>
      </w:pPr>
      <w:r>
        <w:continuationSeparator/>
      </w:r>
    </w:p>
  </w:footnote>
  <w:footnote w:id="1">
    <w:p w14:paraId="073F7F03" w14:textId="4E7B5DD2" w:rsidR="00C121A8" w:rsidRDefault="00C121A8" w:rsidP="00C121A8">
      <w:pPr>
        <w:pStyle w:val="FootnoteText"/>
      </w:pPr>
      <w:r>
        <w:rPr>
          <w:rStyle w:val="FootnoteReference"/>
        </w:rPr>
        <w:footnoteRef/>
      </w:r>
      <w:r>
        <w:t xml:space="preserve"> Le règlement a été notifié à l</w:t>
      </w:r>
      <w:r w:rsidR="00AE5624">
        <w:t>’</w:t>
      </w:r>
      <w:r>
        <w:t>état de projet conformément à la directive 2015/1535/UE du Parlement européen et du Conseil prévoyant une procédure d</w:t>
      </w:r>
      <w:r w:rsidR="00AE5624">
        <w:t>’</w:t>
      </w:r>
      <w:r>
        <w:t>information dans le domaine des réglementations techniques et des règles relatives aux services de la société de l</w:t>
      </w:r>
      <w:r w:rsidR="00AE5624">
        <w:t>’</w:t>
      </w:r>
      <w:r>
        <w:t>information (texte codifié).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232D" w14:textId="77777777" w:rsidR="00AE5624" w:rsidRDefault="00AE5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21CA6" w14:textId="77777777" w:rsidR="00AE5624" w:rsidRDefault="00AE5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D9B26" w14:textId="77777777" w:rsidR="00AE5624" w:rsidRDefault="00AE5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52A36E"/>
    <w:lvl w:ilvl="0">
      <w:start w:val="1"/>
      <w:numFmt w:val="decimal"/>
      <w:pStyle w:val="ListNumber"/>
      <w:lvlText w:val="%1."/>
      <w:lvlJc w:val="left"/>
      <w:pPr>
        <w:tabs>
          <w:tab w:val="num" w:pos="360"/>
        </w:tabs>
        <w:ind w:left="360" w:hanging="360"/>
      </w:pPr>
    </w:lvl>
  </w:abstractNum>
  <w:abstractNum w:abstractNumId="1">
    <w:nsid w:val="030C1FDC"/>
    <w:multiLevelType w:val="hybridMultilevel"/>
    <w:tmpl w:val="BB38ED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0E1018B"/>
    <w:multiLevelType w:val="hybridMultilevel"/>
    <w:tmpl w:val="ACA6E5E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nsid w:val="22D17295"/>
    <w:multiLevelType w:val="hybridMultilevel"/>
    <w:tmpl w:val="27C2B1C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7FB67D1"/>
    <w:multiLevelType w:val="hybridMultilevel"/>
    <w:tmpl w:val="15D86B1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nsid w:val="3AD419B5"/>
    <w:multiLevelType w:val="hybridMultilevel"/>
    <w:tmpl w:val="FAEA985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68F30D6"/>
    <w:multiLevelType w:val="hybridMultilevel"/>
    <w:tmpl w:val="45AAFB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47C47AF7"/>
    <w:multiLevelType w:val="hybridMultilevel"/>
    <w:tmpl w:val="957E7F56"/>
    <w:lvl w:ilvl="0" w:tplc="04060011">
      <w:start w:val="1"/>
      <w:numFmt w:val="decimal"/>
      <w:lvlText w:val="%1)"/>
      <w:lvlJc w:val="left"/>
      <w:pPr>
        <w:ind w:left="720" w:hanging="360"/>
      </w:pPr>
    </w:lvl>
    <w:lvl w:ilvl="1" w:tplc="04060017">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4ECE77F5"/>
    <w:multiLevelType w:val="hybridMultilevel"/>
    <w:tmpl w:val="9A78941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55A315D5"/>
    <w:multiLevelType w:val="hybridMultilevel"/>
    <w:tmpl w:val="A022A09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56043033"/>
    <w:multiLevelType w:val="hybridMultilevel"/>
    <w:tmpl w:val="8204797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5C253E52"/>
    <w:multiLevelType w:val="hybridMultilevel"/>
    <w:tmpl w:val="FEAC9AA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nsid w:val="5CD64047"/>
    <w:multiLevelType w:val="hybridMultilevel"/>
    <w:tmpl w:val="3272878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CE86D31"/>
    <w:multiLevelType w:val="hybridMultilevel"/>
    <w:tmpl w:val="F53A52C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5D8805D3"/>
    <w:multiLevelType w:val="hybridMultilevel"/>
    <w:tmpl w:val="4896F62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612758A4"/>
    <w:multiLevelType w:val="hybridMultilevel"/>
    <w:tmpl w:val="BBA88DF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69430308"/>
    <w:multiLevelType w:val="hybridMultilevel"/>
    <w:tmpl w:val="D9B47D5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76B84BDF"/>
    <w:multiLevelType w:val="hybridMultilevel"/>
    <w:tmpl w:val="026E79E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777D5706"/>
    <w:multiLevelType w:val="hybridMultilevel"/>
    <w:tmpl w:val="957E7F56"/>
    <w:lvl w:ilvl="0" w:tplc="04060011">
      <w:start w:val="1"/>
      <w:numFmt w:val="decimal"/>
      <w:lvlText w:val="%1)"/>
      <w:lvlJc w:val="left"/>
      <w:pPr>
        <w:ind w:left="720" w:hanging="360"/>
      </w:pPr>
    </w:lvl>
    <w:lvl w:ilvl="1" w:tplc="04060017">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8"/>
  </w:num>
  <w:num w:numId="5">
    <w:abstractNumId w:val="15"/>
  </w:num>
  <w:num w:numId="6">
    <w:abstractNumId w:val="3"/>
  </w:num>
  <w:num w:numId="7">
    <w:abstractNumId w:val="6"/>
  </w:num>
  <w:num w:numId="8">
    <w:abstractNumId w:val="12"/>
  </w:num>
  <w:num w:numId="9">
    <w:abstractNumId w:val="5"/>
  </w:num>
  <w:num w:numId="10">
    <w:abstractNumId w:val="16"/>
  </w:num>
  <w:num w:numId="11">
    <w:abstractNumId w:val="14"/>
  </w:num>
  <w:num w:numId="12">
    <w:abstractNumId w:val="0"/>
  </w:num>
  <w:num w:numId="13">
    <w:abstractNumId w:val="11"/>
  </w:num>
  <w:num w:numId="14">
    <w:abstractNumId w:val="10"/>
  </w:num>
  <w:num w:numId="15">
    <w:abstractNumId w:val="4"/>
  </w:num>
  <w:num w:numId="16">
    <w:abstractNumId w:val="17"/>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78"/>
    <w:rsid w:val="00021EC6"/>
    <w:rsid w:val="00023C9D"/>
    <w:rsid w:val="00025151"/>
    <w:rsid w:val="0003375C"/>
    <w:rsid w:val="00033C96"/>
    <w:rsid w:val="00037437"/>
    <w:rsid w:val="00050BD1"/>
    <w:rsid w:val="00056C4F"/>
    <w:rsid w:val="0006320A"/>
    <w:rsid w:val="00071306"/>
    <w:rsid w:val="00071E8C"/>
    <w:rsid w:val="000739DE"/>
    <w:rsid w:val="000767EF"/>
    <w:rsid w:val="00077FC3"/>
    <w:rsid w:val="00087EDB"/>
    <w:rsid w:val="000941AD"/>
    <w:rsid w:val="0009683E"/>
    <w:rsid w:val="000A0CFA"/>
    <w:rsid w:val="000A29EE"/>
    <w:rsid w:val="000A2AC2"/>
    <w:rsid w:val="000B6915"/>
    <w:rsid w:val="000C31C1"/>
    <w:rsid w:val="000C5232"/>
    <w:rsid w:val="000F1A44"/>
    <w:rsid w:val="000F2D7B"/>
    <w:rsid w:val="000F38FE"/>
    <w:rsid w:val="000F7CC8"/>
    <w:rsid w:val="00142DF2"/>
    <w:rsid w:val="00142DF5"/>
    <w:rsid w:val="00160157"/>
    <w:rsid w:val="001657CA"/>
    <w:rsid w:val="00167C06"/>
    <w:rsid w:val="00184B91"/>
    <w:rsid w:val="00186E5F"/>
    <w:rsid w:val="001D5E95"/>
    <w:rsid w:val="001E3974"/>
    <w:rsid w:val="001F65E0"/>
    <w:rsid w:val="00210CDC"/>
    <w:rsid w:val="002239F2"/>
    <w:rsid w:val="00246E59"/>
    <w:rsid w:val="002479F7"/>
    <w:rsid w:val="00262E3F"/>
    <w:rsid w:val="00272A15"/>
    <w:rsid w:val="002827E1"/>
    <w:rsid w:val="00292063"/>
    <w:rsid w:val="002A2D71"/>
    <w:rsid w:val="002A5D07"/>
    <w:rsid w:val="002B1697"/>
    <w:rsid w:val="002B1E7F"/>
    <w:rsid w:val="002B3E4B"/>
    <w:rsid w:val="002B6EFD"/>
    <w:rsid w:val="002D0C84"/>
    <w:rsid w:val="002F4D0B"/>
    <w:rsid w:val="002F7BEC"/>
    <w:rsid w:val="0030606F"/>
    <w:rsid w:val="0033536E"/>
    <w:rsid w:val="00350478"/>
    <w:rsid w:val="003525D9"/>
    <w:rsid w:val="00355383"/>
    <w:rsid w:val="003647C0"/>
    <w:rsid w:val="00377653"/>
    <w:rsid w:val="0039240C"/>
    <w:rsid w:val="00392B39"/>
    <w:rsid w:val="003942F5"/>
    <w:rsid w:val="003979EE"/>
    <w:rsid w:val="003C15E7"/>
    <w:rsid w:val="003D7E12"/>
    <w:rsid w:val="003E43C8"/>
    <w:rsid w:val="003E5EF2"/>
    <w:rsid w:val="003F1E18"/>
    <w:rsid w:val="003F1FD3"/>
    <w:rsid w:val="003F4E94"/>
    <w:rsid w:val="00414889"/>
    <w:rsid w:val="00424D11"/>
    <w:rsid w:val="004320C5"/>
    <w:rsid w:val="00447940"/>
    <w:rsid w:val="00453D12"/>
    <w:rsid w:val="00471016"/>
    <w:rsid w:val="0047638F"/>
    <w:rsid w:val="0048043F"/>
    <w:rsid w:val="004832D0"/>
    <w:rsid w:val="004A069C"/>
    <w:rsid w:val="004A2B17"/>
    <w:rsid w:val="004B5247"/>
    <w:rsid w:val="004B7BF4"/>
    <w:rsid w:val="004C3E60"/>
    <w:rsid w:val="004D07D2"/>
    <w:rsid w:val="004E115C"/>
    <w:rsid w:val="004F2CFF"/>
    <w:rsid w:val="00503B37"/>
    <w:rsid w:val="005350EF"/>
    <w:rsid w:val="00547A66"/>
    <w:rsid w:val="00550407"/>
    <w:rsid w:val="00560A6E"/>
    <w:rsid w:val="00561501"/>
    <w:rsid w:val="005661E1"/>
    <w:rsid w:val="00575C8A"/>
    <w:rsid w:val="005772E5"/>
    <w:rsid w:val="00577D17"/>
    <w:rsid w:val="00593410"/>
    <w:rsid w:val="00593C7D"/>
    <w:rsid w:val="005A1BB9"/>
    <w:rsid w:val="005A5049"/>
    <w:rsid w:val="005A5A15"/>
    <w:rsid w:val="005C614A"/>
    <w:rsid w:val="005F626A"/>
    <w:rsid w:val="00605DDB"/>
    <w:rsid w:val="006159B9"/>
    <w:rsid w:val="00616365"/>
    <w:rsid w:val="006166D1"/>
    <w:rsid w:val="00621BBF"/>
    <w:rsid w:val="00621CD7"/>
    <w:rsid w:val="0062529E"/>
    <w:rsid w:val="00635217"/>
    <w:rsid w:val="0064664E"/>
    <w:rsid w:val="00646CEE"/>
    <w:rsid w:val="00660ABE"/>
    <w:rsid w:val="0069667B"/>
    <w:rsid w:val="006A6D51"/>
    <w:rsid w:val="006C15B3"/>
    <w:rsid w:val="006C54EA"/>
    <w:rsid w:val="006C621F"/>
    <w:rsid w:val="006C74A9"/>
    <w:rsid w:val="006E414D"/>
    <w:rsid w:val="006F1D44"/>
    <w:rsid w:val="007042F5"/>
    <w:rsid w:val="00706BB1"/>
    <w:rsid w:val="00713C6C"/>
    <w:rsid w:val="00714025"/>
    <w:rsid w:val="00715876"/>
    <w:rsid w:val="00724C61"/>
    <w:rsid w:val="007319F1"/>
    <w:rsid w:val="007535C4"/>
    <w:rsid w:val="00753B16"/>
    <w:rsid w:val="00761768"/>
    <w:rsid w:val="00764877"/>
    <w:rsid w:val="00764BAB"/>
    <w:rsid w:val="00785115"/>
    <w:rsid w:val="00790889"/>
    <w:rsid w:val="007B278F"/>
    <w:rsid w:val="007C26BF"/>
    <w:rsid w:val="007C27C8"/>
    <w:rsid w:val="00802EA3"/>
    <w:rsid w:val="008038B4"/>
    <w:rsid w:val="00810A3E"/>
    <w:rsid w:val="00811CD6"/>
    <w:rsid w:val="00812AA0"/>
    <w:rsid w:val="00814B42"/>
    <w:rsid w:val="00821D5D"/>
    <w:rsid w:val="00824E62"/>
    <w:rsid w:val="008311DB"/>
    <w:rsid w:val="0085180C"/>
    <w:rsid w:val="00851F29"/>
    <w:rsid w:val="00860ABA"/>
    <w:rsid w:val="00865E6A"/>
    <w:rsid w:val="0087010A"/>
    <w:rsid w:val="00872889"/>
    <w:rsid w:val="008752CC"/>
    <w:rsid w:val="00885025"/>
    <w:rsid w:val="00890EFB"/>
    <w:rsid w:val="008A3A0F"/>
    <w:rsid w:val="008E2A79"/>
    <w:rsid w:val="008E5EBD"/>
    <w:rsid w:val="008E7812"/>
    <w:rsid w:val="008E7EBF"/>
    <w:rsid w:val="008F02FA"/>
    <w:rsid w:val="008F5718"/>
    <w:rsid w:val="00907775"/>
    <w:rsid w:val="00913C8A"/>
    <w:rsid w:val="00916831"/>
    <w:rsid w:val="00927B54"/>
    <w:rsid w:val="0093411B"/>
    <w:rsid w:val="0094088E"/>
    <w:rsid w:val="00943FE6"/>
    <w:rsid w:val="00953C56"/>
    <w:rsid w:val="00962F05"/>
    <w:rsid w:val="0097551A"/>
    <w:rsid w:val="00987787"/>
    <w:rsid w:val="009A0695"/>
    <w:rsid w:val="009A5F8F"/>
    <w:rsid w:val="009B0C8D"/>
    <w:rsid w:val="009B145A"/>
    <w:rsid w:val="009B3491"/>
    <w:rsid w:val="009B4A7D"/>
    <w:rsid w:val="009B5880"/>
    <w:rsid w:val="009B7755"/>
    <w:rsid w:val="009B7E53"/>
    <w:rsid w:val="009D01F0"/>
    <w:rsid w:val="00A02D1D"/>
    <w:rsid w:val="00A05BB6"/>
    <w:rsid w:val="00A17B04"/>
    <w:rsid w:val="00A31442"/>
    <w:rsid w:val="00A32808"/>
    <w:rsid w:val="00A47ECF"/>
    <w:rsid w:val="00A50F48"/>
    <w:rsid w:val="00A5132C"/>
    <w:rsid w:val="00A54467"/>
    <w:rsid w:val="00A6384D"/>
    <w:rsid w:val="00A65597"/>
    <w:rsid w:val="00A732EE"/>
    <w:rsid w:val="00A7671B"/>
    <w:rsid w:val="00A94949"/>
    <w:rsid w:val="00AA1687"/>
    <w:rsid w:val="00AA270A"/>
    <w:rsid w:val="00AA3313"/>
    <w:rsid w:val="00AA3A0A"/>
    <w:rsid w:val="00AC313E"/>
    <w:rsid w:val="00AE2B60"/>
    <w:rsid w:val="00AE4894"/>
    <w:rsid w:val="00AE5624"/>
    <w:rsid w:val="00AF314E"/>
    <w:rsid w:val="00AF5332"/>
    <w:rsid w:val="00B0392D"/>
    <w:rsid w:val="00B20397"/>
    <w:rsid w:val="00B22662"/>
    <w:rsid w:val="00B24884"/>
    <w:rsid w:val="00B4640E"/>
    <w:rsid w:val="00B50B53"/>
    <w:rsid w:val="00B722DE"/>
    <w:rsid w:val="00B72FB8"/>
    <w:rsid w:val="00B82660"/>
    <w:rsid w:val="00B84A09"/>
    <w:rsid w:val="00B91AB7"/>
    <w:rsid w:val="00BA7977"/>
    <w:rsid w:val="00BA7EFC"/>
    <w:rsid w:val="00BB3625"/>
    <w:rsid w:val="00BB467E"/>
    <w:rsid w:val="00BC2942"/>
    <w:rsid w:val="00BC3C07"/>
    <w:rsid w:val="00BD1E0A"/>
    <w:rsid w:val="00BE5847"/>
    <w:rsid w:val="00BF487D"/>
    <w:rsid w:val="00C121A8"/>
    <w:rsid w:val="00C22308"/>
    <w:rsid w:val="00C237CF"/>
    <w:rsid w:val="00C23E95"/>
    <w:rsid w:val="00C26462"/>
    <w:rsid w:val="00C31CA0"/>
    <w:rsid w:val="00C402D0"/>
    <w:rsid w:val="00C40620"/>
    <w:rsid w:val="00C45CEB"/>
    <w:rsid w:val="00C47B3E"/>
    <w:rsid w:val="00C52BD0"/>
    <w:rsid w:val="00C53CA2"/>
    <w:rsid w:val="00C624AE"/>
    <w:rsid w:val="00C667AC"/>
    <w:rsid w:val="00C76A80"/>
    <w:rsid w:val="00C770A0"/>
    <w:rsid w:val="00CA74C8"/>
    <w:rsid w:val="00CB382C"/>
    <w:rsid w:val="00CD3450"/>
    <w:rsid w:val="00CE4500"/>
    <w:rsid w:val="00D023C4"/>
    <w:rsid w:val="00D15119"/>
    <w:rsid w:val="00D34628"/>
    <w:rsid w:val="00D35D12"/>
    <w:rsid w:val="00D3671C"/>
    <w:rsid w:val="00D45FF7"/>
    <w:rsid w:val="00D47A17"/>
    <w:rsid w:val="00D57C66"/>
    <w:rsid w:val="00D6142B"/>
    <w:rsid w:val="00D62F97"/>
    <w:rsid w:val="00D84FEB"/>
    <w:rsid w:val="00D919A5"/>
    <w:rsid w:val="00D9458B"/>
    <w:rsid w:val="00DA1D8D"/>
    <w:rsid w:val="00DB58A5"/>
    <w:rsid w:val="00DC0AFB"/>
    <w:rsid w:val="00DE458E"/>
    <w:rsid w:val="00DF4810"/>
    <w:rsid w:val="00E00488"/>
    <w:rsid w:val="00E0267C"/>
    <w:rsid w:val="00E04C85"/>
    <w:rsid w:val="00E12057"/>
    <w:rsid w:val="00E20339"/>
    <w:rsid w:val="00E251F4"/>
    <w:rsid w:val="00E25290"/>
    <w:rsid w:val="00E40B0D"/>
    <w:rsid w:val="00E42819"/>
    <w:rsid w:val="00E47889"/>
    <w:rsid w:val="00E56235"/>
    <w:rsid w:val="00E74C3A"/>
    <w:rsid w:val="00E827E4"/>
    <w:rsid w:val="00E84D20"/>
    <w:rsid w:val="00E910C0"/>
    <w:rsid w:val="00EA79BA"/>
    <w:rsid w:val="00EC3FDD"/>
    <w:rsid w:val="00EC44C9"/>
    <w:rsid w:val="00EC5C64"/>
    <w:rsid w:val="00F053B3"/>
    <w:rsid w:val="00F066EC"/>
    <w:rsid w:val="00F11B16"/>
    <w:rsid w:val="00F1611D"/>
    <w:rsid w:val="00F30503"/>
    <w:rsid w:val="00F44207"/>
    <w:rsid w:val="00F47410"/>
    <w:rsid w:val="00F504D1"/>
    <w:rsid w:val="00F54E97"/>
    <w:rsid w:val="00F828E9"/>
    <w:rsid w:val="00F901A6"/>
    <w:rsid w:val="00FA53D5"/>
    <w:rsid w:val="00FA7C84"/>
    <w:rsid w:val="00FD0055"/>
    <w:rsid w:val="00FD0F2F"/>
    <w:rsid w:val="00FD3A91"/>
    <w:rsid w:val="00FE4775"/>
    <w:rsid w:val="00FF53B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3D5"/>
    <w:rPr>
      <w:sz w:val="16"/>
      <w:szCs w:val="16"/>
    </w:rPr>
  </w:style>
  <w:style w:type="paragraph" w:styleId="CommentText">
    <w:name w:val="annotation text"/>
    <w:basedOn w:val="Normal"/>
    <w:link w:val="CommentTextChar"/>
    <w:uiPriority w:val="99"/>
    <w:unhideWhenUsed/>
    <w:rsid w:val="00FA53D5"/>
    <w:pPr>
      <w:spacing w:line="240" w:lineRule="auto"/>
    </w:pPr>
    <w:rPr>
      <w:sz w:val="20"/>
      <w:szCs w:val="20"/>
    </w:rPr>
  </w:style>
  <w:style w:type="character" w:customStyle="1" w:styleId="CommentTextChar">
    <w:name w:val="Comment Text Char"/>
    <w:basedOn w:val="DefaultParagraphFont"/>
    <w:link w:val="CommentText"/>
    <w:uiPriority w:val="99"/>
    <w:rsid w:val="00FA53D5"/>
    <w:rPr>
      <w:sz w:val="20"/>
      <w:szCs w:val="20"/>
    </w:rPr>
  </w:style>
  <w:style w:type="paragraph" w:styleId="CommentSubject">
    <w:name w:val="annotation subject"/>
    <w:basedOn w:val="CommentText"/>
    <w:next w:val="CommentText"/>
    <w:link w:val="CommentSubjectChar"/>
    <w:uiPriority w:val="99"/>
    <w:semiHidden/>
    <w:unhideWhenUsed/>
    <w:rsid w:val="00FA53D5"/>
    <w:rPr>
      <w:b/>
      <w:bCs/>
    </w:rPr>
  </w:style>
  <w:style w:type="character" w:customStyle="1" w:styleId="CommentSubjectChar">
    <w:name w:val="Comment Subject Char"/>
    <w:basedOn w:val="CommentTextChar"/>
    <w:link w:val="CommentSubject"/>
    <w:uiPriority w:val="99"/>
    <w:semiHidden/>
    <w:rsid w:val="00FA53D5"/>
    <w:rPr>
      <w:b/>
      <w:bCs/>
      <w:sz w:val="20"/>
      <w:szCs w:val="20"/>
    </w:rPr>
  </w:style>
  <w:style w:type="paragraph" w:styleId="BalloonText">
    <w:name w:val="Balloon Text"/>
    <w:basedOn w:val="Normal"/>
    <w:link w:val="BalloonTextChar"/>
    <w:uiPriority w:val="99"/>
    <w:semiHidden/>
    <w:unhideWhenUsed/>
    <w:rsid w:val="00FA5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D5"/>
    <w:rPr>
      <w:rFonts w:ascii="Tahoma" w:hAnsi="Tahoma" w:cs="Tahoma"/>
      <w:sz w:val="16"/>
      <w:szCs w:val="16"/>
    </w:rPr>
  </w:style>
  <w:style w:type="paragraph" w:styleId="ListParagraph">
    <w:name w:val="List Paragraph"/>
    <w:basedOn w:val="Normal"/>
    <w:uiPriority w:val="34"/>
    <w:qFormat/>
    <w:rsid w:val="00E04C85"/>
    <w:pPr>
      <w:ind w:left="720"/>
      <w:contextualSpacing/>
    </w:pPr>
  </w:style>
  <w:style w:type="paragraph" w:styleId="ListNumber">
    <w:name w:val="List Number"/>
    <w:basedOn w:val="Normal"/>
    <w:uiPriority w:val="99"/>
    <w:unhideWhenUsed/>
    <w:rsid w:val="002827E1"/>
    <w:pPr>
      <w:numPr>
        <w:numId w:val="12"/>
      </w:numPr>
      <w:spacing w:after="160" w:line="259" w:lineRule="auto"/>
      <w:contextualSpacing/>
    </w:pPr>
  </w:style>
  <w:style w:type="paragraph" w:styleId="Header">
    <w:name w:val="header"/>
    <w:basedOn w:val="Normal"/>
    <w:link w:val="HeaderChar"/>
    <w:uiPriority w:val="99"/>
    <w:unhideWhenUsed/>
    <w:rsid w:val="00184B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4B91"/>
  </w:style>
  <w:style w:type="paragraph" w:styleId="Footer">
    <w:name w:val="footer"/>
    <w:basedOn w:val="Normal"/>
    <w:link w:val="FooterChar"/>
    <w:uiPriority w:val="99"/>
    <w:unhideWhenUsed/>
    <w:rsid w:val="00184B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4B91"/>
  </w:style>
  <w:style w:type="paragraph" w:styleId="Revision">
    <w:name w:val="Revision"/>
    <w:hidden/>
    <w:uiPriority w:val="99"/>
    <w:semiHidden/>
    <w:rsid w:val="00550407"/>
    <w:pPr>
      <w:spacing w:after="0" w:line="240" w:lineRule="auto"/>
    </w:pPr>
  </w:style>
  <w:style w:type="paragraph" w:styleId="FootnoteText">
    <w:name w:val="footnote text"/>
    <w:basedOn w:val="Normal"/>
    <w:link w:val="FootnoteTextChar"/>
    <w:uiPriority w:val="99"/>
    <w:semiHidden/>
    <w:unhideWhenUsed/>
    <w:rsid w:val="00C12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1A8"/>
    <w:rPr>
      <w:sz w:val="20"/>
      <w:szCs w:val="20"/>
    </w:rPr>
  </w:style>
  <w:style w:type="character" w:styleId="FootnoteReference">
    <w:name w:val="footnote reference"/>
    <w:basedOn w:val="DefaultParagraphFont"/>
    <w:uiPriority w:val="99"/>
    <w:semiHidden/>
    <w:unhideWhenUsed/>
    <w:rsid w:val="00C121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3D5"/>
    <w:rPr>
      <w:sz w:val="16"/>
      <w:szCs w:val="16"/>
    </w:rPr>
  </w:style>
  <w:style w:type="paragraph" w:styleId="CommentText">
    <w:name w:val="annotation text"/>
    <w:basedOn w:val="Normal"/>
    <w:link w:val="CommentTextChar"/>
    <w:uiPriority w:val="99"/>
    <w:unhideWhenUsed/>
    <w:rsid w:val="00FA53D5"/>
    <w:pPr>
      <w:spacing w:line="240" w:lineRule="auto"/>
    </w:pPr>
    <w:rPr>
      <w:sz w:val="20"/>
      <w:szCs w:val="20"/>
    </w:rPr>
  </w:style>
  <w:style w:type="character" w:customStyle="1" w:styleId="CommentTextChar">
    <w:name w:val="Comment Text Char"/>
    <w:basedOn w:val="DefaultParagraphFont"/>
    <w:link w:val="CommentText"/>
    <w:uiPriority w:val="99"/>
    <w:rsid w:val="00FA53D5"/>
    <w:rPr>
      <w:sz w:val="20"/>
      <w:szCs w:val="20"/>
    </w:rPr>
  </w:style>
  <w:style w:type="paragraph" w:styleId="CommentSubject">
    <w:name w:val="annotation subject"/>
    <w:basedOn w:val="CommentText"/>
    <w:next w:val="CommentText"/>
    <w:link w:val="CommentSubjectChar"/>
    <w:uiPriority w:val="99"/>
    <w:semiHidden/>
    <w:unhideWhenUsed/>
    <w:rsid w:val="00FA53D5"/>
    <w:rPr>
      <w:b/>
      <w:bCs/>
    </w:rPr>
  </w:style>
  <w:style w:type="character" w:customStyle="1" w:styleId="CommentSubjectChar">
    <w:name w:val="Comment Subject Char"/>
    <w:basedOn w:val="CommentTextChar"/>
    <w:link w:val="CommentSubject"/>
    <w:uiPriority w:val="99"/>
    <w:semiHidden/>
    <w:rsid w:val="00FA53D5"/>
    <w:rPr>
      <w:b/>
      <w:bCs/>
      <w:sz w:val="20"/>
      <w:szCs w:val="20"/>
    </w:rPr>
  </w:style>
  <w:style w:type="paragraph" w:styleId="BalloonText">
    <w:name w:val="Balloon Text"/>
    <w:basedOn w:val="Normal"/>
    <w:link w:val="BalloonTextChar"/>
    <w:uiPriority w:val="99"/>
    <w:semiHidden/>
    <w:unhideWhenUsed/>
    <w:rsid w:val="00FA5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D5"/>
    <w:rPr>
      <w:rFonts w:ascii="Tahoma" w:hAnsi="Tahoma" w:cs="Tahoma"/>
      <w:sz w:val="16"/>
      <w:szCs w:val="16"/>
    </w:rPr>
  </w:style>
  <w:style w:type="paragraph" w:styleId="ListParagraph">
    <w:name w:val="List Paragraph"/>
    <w:basedOn w:val="Normal"/>
    <w:uiPriority w:val="34"/>
    <w:qFormat/>
    <w:rsid w:val="00E04C85"/>
    <w:pPr>
      <w:ind w:left="720"/>
      <w:contextualSpacing/>
    </w:pPr>
  </w:style>
  <w:style w:type="paragraph" w:styleId="ListNumber">
    <w:name w:val="List Number"/>
    <w:basedOn w:val="Normal"/>
    <w:uiPriority w:val="99"/>
    <w:unhideWhenUsed/>
    <w:rsid w:val="002827E1"/>
    <w:pPr>
      <w:numPr>
        <w:numId w:val="12"/>
      </w:numPr>
      <w:spacing w:after="160" w:line="259" w:lineRule="auto"/>
      <w:contextualSpacing/>
    </w:pPr>
  </w:style>
  <w:style w:type="paragraph" w:styleId="Header">
    <w:name w:val="header"/>
    <w:basedOn w:val="Normal"/>
    <w:link w:val="HeaderChar"/>
    <w:uiPriority w:val="99"/>
    <w:unhideWhenUsed/>
    <w:rsid w:val="00184B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4B91"/>
  </w:style>
  <w:style w:type="paragraph" w:styleId="Footer">
    <w:name w:val="footer"/>
    <w:basedOn w:val="Normal"/>
    <w:link w:val="FooterChar"/>
    <w:uiPriority w:val="99"/>
    <w:unhideWhenUsed/>
    <w:rsid w:val="00184B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4B91"/>
  </w:style>
  <w:style w:type="paragraph" w:styleId="Revision">
    <w:name w:val="Revision"/>
    <w:hidden/>
    <w:uiPriority w:val="99"/>
    <w:semiHidden/>
    <w:rsid w:val="00550407"/>
    <w:pPr>
      <w:spacing w:after="0" w:line="240" w:lineRule="auto"/>
    </w:pPr>
  </w:style>
  <w:style w:type="paragraph" w:styleId="FootnoteText">
    <w:name w:val="footnote text"/>
    <w:basedOn w:val="Normal"/>
    <w:link w:val="FootnoteTextChar"/>
    <w:uiPriority w:val="99"/>
    <w:semiHidden/>
    <w:unhideWhenUsed/>
    <w:rsid w:val="00C12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1A8"/>
    <w:rPr>
      <w:sz w:val="20"/>
      <w:szCs w:val="20"/>
    </w:rPr>
  </w:style>
  <w:style w:type="character" w:styleId="FootnoteReference">
    <w:name w:val="footnote reference"/>
    <w:basedOn w:val="DefaultParagraphFont"/>
    <w:uiPriority w:val="99"/>
    <w:semiHidden/>
    <w:unhideWhenUsed/>
    <w:rsid w:val="00C12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7CFA-BFD8-4B8D-84DC-4C79E3EC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2907</Words>
  <Characters>16575</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Mathilde Horsman Jensen</dc:creator>
  <cp:lastModifiedBy>BADESCU, Iulia</cp:lastModifiedBy>
  <cp:revision>9</cp:revision>
  <cp:lastPrinted>2017-07-10T08:22:00Z</cp:lastPrinted>
  <dcterms:created xsi:type="dcterms:W3CDTF">2018-01-23T12:05:00Z</dcterms:created>
  <dcterms:modified xsi:type="dcterms:W3CDTF">2018-02-02T17:22:00Z</dcterms:modified>
</cp:coreProperties>
</file>