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4AE00" w14:textId="2CE1989E" w:rsidR="002D0C84" w:rsidRPr="00E00E94" w:rsidRDefault="002D0C84" w:rsidP="002D0C84">
      <w:pPr>
        <w:jc w:val="center"/>
        <w:rPr>
          <w:rFonts w:ascii="Courier New" w:hAnsi="Courier New" w:cs="Courier New"/>
          <w:sz w:val="20"/>
        </w:rPr>
      </w:pPr>
      <w:r>
        <w:rPr>
          <w:rFonts w:ascii="Courier New" w:hAnsi="Courier New"/>
          <w:sz w:val="20"/>
        </w:rPr>
        <w:t>1. ------IND- 2018 0040 DK- HR- ------ 20180205 --- --- PROJET</w:t>
      </w:r>
    </w:p>
    <w:p w14:paraId="439CD003" w14:textId="706DA54A" w:rsidR="00077FC3" w:rsidRPr="0039240C" w:rsidRDefault="00077FC3" w:rsidP="00350478">
      <w:pPr>
        <w:jc w:val="center"/>
        <w:rPr>
          <w:b/>
        </w:rPr>
      </w:pPr>
      <w:r>
        <w:rPr>
          <w:b/>
        </w:rPr>
        <w:t>Nacrt</w:t>
      </w:r>
    </w:p>
    <w:p w14:paraId="41411111" w14:textId="6518E614" w:rsidR="00BE5847" w:rsidRPr="0039240C" w:rsidRDefault="00350478" w:rsidP="00350478">
      <w:pPr>
        <w:jc w:val="center"/>
        <w:rPr>
          <w:b/>
        </w:rPr>
      </w:pPr>
      <w:r>
        <w:rPr>
          <w:b/>
        </w:rPr>
        <w:t>Naredba o upotrebi automatskih vaga</w:t>
      </w:r>
      <w:r>
        <w:rPr>
          <w:rStyle w:val="FootnoteReference"/>
          <w:b/>
        </w:rPr>
        <w:footnoteReference w:id="1"/>
      </w:r>
    </w:p>
    <w:p w14:paraId="78389EDA" w14:textId="77777777" w:rsidR="00350478" w:rsidRPr="0039240C" w:rsidRDefault="000F2D7B" w:rsidP="00350478">
      <w:r>
        <w:t xml:space="preserve">U skladu s člankom 15. stavkom 1. i člankom 22. stavkom 4. Zakona o promicanju poslovanja te o regionalnom razvoju [Lov om </w:t>
      </w:r>
      <w:proofErr w:type="spellStart"/>
      <w:r>
        <w:t>erhvervsfremme</w:t>
      </w:r>
      <w:proofErr w:type="spellEnd"/>
      <w:r>
        <w:t xml:space="preserve"> </w:t>
      </w:r>
      <w:proofErr w:type="spellStart"/>
      <w:r>
        <w:t>og</w:t>
      </w:r>
      <w:proofErr w:type="spellEnd"/>
      <w:r>
        <w:t xml:space="preserve"> </w:t>
      </w:r>
      <w:proofErr w:type="spellStart"/>
      <w:r>
        <w:t>regional</w:t>
      </w:r>
      <w:proofErr w:type="spellEnd"/>
      <w:r>
        <w:t xml:space="preserve"> </w:t>
      </w:r>
      <w:proofErr w:type="spellStart"/>
      <w:r>
        <w:t>udvikling</w:t>
      </w:r>
      <w:proofErr w:type="spellEnd"/>
      <w:r>
        <w:t>], vidi Pročišćeni zakon br. 820. od 28. lipnja 2016. — uprava utvrđuje sljedeće u skladu s člankom 4. stavkom 3.:</w:t>
      </w:r>
    </w:p>
    <w:p w14:paraId="523B49BD" w14:textId="77777777" w:rsidR="000F2D7B" w:rsidRPr="0039240C" w:rsidRDefault="000F2D7B" w:rsidP="000F2D7B">
      <w:pPr>
        <w:jc w:val="center"/>
      </w:pPr>
      <w:r>
        <w:t>Poglavlje 1.</w:t>
      </w:r>
    </w:p>
    <w:p w14:paraId="4788BAB7" w14:textId="77777777" w:rsidR="000F2D7B" w:rsidRPr="0039240C" w:rsidRDefault="000F2D7B" w:rsidP="000F2D7B">
      <w:pPr>
        <w:jc w:val="center"/>
        <w:rPr>
          <w:i/>
        </w:rPr>
      </w:pPr>
      <w:r>
        <w:rPr>
          <w:i/>
        </w:rPr>
        <w:t>Područje primjene</w:t>
      </w:r>
    </w:p>
    <w:p w14:paraId="31A06407" w14:textId="77777777" w:rsidR="0039240C" w:rsidRPr="0039240C" w:rsidRDefault="000F2D7B" w:rsidP="0039240C">
      <w:pPr>
        <w:spacing w:after="0"/>
      </w:pPr>
      <w:r>
        <w:rPr>
          <w:b/>
        </w:rPr>
        <w:t xml:space="preserve">Članak 1. </w:t>
      </w:r>
      <w:r>
        <w:t>Naredba se primjenjuje na automatske vage koje se koriste za mjerenje mase i za koje se plaćanja provode na temelju mjerenja.</w:t>
      </w:r>
    </w:p>
    <w:p w14:paraId="636FDD43" w14:textId="25C2C742" w:rsidR="000F2D7B" w:rsidRPr="0039240C" w:rsidRDefault="00913C8A" w:rsidP="0039240C">
      <w:pPr>
        <w:ind w:firstLine="180"/>
      </w:pPr>
      <w:r>
        <w:rPr>
          <w:i/>
        </w:rPr>
        <w:t xml:space="preserve">Stavak 2. </w:t>
      </w:r>
      <w:r>
        <w:t>Primjena ove Naredbe podliježe Uredbi (EZ) br. 764/2008 Europskog parlamenta i Vijeća od 9. srpnja 2008. o utvrđivanju postupaka koji se odnose na primjenu određenih nacionalnih tehničkih propisa na proizvode koji se zakonito stavljaju na tržište u drugoj državi članici, kako je izmijenjena.</w:t>
      </w:r>
    </w:p>
    <w:p w14:paraId="55884AED" w14:textId="77777777" w:rsidR="00E04C85" w:rsidRPr="0039240C" w:rsidRDefault="00E04C85" w:rsidP="00E04C85">
      <w:pPr>
        <w:jc w:val="center"/>
      </w:pPr>
      <w:r>
        <w:t>Poglavlje 2.</w:t>
      </w:r>
    </w:p>
    <w:p w14:paraId="68AF3C0A" w14:textId="77777777" w:rsidR="00E04C85" w:rsidRPr="0039240C" w:rsidRDefault="00E04C85" w:rsidP="00E04C85">
      <w:pPr>
        <w:jc w:val="center"/>
        <w:rPr>
          <w:i/>
        </w:rPr>
      </w:pPr>
      <w:r>
        <w:rPr>
          <w:i/>
        </w:rPr>
        <w:t>Definicije</w:t>
      </w:r>
    </w:p>
    <w:p w14:paraId="259F3296" w14:textId="77777777" w:rsidR="00D34628" w:rsidRPr="0039240C" w:rsidRDefault="00E04C85" w:rsidP="00E04C85">
      <w:r>
        <w:rPr>
          <w:b/>
        </w:rPr>
        <w:t xml:space="preserve">Članak 2. </w:t>
      </w:r>
      <w:r>
        <w:t>Za potrebe ove Naredbe:</w:t>
      </w:r>
    </w:p>
    <w:p w14:paraId="405C3EA7" w14:textId="1347E4D8" w:rsidR="00D34628" w:rsidRPr="0039240C" w:rsidRDefault="00447940" w:rsidP="00184B91">
      <w:pPr>
        <w:pStyle w:val="ListParagraph"/>
        <w:numPr>
          <w:ilvl w:val="0"/>
          <w:numId w:val="6"/>
        </w:numPr>
      </w:pPr>
      <w:r>
        <w:t>Automatska vaga: uređaj koji određuje masu proizvoda bez djelovanja operatera i slijedi unaprijed utvrđeni program koji ima osobine automatiziranih postupaka koji su specifični za taj instrument.</w:t>
      </w:r>
    </w:p>
    <w:p w14:paraId="4822E5F2" w14:textId="09CEC406" w:rsidR="005F626A" w:rsidRPr="0039240C" w:rsidRDefault="005F626A" w:rsidP="005F626A">
      <w:pPr>
        <w:pStyle w:val="ListParagraph"/>
        <w:numPr>
          <w:ilvl w:val="0"/>
          <w:numId w:val="6"/>
        </w:numPr>
      </w:pPr>
      <w:r>
        <w:t>Područje primjene: dio područja vaganja koji automatska vaga može vagati u predmetnoj instalaciji i koji je u okviru radnih uvjeta za koje je odobrena automatska vaga kad je stavljena na tržište.</w:t>
      </w:r>
    </w:p>
    <w:p w14:paraId="780910CE" w14:textId="7A601CFB" w:rsidR="00605DDB" w:rsidRPr="0039240C" w:rsidRDefault="00605DDB" w:rsidP="00605DDB">
      <w:pPr>
        <w:pStyle w:val="ListParagraph"/>
        <w:numPr>
          <w:ilvl w:val="0"/>
          <w:numId w:val="6"/>
        </w:numPr>
      </w:pPr>
      <w:r>
        <w:t>Pečat: fizičke ili elektronske mjere za osiguravanje instrumenta od neovlaštenog rukovanja.</w:t>
      </w:r>
    </w:p>
    <w:p w14:paraId="5444B049" w14:textId="7E1026D0" w:rsidR="00605DDB" w:rsidRPr="0039240C" w:rsidRDefault="00605DDB" w:rsidP="00605DDB">
      <w:pPr>
        <w:pStyle w:val="ListParagraph"/>
        <w:numPr>
          <w:ilvl w:val="0"/>
          <w:numId w:val="6"/>
        </w:numPr>
      </w:pPr>
      <w:r>
        <w:t>Ponovna provjera: aktivnosti koje utvrđuju i potvrđuju da automatska vaga u uporabi ispunjava regulatorne zahtjeve i iste zahtjeve točnosti u trenutačnom opsegu primjene koji su bili primjenjivi kad je instrument stavljen na tržište.</w:t>
      </w:r>
    </w:p>
    <w:p w14:paraId="74F5A228" w14:textId="77777777" w:rsidR="002B1E7F" w:rsidRPr="0039240C" w:rsidRDefault="002B1E7F" w:rsidP="002B1E7F">
      <w:pPr>
        <w:pStyle w:val="ListParagraph"/>
        <w:numPr>
          <w:ilvl w:val="0"/>
          <w:numId w:val="6"/>
        </w:numPr>
      </w:pPr>
      <w:r>
        <w:t>Dobavljač opreme: proizvođač, uvoznik ili distributer automatskih vaga obuhvaćenih člankom 1. stavkom 1.</w:t>
      </w:r>
    </w:p>
    <w:p w14:paraId="0E5ACCAD" w14:textId="6F8217B0" w:rsidR="002B1E7F" w:rsidRPr="0039240C" w:rsidRDefault="002B1E7F" w:rsidP="002B1E7F">
      <w:pPr>
        <w:pStyle w:val="ListParagraph"/>
        <w:numPr>
          <w:ilvl w:val="0"/>
          <w:numId w:val="6"/>
        </w:numPr>
      </w:pPr>
      <w:r>
        <w:t>Vlasnik instrumenta: poduzeće koje na raspolaganju ima jednu ili više automatskih vaga i koristi je/koristi ih u svrhe obuhvaćene člankom 1. stavkom 1.</w:t>
      </w:r>
    </w:p>
    <w:p w14:paraId="79C5CCDF" w14:textId="77777777" w:rsidR="000A29EE" w:rsidRPr="0039240C" w:rsidRDefault="00C52BD0" w:rsidP="00A7657E">
      <w:pPr>
        <w:keepNext/>
        <w:keepLines/>
        <w:jc w:val="center"/>
      </w:pPr>
      <w:r>
        <w:lastRenderedPageBreak/>
        <w:t>Poglavlje 3.</w:t>
      </w:r>
    </w:p>
    <w:p w14:paraId="34518425" w14:textId="1E05B57D" w:rsidR="004320C5" w:rsidRPr="0039240C" w:rsidRDefault="00EC5C64" w:rsidP="00A7657E">
      <w:pPr>
        <w:keepNext/>
        <w:keepLines/>
        <w:jc w:val="center"/>
        <w:rPr>
          <w:i/>
        </w:rPr>
      </w:pPr>
      <w:r>
        <w:rPr>
          <w:i/>
        </w:rPr>
        <w:t>Zahtjevi za dobavljače opreme</w:t>
      </w:r>
    </w:p>
    <w:p w14:paraId="77DB339F" w14:textId="335AB951" w:rsidR="001657CA" w:rsidRPr="0039240C" w:rsidRDefault="000A29EE" w:rsidP="000F2D7B">
      <w:r>
        <w:rPr>
          <w:b/>
        </w:rPr>
        <w:t>Članak 3.</w:t>
      </w:r>
      <w:r>
        <w:t xml:space="preserve"> Dobavljač opreme za automatsku vagu koja radi prema načelima mjerenja ili ima isplanirane nacrte drugačije od onih iz Priloga 8. Naredbi o stavljanju mjernih instrumenata na tržište može stavljati na tržište ili prodavati samo automatske vage obuhvaćene člankom 1. stavkom 1., ako automatska vaga </w:t>
      </w:r>
    </w:p>
    <w:p w14:paraId="031D982C" w14:textId="1353AE6F" w:rsidR="001657CA" w:rsidRPr="0039240C" w:rsidRDefault="001657CA" w:rsidP="001657CA">
      <w:pPr>
        <w:pStyle w:val="ListParagraph"/>
        <w:numPr>
          <w:ilvl w:val="0"/>
          <w:numId w:val="10"/>
        </w:numPr>
      </w:pPr>
      <w:r>
        <w:t>ispunjava jednakovrijedne zahtjeve za funkcionalnost i točnost kao usporedna automatska vaga obuhvaćena Naredbom o stavljanju mjernih instrumenata na tržište ili ispunjava zahtjeve za funkcionalnost i točnost propisane u odgovarajućim normama ili preporukama Međunarodne organizacije za zakonsko mjeriteljstvo (OIML) te</w:t>
      </w:r>
    </w:p>
    <w:p w14:paraId="16E12AF4" w14:textId="0270057C" w:rsidR="001657CA" w:rsidRPr="0039240C" w:rsidRDefault="001657CA" w:rsidP="001657CA">
      <w:pPr>
        <w:pStyle w:val="ListParagraph"/>
        <w:numPr>
          <w:ilvl w:val="0"/>
          <w:numId w:val="10"/>
        </w:numPr>
      </w:pPr>
      <w:r>
        <w:t>ispunjava zahtjeve iz Priloga 1. i 8. Naredbi o stavljanju mjernih instrumenata na tržište, koji su također odgovarajući s obzirom na uporabu instrumenta.</w:t>
      </w:r>
    </w:p>
    <w:p w14:paraId="43AE6436" w14:textId="10D5F7F0" w:rsidR="001657CA" w:rsidRPr="0039240C" w:rsidRDefault="001657CA" w:rsidP="0039240C">
      <w:pPr>
        <w:ind w:firstLine="180"/>
      </w:pPr>
      <w:r>
        <w:rPr>
          <w:i/>
        </w:rPr>
        <w:t>Stavak 2.</w:t>
      </w:r>
      <w:r>
        <w:t xml:space="preserve"> Automatska vaga (vidi stavak 1.) koja je u skladu s danskim normama koje su objavljene u Danskom savezu na normizaciju (</w:t>
      </w:r>
      <w:proofErr w:type="spellStart"/>
      <w:r>
        <w:t>Dansk</w:t>
      </w:r>
      <w:proofErr w:type="spellEnd"/>
      <w:r>
        <w:t xml:space="preserve"> Standard (DS)), europskim normama koje objavljuje Europski odbor za normizaciju (CEN) ili preporukama OIML-a ili njihovim dijelovima, smatra se da je u skladu sa zahtjevima iz stavka 1. točkama 1. i 2.</w:t>
      </w:r>
    </w:p>
    <w:p w14:paraId="71331807" w14:textId="4ABB88D5" w:rsidR="002827E1" w:rsidRPr="0039240C" w:rsidRDefault="001657CA" w:rsidP="000F2D7B">
      <w:r>
        <w:rPr>
          <w:b/>
        </w:rPr>
        <w:t xml:space="preserve">Članak 4. </w:t>
      </w:r>
      <w:r>
        <w:t>Kao dokumentaciju o usklađenosti sa zahtjevima iz članka 3. točke 1. o automatskim vagama koje se stavljaju na tržište ili prodaju za uporabu i koje su obuhvaćene člankom 1. stavkom 1., dobavljač opreme osigurava da su Danskoj agenciji za sigurnosnu tehnologiju dostupni:</w:t>
      </w:r>
    </w:p>
    <w:p w14:paraId="14A15F58" w14:textId="61010D16" w:rsidR="002827E1" w:rsidRPr="0039240C" w:rsidRDefault="002827E1" w:rsidP="002827E1">
      <w:pPr>
        <w:pStyle w:val="ListNumber"/>
        <w:numPr>
          <w:ilvl w:val="0"/>
          <w:numId w:val="11"/>
        </w:numPr>
      </w:pPr>
      <w:r>
        <w:t>podaci o subjektu koji je proizveo instrument.</w:t>
      </w:r>
    </w:p>
    <w:p w14:paraId="0DD37F2D" w14:textId="78CF02C9" w:rsidR="002827E1" w:rsidRPr="0039240C" w:rsidRDefault="002239F2" w:rsidP="002827E1">
      <w:pPr>
        <w:pStyle w:val="ListNumber"/>
        <w:numPr>
          <w:ilvl w:val="0"/>
          <w:numId w:val="11"/>
        </w:numPr>
      </w:pPr>
      <w:r>
        <w:t>podaci o instrumentu kojima se on jedinstveno identificira navođenjem oznake tipa, broja proizvodnje, serijskog broja ili slično.</w:t>
      </w:r>
    </w:p>
    <w:p w14:paraId="05C28A6A" w14:textId="2A65BF90" w:rsidR="002827E1" w:rsidRPr="0039240C" w:rsidRDefault="002827E1" w:rsidP="002827E1">
      <w:pPr>
        <w:pStyle w:val="ListNumber"/>
        <w:numPr>
          <w:ilvl w:val="0"/>
          <w:numId w:val="11"/>
        </w:numPr>
      </w:pPr>
      <w:r>
        <w:t>Opći opis nacrta i funkcionalnosti instrumenta.</w:t>
      </w:r>
    </w:p>
    <w:p w14:paraId="0C820F47" w14:textId="7E3E9EB4" w:rsidR="00C23E95" w:rsidRPr="0039240C" w:rsidRDefault="002827E1" w:rsidP="002239F2">
      <w:pPr>
        <w:pStyle w:val="ListNumber"/>
        <w:numPr>
          <w:ilvl w:val="0"/>
          <w:numId w:val="11"/>
        </w:numPr>
      </w:pPr>
      <w:r>
        <w:t>Dokumentacija o provedenim pregledima i testovima koja pokazuje da instrument ispunjava zahtjeve za točnost (vidi članak 3. stavak 1. točku 1.).</w:t>
      </w:r>
    </w:p>
    <w:p w14:paraId="6844B6F0" w14:textId="14D9FF90" w:rsidR="009B5880" w:rsidRPr="0039240C" w:rsidRDefault="00B84A09" w:rsidP="002239F2">
      <w:pPr>
        <w:pStyle w:val="ListNumber"/>
        <w:numPr>
          <w:ilvl w:val="0"/>
          <w:numId w:val="11"/>
        </w:numPr>
      </w:pPr>
      <w:r>
        <w:t xml:space="preserve">Oznaku gdje je pričvršćen pečat. </w:t>
      </w:r>
    </w:p>
    <w:p w14:paraId="7A411EEB" w14:textId="77777777" w:rsidR="002239F2" w:rsidRPr="0039240C" w:rsidRDefault="002239F2" w:rsidP="002239F2">
      <w:pPr>
        <w:pStyle w:val="ListNumber"/>
        <w:numPr>
          <w:ilvl w:val="0"/>
          <w:numId w:val="0"/>
        </w:numPr>
        <w:ind w:left="720"/>
      </w:pPr>
    </w:p>
    <w:p w14:paraId="5ED3C6AE" w14:textId="0652E0B7" w:rsidR="00E40B0D" w:rsidRPr="0039240C" w:rsidRDefault="00E40B0D" w:rsidP="0039240C">
      <w:pPr>
        <w:pStyle w:val="ListNumber"/>
        <w:numPr>
          <w:ilvl w:val="0"/>
          <w:numId w:val="0"/>
        </w:numPr>
        <w:ind w:firstLine="180"/>
      </w:pPr>
      <w:r>
        <w:rPr>
          <w:i/>
        </w:rPr>
        <w:t>Stavak 2.</w:t>
      </w:r>
      <w:r>
        <w:t xml:space="preserve"> Ako se ne koriste ni jedne norme niti preporuke OIML-a (vidi članak 3. stavak 2.) ili se djelomično koriste, dobavljač opreme također osigurava da su Danskoj agenciji za sigurnosnu tehnologiju dostupni:</w:t>
      </w:r>
    </w:p>
    <w:p w14:paraId="2A1EF94B" w14:textId="38AACD3C" w:rsidR="00C23E95" w:rsidRPr="0039240C" w:rsidRDefault="00C23E95" w:rsidP="00C23E95">
      <w:pPr>
        <w:pStyle w:val="ListNumber"/>
        <w:numPr>
          <w:ilvl w:val="0"/>
          <w:numId w:val="14"/>
        </w:numPr>
      </w:pPr>
      <w:r>
        <w:t>Konceptualni nacrt te proizvodni crteži kao i povezani opisi i objašnjenja.</w:t>
      </w:r>
    </w:p>
    <w:p w14:paraId="3D8E181D" w14:textId="22B7C313" w:rsidR="00C23E95" w:rsidRPr="0039240C" w:rsidRDefault="00C23E95" w:rsidP="00C23E95">
      <w:pPr>
        <w:pStyle w:val="ListNumber"/>
        <w:numPr>
          <w:ilvl w:val="0"/>
          <w:numId w:val="14"/>
        </w:numPr>
      </w:pPr>
      <w:r>
        <w:t>Opisi u kojima se navodi da automatska vaga ispunjava zahtjeve iz članka 3. stavka 1. točke 2.</w:t>
      </w:r>
    </w:p>
    <w:p w14:paraId="7D7A3638" w14:textId="77777777" w:rsidR="007C27C8" w:rsidRPr="0039240C" w:rsidRDefault="007C27C8" w:rsidP="00907775">
      <w:pPr>
        <w:pStyle w:val="ListNumber"/>
        <w:numPr>
          <w:ilvl w:val="0"/>
          <w:numId w:val="0"/>
        </w:numPr>
        <w:ind w:left="360" w:hanging="360"/>
      </w:pPr>
    </w:p>
    <w:p w14:paraId="7EC365B3" w14:textId="2C181F66" w:rsidR="00907775" w:rsidRPr="0039240C" w:rsidRDefault="00907775" w:rsidP="0039240C">
      <w:pPr>
        <w:pStyle w:val="ListNumber"/>
        <w:numPr>
          <w:ilvl w:val="0"/>
          <w:numId w:val="0"/>
        </w:numPr>
        <w:ind w:firstLine="180"/>
      </w:pPr>
      <w:r>
        <w:rPr>
          <w:i/>
        </w:rPr>
        <w:t>Stavak 3.</w:t>
      </w:r>
      <w:r>
        <w:t xml:space="preserve"> Dobavljač opreme čuva dokumentaciju (vidi stavke 1. i 2.) 10 godina nakon stavljanja automatske vage na tržište.</w:t>
      </w:r>
    </w:p>
    <w:p w14:paraId="66731C48" w14:textId="77777777" w:rsidR="00F1611D" w:rsidRPr="0039240C" w:rsidRDefault="004320C5" w:rsidP="00F1611D">
      <w:pPr>
        <w:jc w:val="center"/>
      </w:pPr>
      <w:r>
        <w:t>Poglavlje 4.</w:t>
      </w:r>
    </w:p>
    <w:p w14:paraId="6910D324" w14:textId="36EBD490" w:rsidR="00F1611D" w:rsidRPr="0039240C" w:rsidRDefault="00C52BD0" w:rsidP="00F1611D">
      <w:pPr>
        <w:jc w:val="center"/>
        <w:rPr>
          <w:i/>
        </w:rPr>
      </w:pPr>
      <w:r>
        <w:rPr>
          <w:i/>
        </w:rPr>
        <w:t>Zahtjevi za vlasnika instrumenta</w:t>
      </w:r>
    </w:p>
    <w:p w14:paraId="6AAAAC45" w14:textId="77777777" w:rsidR="0039240C" w:rsidRPr="0039240C" w:rsidRDefault="00C52BD0" w:rsidP="0039240C">
      <w:pPr>
        <w:spacing w:after="0"/>
      </w:pPr>
      <w:r>
        <w:rPr>
          <w:b/>
        </w:rPr>
        <w:t xml:space="preserve">Članak 5. </w:t>
      </w:r>
      <w:r>
        <w:t xml:space="preserve">U svrhe obuhvaćene člankom 1. stavkom 1., vlasnik instrumenta koristi automatsku vagu koja ispunjava zahtjeve iz Naredbe o stavljanju mjernih instrumenata na tržište te koja je označena u skladu s </w:t>
      </w:r>
      <w:r>
        <w:lastRenderedPageBreak/>
        <w:t>tom Naredbom ili s automatskom vagom obuhvaćenom člankom 3. (osim navedenog u članku 16. stavku 3.).</w:t>
      </w:r>
    </w:p>
    <w:p w14:paraId="4580F5E0" w14:textId="27F0ADDE" w:rsidR="00C47B3E" w:rsidRPr="0039240C" w:rsidRDefault="00DE458E" w:rsidP="0039240C">
      <w:pPr>
        <w:ind w:firstLine="180"/>
      </w:pPr>
      <w:r>
        <w:rPr>
          <w:i/>
        </w:rPr>
        <w:t xml:space="preserve">Stavak 2. </w:t>
      </w:r>
      <w:r>
        <w:t>Vlasnik instrumenta osigurava da se instrument instalira u skladu s uputama proizvođača.</w:t>
      </w:r>
    </w:p>
    <w:p w14:paraId="7F657E7E" w14:textId="4AA06658" w:rsidR="00C47B3E" w:rsidRPr="0039240C" w:rsidRDefault="00B722DE" w:rsidP="00F1611D">
      <w:r>
        <w:rPr>
          <w:b/>
        </w:rPr>
        <w:t xml:space="preserve">Članak 6. </w:t>
      </w:r>
      <w:r>
        <w:t>U slučaju automatske vage obuhvaćene Naredbom o stavljanju mjernih instrumenata na tržište, vlasnik instrumenta koristi instrument koji je primjeren za točna mjerenja u namijenjenoj ili mogućoj primjeni. Kao temelj za odabir instrumenta, vlasnik instrumenta koristi vrijednosti koje je prijavio proizvođač (vidi Prilog 1. točku 1.3. i Prilog 8. poglavlje 1. točku 1. Naredbe o stavljanju mjernih instrumenata na tržište) za</w:t>
      </w:r>
    </w:p>
    <w:p w14:paraId="73B2AC18" w14:textId="3CAF9246" w:rsidR="00C47B3E" w:rsidRPr="0039240C" w:rsidRDefault="00F30503" w:rsidP="00C47B3E">
      <w:pPr>
        <w:pStyle w:val="ListParagraph"/>
        <w:numPr>
          <w:ilvl w:val="0"/>
          <w:numId w:val="3"/>
        </w:numPr>
      </w:pPr>
      <w:r>
        <w:t>klimatska, mehanička i elektromagnetska okruženja u kojima se instrument namjerava koristiti te za napajanje i utjecajne veličine koji mogu utjecati na točnost instrumenta i</w:t>
      </w:r>
    </w:p>
    <w:p w14:paraId="7BCCCA3A" w14:textId="62FC7E72" w:rsidR="00E910C0" w:rsidRPr="0039240C" w:rsidRDefault="00F30503" w:rsidP="000B6915">
      <w:pPr>
        <w:pStyle w:val="ListParagraph"/>
        <w:numPr>
          <w:ilvl w:val="0"/>
          <w:numId w:val="3"/>
        </w:numPr>
      </w:pPr>
      <w:r>
        <w:t>procijenjene uvjete rada.</w:t>
      </w:r>
    </w:p>
    <w:p w14:paraId="330E8A71" w14:textId="46EB9837" w:rsidR="00210CDC" w:rsidRPr="0039240C" w:rsidRDefault="00210CDC" w:rsidP="00210CDC">
      <w:pPr>
        <w:jc w:val="center"/>
        <w:rPr>
          <w:i/>
        </w:rPr>
      </w:pPr>
      <w:r>
        <w:rPr>
          <w:i/>
        </w:rPr>
        <w:t xml:space="preserve">Razredi točnosti </w:t>
      </w:r>
    </w:p>
    <w:p w14:paraId="52CE1679" w14:textId="76368323" w:rsidR="00414889" w:rsidRPr="0039240C" w:rsidRDefault="00414889" w:rsidP="00414889">
      <w:r>
        <w:rPr>
          <w:b/>
        </w:rPr>
        <w:t xml:space="preserve">Članak 7. </w:t>
      </w:r>
      <w:r>
        <w:t>Kako je navedemo u Prilogu 8. Naredbi o stavljanju mjernih instrumenata na tržište, ovisno o namijenjenom području primjene, vlasnik instrumenta koristi automatske vage sljedećih razreda točnosti:</w:t>
      </w:r>
    </w:p>
    <w:p w14:paraId="4740F407" w14:textId="77777777" w:rsidR="00414889" w:rsidRPr="0039240C" w:rsidRDefault="00414889" w:rsidP="00414889">
      <w:pPr>
        <w:pStyle w:val="ListParagraph"/>
        <w:numPr>
          <w:ilvl w:val="0"/>
          <w:numId w:val="18"/>
        </w:numPr>
      </w:pPr>
      <w:r>
        <w:t>Automatske vage za pojedinačno vaganje u kategoriji X:</w:t>
      </w:r>
    </w:p>
    <w:p w14:paraId="21DE82BE" w14:textId="77777777" w:rsidR="00414889" w:rsidRPr="0039240C" w:rsidRDefault="00414889" w:rsidP="00414889">
      <w:pPr>
        <w:pStyle w:val="ListParagraph"/>
        <w:numPr>
          <w:ilvl w:val="1"/>
          <w:numId w:val="18"/>
        </w:numPr>
      </w:pPr>
      <w:r>
        <w:t>Za provjeru pakiranih proizvoda, uključujući e-označene proizvode koriste se instrumenti razreda točnosti XIII ili većeg (osim navedenog u točki 1.b).</w:t>
      </w:r>
    </w:p>
    <w:p w14:paraId="704A7076" w14:textId="77777777" w:rsidR="00414889" w:rsidRPr="0039240C" w:rsidRDefault="00414889" w:rsidP="00414889">
      <w:pPr>
        <w:pStyle w:val="ListParagraph"/>
        <w:numPr>
          <w:ilvl w:val="1"/>
          <w:numId w:val="18"/>
        </w:numPr>
      </w:pPr>
      <w:r>
        <w:t>Instrumenti koji se koriste za provjeru pakiranih proizvoda jedinica niske vrijednosti, koji nisu e-označeni (kao što su pijesak, šljunak, žbuka i otpad koji nije opasan) te instrumenti koji se koriste za određivanje naknade za prijevoz, osim pošte, izuzeti su od zahtjeva iz točke 1.a. Za takve primjene mogu se koristiti instrumenti razreda točnosti XIV ili višeg.</w:t>
      </w:r>
    </w:p>
    <w:p w14:paraId="72C95CF8" w14:textId="77777777" w:rsidR="00414889" w:rsidRPr="0039240C" w:rsidRDefault="00414889" w:rsidP="00414889">
      <w:pPr>
        <w:pStyle w:val="ListParagraph"/>
        <w:numPr>
          <w:ilvl w:val="0"/>
          <w:numId w:val="18"/>
        </w:numPr>
      </w:pPr>
      <w:r>
        <w:t>Automatske vage za pojedinačno vaganje u kategoriji Y:</w:t>
      </w:r>
    </w:p>
    <w:p w14:paraId="32008AE8" w14:textId="77777777" w:rsidR="00414889" w:rsidRPr="0039240C" w:rsidRDefault="00414889" w:rsidP="00414889">
      <w:pPr>
        <w:pStyle w:val="ListParagraph"/>
        <w:numPr>
          <w:ilvl w:val="1"/>
          <w:numId w:val="18"/>
        </w:numPr>
      </w:pPr>
      <w:r>
        <w:t>Koriste se instrumenti razreda točnosti Y(a) ili višeg (osim navedenog u točki 2.b).</w:t>
      </w:r>
    </w:p>
    <w:p w14:paraId="59DDC703" w14:textId="77777777" w:rsidR="00414889" w:rsidRPr="0039240C" w:rsidRDefault="00414889" w:rsidP="00414889">
      <w:pPr>
        <w:pStyle w:val="ListParagraph"/>
        <w:numPr>
          <w:ilvl w:val="1"/>
          <w:numId w:val="18"/>
        </w:numPr>
      </w:pPr>
      <w:r>
        <w:t>Instrumenti koji se koriste za vaganje proizvoda jedinica niske vrijednosti (kao što su pijesak, šljunak, žbuka i otpad koji nije opasan) te instrumenti koji se koriste za određivanje naknade za prijevoz, osim pošte, izuzeti su od zahtjeva iz točke 2.a. Za takve primjene mogu se koristiti instrumenti razreda točnosti Y(b) ili višeg.</w:t>
      </w:r>
    </w:p>
    <w:p w14:paraId="2C28AB0A" w14:textId="77777777" w:rsidR="00414889" w:rsidRPr="0039240C" w:rsidRDefault="00414889" w:rsidP="00414889">
      <w:pPr>
        <w:pStyle w:val="ListParagraph"/>
        <w:numPr>
          <w:ilvl w:val="0"/>
          <w:numId w:val="18"/>
        </w:numPr>
      </w:pPr>
      <w:r>
        <w:t>Automatski gravimetrijski uređaji za punjenje:</w:t>
      </w:r>
    </w:p>
    <w:p w14:paraId="2F365628" w14:textId="77777777" w:rsidR="00414889" w:rsidRPr="0039240C" w:rsidRDefault="00414889" w:rsidP="00414889">
      <w:pPr>
        <w:pStyle w:val="ListParagraph"/>
        <w:numPr>
          <w:ilvl w:val="1"/>
          <w:numId w:val="18"/>
        </w:numPr>
      </w:pPr>
      <w:r>
        <w:t>Koriste se instrumenti razreda točnosti Y(1) ili višeg (osim navedenog u točki 3.b).</w:t>
      </w:r>
    </w:p>
    <w:p w14:paraId="529406DC" w14:textId="77777777" w:rsidR="00414889" w:rsidRPr="0039240C" w:rsidRDefault="00414889" w:rsidP="00414889">
      <w:pPr>
        <w:pStyle w:val="ListParagraph"/>
        <w:numPr>
          <w:ilvl w:val="1"/>
          <w:numId w:val="18"/>
        </w:numPr>
      </w:pPr>
      <w:r>
        <w:t>Instrumenti koji se koriste za vaganje proizvoda jedinica niske vrijednosti (kao što su pijesak, šljunak, žbuka i otpad koji nije opasan) te instrumenti koji se koriste za određivanje naknade za prijevoz izuzeti su od zahtjeva iz točke 3.a. Za takve primjene mogu se koristiti instrumenti razreda točnosti X(2) ili višeg.</w:t>
      </w:r>
    </w:p>
    <w:p w14:paraId="13D806F5" w14:textId="77777777" w:rsidR="00414889" w:rsidRPr="0039240C" w:rsidRDefault="00414889" w:rsidP="00414889">
      <w:pPr>
        <w:pStyle w:val="ListParagraph"/>
        <w:numPr>
          <w:ilvl w:val="0"/>
          <w:numId w:val="18"/>
        </w:numPr>
      </w:pPr>
      <w:r>
        <w:t>Vage s funkcijom zbrajanja nepovezanih rezultata mjerenja:</w:t>
      </w:r>
    </w:p>
    <w:p w14:paraId="618FA118" w14:textId="77777777" w:rsidR="00414889" w:rsidRPr="0039240C" w:rsidRDefault="00414889" w:rsidP="00414889">
      <w:pPr>
        <w:pStyle w:val="ListParagraph"/>
        <w:numPr>
          <w:ilvl w:val="1"/>
          <w:numId w:val="18"/>
        </w:numPr>
      </w:pPr>
      <w:r>
        <w:t>Koriste se instrumenti razreda točnosti 1 ili višeg (osim navedenog u točki 4.b).</w:t>
      </w:r>
    </w:p>
    <w:p w14:paraId="5E24097B" w14:textId="77777777" w:rsidR="00414889" w:rsidRPr="0039240C" w:rsidRDefault="00414889" w:rsidP="00414889">
      <w:pPr>
        <w:pStyle w:val="ListParagraph"/>
        <w:numPr>
          <w:ilvl w:val="1"/>
          <w:numId w:val="18"/>
        </w:numPr>
      </w:pPr>
      <w:r>
        <w:t>Instrumenti koji se koriste za vaganje proizvoda jedinica niske vrijednosti (kao što su pijesak, šljunak, žbuka i otpad koji nije opasan) te instrumenti koji se koriste za određivanje naknade za prijevoz izuzeti su od zahtjeva iz točke 4.a. Za takve primjene mogu se koristiti instrumenti razreda točnosti 2 ili višeg.</w:t>
      </w:r>
    </w:p>
    <w:p w14:paraId="278CA5E0" w14:textId="77777777" w:rsidR="00414889" w:rsidRPr="0039240C" w:rsidRDefault="00414889" w:rsidP="00A7657E">
      <w:pPr>
        <w:pStyle w:val="ListParagraph"/>
        <w:keepNext/>
        <w:keepLines/>
        <w:numPr>
          <w:ilvl w:val="0"/>
          <w:numId w:val="18"/>
        </w:numPr>
      </w:pPr>
      <w:r>
        <w:lastRenderedPageBreak/>
        <w:t>Vage s neprekidnim zbrajanjem:</w:t>
      </w:r>
      <w:bookmarkStart w:id="0" w:name="_GoBack"/>
      <w:bookmarkEnd w:id="0"/>
    </w:p>
    <w:p w14:paraId="59C45552" w14:textId="77777777" w:rsidR="00414889" w:rsidRPr="0039240C" w:rsidRDefault="00414889" w:rsidP="00414889">
      <w:pPr>
        <w:pStyle w:val="ListParagraph"/>
        <w:numPr>
          <w:ilvl w:val="1"/>
          <w:numId w:val="18"/>
        </w:numPr>
      </w:pPr>
      <w:r>
        <w:t>Koriste se instrumenti razreda točnosti 1 ili višeg (osim navedenog u točki 5.b).</w:t>
      </w:r>
    </w:p>
    <w:p w14:paraId="5C0A078D" w14:textId="77777777" w:rsidR="00414889" w:rsidRPr="0039240C" w:rsidRDefault="00414889" w:rsidP="00414889">
      <w:pPr>
        <w:pStyle w:val="ListParagraph"/>
        <w:numPr>
          <w:ilvl w:val="1"/>
          <w:numId w:val="18"/>
        </w:numPr>
      </w:pPr>
      <w:r>
        <w:t>Instrumenti koji se koriste za vaganje proizvoda jedinica niske vrijednosti (kao što su pijesak, šljunak, žbuka i otpad koji nije opasan) te instrumenti koji se koriste za određivanje naknade za prijevoz, osim pošte, izuzeti su od zahtjeva iz točke 5.a. Za takve primjene mogu se koristiti instrumenti razreda točnosti 2 ili višeg.</w:t>
      </w:r>
    </w:p>
    <w:p w14:paraId="07D0811F" w14:textId="77777777" w:rsidR="00414889" w:rsidRPr="0039240C" w:rsidRDefault="00414889" w:rsidP="00414889">
      <w:pPr>
        <w:pStyle w:val="ListParagraph"/>
        <w:numPr>
          <w:ilvl w:val="0"/>
          <w:numId w:val="18"/>
        </w:numPr>
      </w:pPr>
      <w:r>
        <w:t>Automatske vage za vaganje pomičnih pružnih vozila:</w:t>
      </w:r>
    </w:p>
    <w:p w14:paraId="64F62E05" w14:textId="77777777" w:rsidR="00414889" w:rsidRPr="0039240C" w:rsidRDefault="00414889" w:rsidP="00414889">
      <w:pPr>
        <w:pStyle w:val="ListParagraph"/>
        <w:numPr>
          <w:ilvl w:val="1"/>
          <w:numId w:val="18"/>
        </w:numPr>
      </w:pPr>
      <w:r>
        <w:t>Koriste se instrumenti razreda točnosti 1 ili višeg (osim navedenog u točki 6.b).</w:t>
      </w:r>
    </w:p>
    <w:p w14:paraId="0B8BD3E7" w14:textId="091DBA91" w:rsidR="00414889" w:rsidRPr="0039240C" w:rsidRDefault="00414889" w:rsidP="00414889">
      <w:pPr>
        <w:pStyle w:val="ListParagraph"/>
        <w:numPr>
          <w:ilvl w:val="1"/>
          <w:numId w:val="18"/>
        </w:numPr>
      </w:pPr>
      <w:r>
        <w:t>Instrumenti koji se koriste za vaganje proizvoda jedinica niske vrijednosti (kao što su pijesak, šljunak, žbuka i otpad koji nije opasan) te instrumenti koji se koriste za određivanje naknade za prijevoz izuzeti su od zahtjeva iz točke 6.a. Za takve primjene mogu se koristiti instrumenti razreda točnosti 2 ili višeg.</w:t>
      </w:r>
    </w:p>
    <w:p w14:paraId="5E318DD6" w14:textId="7711D278" w:rsidR="0009683E" w:rsidRPr="0039240C" w:rsidRDefault="0009683E" w:rsidP="00186E5F">
      <w:pPr>
        <w:jc w:val="center"/>
        <w:rPr>
          <w:i/>
        </w:rPr>
      </w:pPr>
      <w:proofErr w:type="spellStart"/>
      <w:r>
        <w:rPr>
          <w:i/>
        </w:rPr>
        <w:t>Samonadzor</w:t>
      </w:r>
      <w:proofErr w:type="spellEnd"/>
    </w:p>
    <w:p w14:paraId="3C435101" w14:textId="77777777" w:rsidR="0039240C" w:rsidRPr="0039240C" w:rsidRDefault="0009683E" w:rsidP="0039240C">
      <w:pPr>
        <w:spacing w:after="0"/>
      </w:pPr>
      <w:r>
        <w:rPr>
          <w:b/>
        </w:rPr>
        <w:t xml:space="preserve">Članak 8. </w:t>
      </w:r>
      <w:r>
        <w:t xml:space="preserve">U slučaju automatskih vaga koje se koriste za mjerenje mase i za koje se plaćanja provode izravno od krajnjeg korisnika na temelju mjerenja, vlasnik instrumenta uspostavlja sustav </w:t>
      </w:r>
      <w:proofErr w:type="spellStart"/>
      <w:r>
        <w:t>samonadzora</w:t>
      </w:r>
      <w:proofErr w:type="spellEnd"/>
      <w:r>
        <w:t xml:space="preserve"> kojim se omogućuje dovoljno jamstva da se ne premaši tolerancija usluge (vidi stavak 3.). </w:t>
      </w:r>
    </w:p>
    <w:p w14:paraId="2A53B347" w14:textId="77777777" w:rsidR="0039240C" w:rsidRPr="0039240C" w:rsidRDefault="008038B4" w:rsidP="0039240C">
      <w:pPr>
        <w:spacing w:after="0"/>
        <w:ind w:firstLine="187"/>
      </w:pPr>
      <w:r>
        <w:rPr>
          <w:i/>
        </w:rPr>
        <w:t>Stavak 2.</w:t>
      </w:r>
      <w:r>
        <w:t xml:space="preserve"> </w:t>
      </w:r>
      <w:proofErr w:type="spellStart"/>
      <w:r>
        <w:t>Samonadzor</w:t>
      </w:r>
      <w:proofErr w:type="spellEnd"/>
      <w:r>
        <w:t xml:space="preserve"> (vidi stavak 1.) se temelji na mjerenjima koja su mjeriteljski </w:t>
      </w:r>
      <w:proofErr w:type="spellStart"/>
      <w:r>
        <w:t>sljediva</w:t>
      </w:r>
      <w:proofErr w:type="spellEnd"/>
      <w:r>
        <w:t>.</w:t>
      </w:r>
    </w:p>
    <w:p w14:paraId="0E150ECC" w14:textId="7EAA8DB4" w:rsidR="0039240C" w:rsidRPr="0039240C" w:rsidRDefault="008038B4" w:rsidP="0039240C">
      <w:pPr>
        <w:spacing w:after="0"/>
        <w:ind w:firstLine="187"/>
      </w:pPr>
      <w:r>
        <w:rPr>
          <w:i/>
        </w:rPr>
        <w:t xml:space="preserve">Stavak 3. </w:t>
      </w:r>
      <w:r>
        <w:t>Tolerancija usluge jednaka je dvostrukoj toleranciji koja je bila primjenjiva kad je automatska vaga stavljena na tržište.</w:t>
      </w:r>
    </w:p>
    <w:p w14:paraId="62D74645" w14:textId="700B2960" w:rsidR="0039240C" w:rsidRPr="0039240C" w:rsidRDefault="00B91AB7" w:rsidP="0039240C">
      <w:pPr>
        <w:spacing w:after="0"/>
        <w:ind w:firstLine="187"/>
      </w:pPr>
      <w:r>
        <w:rPr>
          <w:i/>
        </w:rPr>
        <w:t xml:space="preserve">Stavak 4. </w:t>
      </w:r>
      <w:r>
        <w:t>Vlasnik instrumenta ne smije prilagođavati automatsku vagu kako bi se iskoristila najveća dopuštena pogreška ili sustavno podilazilo određenoj strani.</w:t>
      </w:r>
    </w:p>
    <w:p w14:paraId="576D88E6" w14:textId="773F32CB" w:rsidR="0009683E" w:rsidRPr="0039240C" w:rsidRDefault="008038B4" w:rsidP="0039240C">
      <w:pPr>
        <w:ind w:firstLine="180"/>
      </w:pPr>
      <w:r>
        <w:rPr>
          <w:i/>
        </w:rPr>
        <w:t xml:space="preserve">Stavak 5. </w:t>
      </w:r>
      <w:r>
        <w:t>Na zahtjev Danske agencije za sigurnosnu tehnologiju vlasnik instrumenta treba biti u mogućnosti prikazati usklađenost automatskih vaga koje se koriste za mjerenje mase i za koje se plaćanja provode izravno od krajnjeg korisnika na temelju mjerenja sa stavkom 1.</w:t>
      </w:r>
    </w:p>
    <w:p w14:paraId="164F1F28" w14:textId="2E1B3C8F" w:rsidR="00186E5F" w:rsidRPr="0039240C" w:rsidRDefault="00186E5F" w:rsidP="00186E5F">
      <w:pPr>
        <w:jc w:val="center"/>
        <w:rPr>
          <w:i/>
        </w:rPr>
      </w:pPr>
      <w:r>
        <w:rPr>
          <w:i/>
        </w:rPr>
        <w:t>Ponovna provjera</w:t>
      </w:r>
    </w:p>
    <w:p w14:paraId="4E8C9DBE" w14:textId="77777777" w:rsidR="0039240C" w:rsidRPr="0039240C" w:rsidRDefault="000F1A44" w:rsidP="0039240C">
      <w:pPr>
        <w:spacing w:after="0"/>
      </w:pPr>
      <w:r>
        <w:rPr>
          <w:b/>
        </w:rPr>
        <w:t xml:space="preserve">Članak 9. </w:t>
      </w:r>
      <w:r>
        <w:t>Ako je pečat na automatskoj vagi koja se koristi u skladu s člankom 1. stavkom 1. prelomljen ili je instrument podvrgnut radnjama koje mogu utjecati na njegovu sposobnost vaganja, vlasnik instrumenta osigurava da se instrument ne koristi sve dok ne bude ponovno provjeren.</w:t>
      </w:r>
    </w:p>
    <w:p w14:paraId="74A20052" w14:textId="54A2699E" w:rsidR="0039240C" w:rsidRPr="0039240C" w:rsidRDefault="00714025" w:rsidP="0039240C">
      <w:pPr>
        <w:spacing w:after="0"/>
        <w:ind w:firstLine="180"/>
      </w:pPr>
      <w:r>
        <w:rPr>
          <w:i/>
        </w:rPr>
        <w:t xml:space="preserve">Stavak 2. </w:t>
      </w:r>
      <w:r>
        <w:t>Vlasnik instrumenta osigurava da je automatska vaga ponovno provjerena barem tako da je njezina tolerancija unutar najveće dopuštene pogreške za određeno područje primjene.</w:t>
      </w:r>
    </w:p>
    <w:p w14:paraId="7A77008A" w14:textId="75BABA79" w:rsidR="00F54E97" w:rsidRPr="0039240C" w:rsidRDefault="002F7BEC" w:rsidP="0039240C">
      <w:pPr>
        <w:ind w:firstLine="180"/>
      </w:pPr>
      <w:r>
        <w:rPr>
          <w:i/>
        </w:rPr>
        <w:t>Stavak 3.</w:t>
      </w:r>
      <w:r>
        <w:t xml:space="preserve"> Automatska vaga može se koristiti samo u području primjene za koji je ponovno provjerena.</w:t>
      </w:r>
    </w:p>
    <w:p w14:paraId="582BE532" w14:textId="634BACD2" w:rsidR="00160157" w:rsidRPr="0039240C" w:rsidRDefault="00790889" w:rsidP="00F1611D">
      <w:r>
        <w:rPr>
          <w:b/>
        </w:rPr>
        <w:t xml:space="preserve">Članak 10. </w:t>
      </w:r>
      <w:r>
        <w:t>Ponovna provjera sastoji se od sljedećih radnji:</w:t>
      </w:r>
    </w:p>
    <w:p w14:paraId="5F630B9E" w14:textId="2941E1CA" w:rsidR="00160157" w:rsidRPr="0039240C" w:rsidRDefault="00160157" w:rsidP="00160157">
      <w:pPr>
        <w:pStyle w:val="ListNumber"/>
        <w:numPr>
          <w:ilvl w:val="0"/>
          <w:numId w:val="16"/>
        </w:numPr>
      </w:pPr>
      <w:r>
        <w:t>Identifikacijski instrument kojim se utvrđuje odgovara li instrument identifikacijskoj značajki navedenoj u važećoj potvrdi EU-a o ispitivanju tipa, važećoj nacionalnoj homologaciji tipa, homologaciji tipa EEZ-a ili u drugoj tehničkoj dokumentaciji u kojoj je prikazano da je instrument u skladu s primjenjivim pravilima.</w:t>
      </w:r>
    </w:p>
    <w:p w14:paraId="75C19CB7" w14:textId="00CBACDE" w:rsidR="00160157" w:rsidRPr="0039240C" w:rsidRDefault="00160157" w:rsidP="00160157">
      <w:pPr>
        <w:pStyle w:val="ListNumber"/>
        <w:numPr>
          <w:ilvl w:val="0"/>
          <w:numId w:val="16"/>
        </w:numPr>
      </w:pPr>
      <w:r>
        <w:t xml:space="preserve">Određivanje je li tolerancija instrumenta unutar najveće dopuštene pogreške za određeno područje primjene. </w:t>
      </w:r>
    </w:p>
    <w:p w14:paraId="27B6DCAA" w14:textId="73FD3445" w:rsidR="00160157" w:rsidRPr="0039240C" w:rsidRDefault="000C31C1" w:rsidP="007410EE">
      <w:pPr>
        <w:pStyle w:val="ListNumber"/>
        <w:numPr>
          <w:ilvl w:val="0"/>
          <w:numId w:val="16"/>
        </w:numPr>
      </w:pPr>
      <w:r>
        <w:t>Pečaćenje instrumenta, ako je u skladu sa zahtjevima iz točke 1. i 2.</w:t>
      </w:r>
    </w:p>
    <w:p w14:paraId="155C07DB" w14:textId="77777777" w:rsidR="00160157" w:rsidRPr="0039240C" w:rsidRDefault="00160157" w:rsidP="00160157">
      <w:pPr>
        <w:pStyle w:val="ListNumber"/>
        <w:numPr>
          <w:ilvl w:val="0"/>
          <w:numId w:val="0"/>
        </w:numPr>
        <w:ind w:left="720"/>
      </w:pPr>
    </w:p>
    <w:p w14:paraId="1A183C74" w14:textId="513B3963" w:rsidR="00160157" w:rsidRPr="0039240C" w:rsidRDefault="00160157" w:rsidP="00DB58A5">
      <w:pPr>
        <w:pStyle w:val="ListNumber"/>
        <w:numPr>
          <w:ilvl w:val="0"/>
          <w:numId w:val="0"/>
        </w:numPr>
        <w:ind w:firstLine="142"/>
      </w:pPr>
      <w:r>
        <w:rPr>
          <w:i/>
        </w:rPr>
        <w:lastRenderedPageBreak/>
        <w:t>Stavak 2.</w:t>
      </w:r>
      <w:r>
        <w:t xml:space="preserve"> Ponovna provjera provodi se u skladu s odgovarajućim normama, preporukama OIML-a ili smjernicama WELMEC-a, kao i sa specifikacijama iz važeće potvrde EU-a o ispitivanju tipa, važeće nacionalne homologacije tipa, homologacije tipa EEZ-a ili druge jednakovrijedne, odgovarajuće tehničke dokumentacije.</w:t>
      </w:r>
    </w:p>
    <w:p w14:paraId="425C9682" w14:textId="188DAEFE" w:rsidR="00C53CA2" w:rsidRPr="0039240C" w:rsidRDefault="00790889" w:rsidP="00F1611D">
      <w:r>
        <w:rPr>
          <w:b/>
        </w:rPr>
        <w:t xml:space="preserve">Članak 11. </w:t>
      </w:r>
      <w:r>
        <w:t>Vlasnik instrumenta obvezan je zatražiti ponovnu provjeru od poduzeća koje</w:t>
      </w:r>
    </w:p>
    <w:p w14:paraId="7506D41D" w14:textId="7177A96F" w:rsidR="00087EDB" w:rsidRPr="0039240C" w:rsidRDefault="00087EDB" w:rsidP="00C53CA2">
      <w:pPr>
        <w:pStyle w:val="ListParagraph"/>
        <w:numPr>
          <w:ilvl w:val="0"/>
          <w:numId w:val="5"/>
        </w:numPr>
      </w:pPr>
      <w:r>
        <w:t>ima sjedište u Danskoj te akreditaciju od Danskog akreditacijskog fonda (DANAK) ili jednakovrijednog akreditacijskog tijela koje je potpisnik odgovarajućih multilateralnih sporazuma o međusobnom priznavanju EA-a, ILAC-a ili IAF-a te je osposobljeno za provođenje ponovnih provjera u skladu s ovom naredbom ili</w:t>
      </w:r>
    </w:p>
    <w:p w14:paraId="446A931A" w14:textId="2DD70FEE" w:rsidR="00660ABE" w:rsidRPr="0039240C" w:rsidRDefault="00087EDB" w:rsidP="00660ABE">
      <w:pPr>
        <w:pStyle w:val="ListParagraph"/>
        <w:numPr>
          <w:ilvl w:val="0"/>
          <w:numId w:val="5"/>
        </w:numPr>
      </w:pPr>
      <w:r>
        <w:t>privremeno pruža usluge u Danskoj te ima pravno sjedište u drugoj državi EU-a/EEZ-a u kojoj poduzeće može zakonito provoditi ponovne provjere tipa predmetne automatske vage.</w:t>
      </w:r>
    </w:p>
    <w:p w14:paraId="17909943" w14:textId="77777777" w:rsidR="0039240C" w:rsidRPr="0039240C" w:rsidRDefault="00037437" w:rsidP="0039240C">
      <w:pPr>
        <w:spacing w:after="0"/>
        <w:ind w:firstLine="144"/>
      </w:pPr>
      <w:r>
        <w:rPr>
          <w:i/>
        </w:rPr>
        <w:t xml:space="preserve">Stavak 2. </w:t>
      </w:r>
      <w:r>
        <w:t>Poduzeće naplaćuje naknadu za ponovnu provjeru.</w:t>
      </w:r>
    </w:p>
    <w:p w14:paraId="656405C5" w14:textId="4817078D" w:rsidR="00E12057" w:rsidRPr="0039240C" w:rsidRDefault="00660ABE" w:rsidP="00DB58A5">
      <w:pPr>
        <w:ind w:firstLine="142"/>
      </w:pPr>
      <w:r>
        <w:rPr>
          <w:i/>
        </w:rPr>
        <w:t xml:space="preserve">Stavak 3. </w:t>
      </w:r>
      <w:r>
        <w:t>Na zahtjev Danske agencije za sigurnosnu tehnologiju vlasnik instrumenta treba biti u mogućnosti prikazati da je poduzeće koje je ponovno provjerilo automatsku vagu vlasnika instrumenta u skladu sa zahtjevima iz stavka 1.</w:t>
      </w:r>
    </w:p>
    <w:p w14:paraId="73D3806E" w14:textId="77777777" w:rsidR="00860ABA" w:rsidRPr="0039240C" w:rsidRDefault="00860ABA" w:rsidP="00860ABA">
      <w:pPr>
        <w:jc w:val="center"/>
      </w:pPr>
      <w:r>
        <w:t>Poglavlje 5.</w:t>
      </w:r>
    </w:p>
    <w:p w14:paraId="13F2F712" w14:textId="77777777" w:rsidR="00860ABA" w:rsidRPr="0039240C" w:rsidRDefault="00860ABA" w:rsidP="00860ABA">
      <w:pPr>
        <w:jc w:val="center"/>
        <w:rPr>
          <w:i/>
        </w:rPr>
      </w:pPr>
      <w:r>
        <w:rPr>
          <w:i/>
        </w:rPr>
        <w:t>Neovlašteno rukovanje instrumentom</w:t>
      </w:r>
    </w:p>
    <w:p w14:paraId="6AFD31CC" w14:textId="462DF500" w:rsidR="00860ABA" w:rsidRPr="0039240C" w:rsidRDefault="00860ABA" w:rsidP="00860ABA">
      <w:r>
        <w:rPr>
          <w:b/>
        </w:rPr>
        <w:t xml:space="preserve">Članak 12. </w:t>
      </w:r>
      <w:r>
        <w:t>Neovlaštene osobe ne smiju rukovati automatskom vagom obuhvaćenom ovom naredbom ili na drugi način utjecati na njihov ispravan rad i sposobnost vaganja.</w:t>
      </w:r>
    </w:p>
    <w:p w14:paraId="0E6C4B29" w14:textId="77777777" w:rsidR="00860ABA" w:rsidRPr="0039240C" w:rsidRDefault="00860ABA" w:rsidP="00860ABA">
      <w:pPr>
        <w:jc w:val="center"/>
      </w:pPr>
      <w:r>
        <w:t>Poglavlje 6.</w:t>
      </w:r>
    </w:p>
    <w:p w14:paraId="6B8C14AC" w14:textId="48782B24" w:rsidR="00860ABA" w:rsidRPr="0039240C" w:rsidRDefault="000F7CC8" w:rsidP="00860ABA">
      <w:pPr>
        <w:jc w:val="center"/>
        <w:rPr>
          <w:i/>
        </w:rPr>
      </w:pPr>
      <w:r>
        <w:rPr>
          <w:i/>
        </w:rPr>
        <w:t>Provjere</w:t>
      </w:r>
    </w:p>
    <w:p w14:paraId="30564973" w14:textId="77777777" w:rsidR="0039240C" w:rsidRPr="0039240C" w:rsidRDefault="00860ABA" w:rsidP="0039240C">
      <w:pPr>
        <w:spacing w:after="0"/>
      </w:pPr>
      <w:r>
        <w:rPr>
          <w:b/>
        </w:rPr>
        <w:t xml:space="preserve">Članak 13. </w:t>
      </w:r>
      <w:r>
        <w:t>Danska agencija za sigurnosnu tehnologiju provjerava usklađenost s ovom naredbom.</w:t>
      </w:r>
    </w:p>
    <w:p w14:paraId="7D0E258C" w14:textId="344BED63" w:rsidR="00860ABA" w:rsidRPr="0039240C" w:rsidRDefault="000F7CC8" w:rsidP="0039240C">
      <w:pPr>
        <w:ind w:firstLine="180"/>
      </w:pPr>
      <w:r>
        <w:rPr>
          <w:i/>
        </w:rPr>
        <w:t>Stavak 2.</w:t>
      </w:r>
      <w:r>
        <w:t xml:space="preserve"> Danska agencija za sigurnosnu tehnologiju može tražiti objavljivanje svih informacija potrebnih za provođenje provjera navedenih u stavku 1.</w:t>
      </w:r>
    </w:p>
    <w:p w14:paraId="7D042E58" w14:textId="7A71BD2D" w:rsidR="001D5E95" w:rsidRPr="0039240C" w:rsidRDefault="001D5E95" w:rsidP="001D5E95">
      <w:r>
        <w:rPr>
          <w:b/>
        </w:rPr>
        <w:t xml:space="preserve">Članak 14. </w:t>
      </w:r>
      <w:r>
        <w:t>Poduzeća koja ponovno provjeravaju automatske vage u skladu s člankom 11. stavkom 1. točkom 1., na zahtjev Danske agencije za sigurnosnu tehnologiju, navedenoj agenciji omogućuju podatke iz provedenih ponovnih provjera za korištenje u provjerama agencije.</w:t>
      </w:r>
    </w:p>
    <w:p w14:paraId="22C360F9" w14:textId="77777777" w:rsidR="00860ABA" w:rsidRPr="0039240C" w:rsidRDefault="00860ABA" w:rsidP="00860ABA">
      <w:pPr>
        <w:jc w:val="center"/>
      </w:pPr>
      <w:r>
        <w:t>Poglavlje 7.</w:t>
      </w:r>
    </w:p>
    <w:p w14:paraId="3C6C06B3" w14:textId="77777777" w:rsidR="00860ABA" w:rsidRPr="0039240C" w:rsidRDefault="00860ABA" w:rsidP="00860ABA">
      <w:pPr>
        <w:jc w:val="center"/>
        <w:rPr>
          <w:i/>
        </w:rPr>
      </w:pPr>
      <w:r>
        <w:rPr>
          <w:i/>
        </w:rPr>
        <w:t>Kazne</w:t>
      </w:r>
    </w:p>
    <w:p w14:paraId="1749DD7E" w14:textId="5A3B2795" w:rsidR="00860ABA" w:rsidRPr="0039240C" w:rsidRDefault="00BD1E0A" w:rsidP="00860ABA">
      <w:r>
        <w:rPr>
          <w:b/>
        </w:rPr>
        <w:t xml:space="preserve">Članak 15. </w:t>
      </w:r>
      <w:r>
        <w:t>Kazna se određuje svakome tko:</w:t>
      </w:r>
    </w:p>
    <w:p w14:paraId="07C2E3CC" w14:textId="1AC65965" w:rsidR="005C614A" w:rsidRPr="0039240C" w:rsidRDefault="00B722DE" w:rsidP="005C614A">
      <w:pPr>
        <w:pStyle w:val="ListParagraph"/>
        <w:numPr>
          <w:ilvl w:val="0"/>
          <w:numId w:val="8"/>
        </w:numPr>
      </w:pPr>
      <w:r>
        <w:t>krši članak 3. stavak 1., članke od 4. do 7., članak 8. stavke 1. do 2. i 4. do 5., članak 9. i članak 11. stavke 1. i 3.,</w:t>
      </w:r>
    </w:p>
    <w:p w14:paraId="1ADE6282" w14:textId="2BA8EC7D" w:rsidR="008311DB" w:rsidRPr="0039240C" w:rsidRDefault="008311DB" w:rsidP="005C614A">
      <w:pPr>
        <w:pStyle w:val="ListParagraph"/>
        <w:numPr>
          <w:ilvl w:val="0"/>
          <w:numId w:val="8"/>
        </w:numPr>
      </w:pPr>
      <w:r>
        <w:t>ponovno provjerava automatske vage obuhvaćene ovom naredbom, a da to nije u skladu sa zahtjevima iz članka 11. stavka 1.,</w:t>
      </w:r>
    </w:p>
    <w:p w14:paraId="3E04E909" w14:textId="3690C12D" w:rsidR="005C614A" w:rsidRPr="0039240C" w:rsidRDefault="005C614A" w:rsidP="008311DB">
      <w:pPr>
        <w:pStyle w:val="ListParagraph"/>
        <w:numPr>
          <w:ilvl w:val="0"/>
          <w:numId w:val="8"/>
        </w:numPr>
      </w:pPr>
      <w:r>
        <w:lastRenderedPageBreak/>
        <w:t>bez dozvole, neovlašteno rukuje automatskom vagom (vidi članak 12.) ili</w:t>
      </w:r>
    </w:p>
    <w:p w14:paraId="06292E28" w14:textId="0B129037" w:rsidR="00BD1E0A" w:rsidRPr="0039240C" w:rsidRDefault="00BD1E0A" w:rsidP="005C614A">
      <w:pPr>
        <w:pStyle w:val="ListParagraph"/>
        <w:numPr>
          <w:ilvl w:val="0"/>
          <w:numId w:val="8"/>
        </w:numPr>
      </w:pPr>
      <w:r>
        <w:t>ne ispunjava obvezu o objavljivanju iz članka 13. stavka 2.</w:t>
      </w:r>
    </w:p>
    <w:p w14:paraId="43DF324A" w14:textId="50F5C9B3" w:rsidR="00453D12" w:rsidRPr="0039240C" w:rsidRDefault="00453D12" w:rsidP="00DB58A5">
      <w:pPr>
        <w:ind w:firstLine="284"/>
      </w:pPr>
      <w:r>
        <w:rPr>
          <w:i/>
        </w:rPr>
        <w:t xml:space="preserve">Stavak 2. </w:t>
      </w:r>
      <w:r>
        <w:t>Subjekti itd. (pravne osobe) mogu biti krivično odgovorni u skladu s propisima iz poglavlja 5. Kaznenog zakona [</w:t>
      </w:r>
      <w:proofErr w:type="spellStart"/>
      <w:r>
        <w:t>Straffeloven</w:t>
      </w:r>
      <w:proofErr w:type="spellEnd"/>
      <w:r>
        <w:t>].</w:t>
      </w:r>
    </w:p>
    <w:p w14:paraId="5D6CC1DA" w14:textId="77777777" w:rsidR="0047638F" w:rsidRPr="0039240C" w:rsidRDefault="0047638F" w:rsidP="0047638F">
      <w:pPr>
        <w:jc w:val="center"/>
      </w:pPr>
      <w:r>
        <w:t>Poglavlje 8.</w:t>
      </w:r>
    </w:p>
    <w:p w14:paraId="3055C241" w14:textId="5F38ED50" w:rsidR="0047638F" w:rsidRPr="0039240C" w:rsidRDefault="0047638F" w:rsidP="0047638F">
      <w:pPr>
        <w:jc w:val="center"/>
        <w:rPr>
          <w:i/>
        </w:rPr>
      </w:pPr>
      <w:r>
        <w:rPr>
          <w:i/>
        </w:rPr>
        <w:t>Stupanje na snagu i prijelazne odredbe</w:t>
      </w:r>
    </w:p>
    <w:p w14:paraId="63F2D717" w14:textId="77777777" w:rsidR="0039240C" w:rsidRPr="0039240C" w:rsidRDefault="0047638F" w:rsidP="0039240C">
      <w:pPr>
        <w:spacing w:after="0"/>
      </w:pPr>
      <w:r>
        <w:rPr>
          <w:b/>
        </w:rPr>
        <w:t xml:space="preserve">Članak 16. </w:t>
      </w:r>
      <w:r>
        <w:t>Ova naredba stupa na snagu 1. srpnja 2018.</w:t>
      </w:r>
    </w:p>
    <w:p w14:paraId="650A0D54" w14:textId="6DD8A64A" w:rsidR="0047638F" w:rsidRPr="0039240C" w:rsidRDefault="0047638F" w:rsidP="0039240C">
      <w:pPr>
        <w:ind w:firstLine="180"/>
      </w:pPr>
      <w:r>
        <w:rPr>
          <w:i/>
        </w:rPr>
        <w:t xml:space="preserve">Stavak 2. </w:t>
      </w:r>
      <w:r>
        <w:t>Ukidaju se sljedeće naredbe, smjernice, mjeriteljske direktive i mjeriteljske obavijesti:</w:t>
      </w:r>
    </w:p>
    <w:p w14:paraId="4DAE47ED" w14:textId="77777777" w:rsidR="0087010A" w:rsidRPr="0039240C" w:rsidRDefault="0087010A" w:rsidP="0047638F">
      <w:pPr>
        <w:pStyle w:val="ListParagraph"/>
        <w:numPr>
          <w:ilvl w:val="0"/>
          <w:numId w:val="9"/>
        </w:numPr>
      </w:pPr>
      <w:r>
        <w:t>Mjeriteljska obavijest iz veljače 1985. o ispitivanju vaga s funkcijom zbrajanja nepovezanih rezultata mjerenja u svrhu homologacije tipa i provjere (MM 06).</w:t>
      </w:r>
    </w:p>
    <w:p w14:paraId="320A24F7" w14:textId="77777777" w:rsidR="0047638F" w:rsidRPr="0039240C" w:rsidRDefault="0047638F" w:rsidP="0047638F">
      <w:pPr>
        <w:pStyle w:val="ListParagraph"/>
        <w:numPr>
          <w:ilvl w:val="0"/>
          <w:numId w:val="9"/>
        </w:numPr>
      </w:pPr>
      <w:r>
        <w:t>Mjeriteljska direktiva od 11. svibnja 2000. o automatskim vagama. Opseg ispitivanja homologacije tipa i provjere u skladu s OIML MDIR 04.31-03.</w:t>
      </w:r>
    </w:p>
    <w:p w14:paraId="4A38F7B7" w14:textId="2872EDCD" w:rsidR="00142DF2" w:rsidRPr="0039240C" w:rsidRDefault="00142DF2" w:rsidP="0047638F">
      <w:pPr>
        <w:pStyle w:val="ListParagraph"/>
        <w:numPr>
          <w:ilvl w:val="0"/>
          <w:numId w:val="9"/>
        </w:numPr>
      </w:pPr>
      <w:r>
        <w:t>Smjernice br. 9069 od 19. siječnja 2004. o automatskim vagama. Primjena homologacije tipa. Mjeriteljska direktiva (MDIR 04.31-02, 6. izdanje).</w:t>
      </w:r>
    </w:p>
    <w:p w14:paraId="0683F51C" w14:textId="77777777" w:rsidR="0047638F" w:rsidRPr="0039240C" w:rsidRDefault="0047638F" w:rsidP="0047638F">
      <w:pPr>
        <w:pStyle w:val="ListParagraph"/>
        <w:numPr>
          <w:ilvl w:val="0"/>
          <w:numId w:val="9"/>
        </w:numPr>
      </w:pPr>
      <w:r>
        <w:t>Naredba br. 1033 od 17. listopada 2006. o odredbama za mjeriteljski nadzor za mjernu opremu koja se koristi za određivanje mase („težine”).</w:t>
      </w:r>
    </w:p>
    <w:p w14:paraId="0F5EED8B" w14:textId="686C8893" w:rsidR="0047638F" w:rsidRPr="0039240C" w:rsidRDefault="0047638F" w:rsidP="0047638F">
      <w:pPr>
        <w:pStyle w:val="ListParagraph"/>
        <w:numPr>
          <w:ilvl w:val="0"/>
          <w:numId w:val="9"/>
        </w:numPr>
      </w:pPr>
      <w:r>
        <w:t>Smjernice od 7. rujna 2007. o automatskim vagama, itd. Primjena homologacije tipa, dopunskog odobrenja, produženja homologacije tipa i certifikata OIML-a. Mjeriteljske smjernice (MV 04.31-02, 7. izdanje).</w:t>
      </w:r>
    </w:p>
    <w:p w14:paraId="47CBB414" w14:textId="3DD73261" w:rsidR="0047638F" w:rsidRPr="0039240C" w:rsidRDefault="0047638F" w:rsidP="0047638F">
      <w:pPr>
        <w:pStyle w:val="ListParagraph"/>
        <w:numPr>
          <w:ilvl w:val="0"/>
          <w:numId w:val="9"/>
        </w:numPr>
      </w:pPr>
      <w:r>
        <w:t>Smjernice br. 9177 od 17. siječnja 2008. o automatskim vagama itd. Postupak, itd. za homologaciju tipa. Mjeriteljske smjernice (MV 04.31-01, 3. izdanje).</w:t>
      </w:r>
    </w:p>
    <w:p w14:paraId="6CC84126" w14:textId="412A8336" w:rsidR="0047638F" w:rsidRPr="0039240C" w:rsidRDefault="0047638F" w:rsidP="0047638F">
      <w:pPr>
        <w:pStyle w:val="ListParagraph"/>
        <w:numPr>
          <w:ilvl w:val="0"/>
          <w:numId w:val="9"/>
        </w:numPr>
      </w:pPr>
      <w:r>
        <w:t>Smjernice br. 9237 od 17. listopada 2008. o Naredbi o mjeriteljskom nadzoru za mjerenje mase. Mjeriteljske smjernice (MV 04.31-04, 2. izdanje).</w:t>
      </w:r>
    </w:p>
    <w:p w14:paraId="59783F7F" w14:textId="59E7E789" w:rsidR="0047638F" w:rsidRPr="0039240C" w:rsidRDefault="0047638F" w:rsidP="0047638F">
      <w:pPr>
        <w:pStyle w:val="ListParagraph"/>
        <w:numPr>
          <w:ilvl w:val="0"/>
          <w:numId w:val="9"/>
        </w:numPr>
      </w:pPr>
      <w:r>
        <w:t>Smjernice br. 9057 od 18. siječnja 2010. o provjeri automatskih vaga za pojedinačno vaganje OIML R51. Mjeriteljske smjernice (MV 04.31-11, 1. izdanje).</w:t>
      </w:r>
    </w:p>
    <w:p w14:paraId="42422FF8" w14:textId="7356576D" w:rsidR="00E0267C" w:rsidRPr="0039240C" w:rsidRDefault="00E0267C" w:rsidP="0039240C">
      <w:pPr>
        <w:ind w:firstLine="180"/>
      </w:pPr>
      <w:r>
        <w:rPr>
          <w:i/>
        </w:rPr>
        <w:t>Stavak 3.</w:t>
      </w:r>
      <w:r>
        <w:t xml:space="preserve"> Instrumenti koji su pravno pušteni u promet u skladu s Naredbom br. 1033 od 17. listopada 2006. o odredbama za mjeriteljski nadzor za mjernu opremu koja se koristi za određivanje mase („težine”), a da ne podliježu Naredbi o stavljanju mjernih instrumenata na tržište, ostaju pravno u upotrebi, ako vlasnici instrumenata osiguraju njihovu usklađenost s člancima 8. do 11. ove Naredbe.</w:t>
      </w:r>
    </w:p>
    <w:p w14:paraId="392D7014" w14:textId="5264EF73" w:rsidR="008F5718" w:rsidRPr="0039240C" w:rsidRDefault="00BD1E0A" w:rsidP="00BD1E0A">
      <w:r>
        <w:rPr>
          <w:b/>
        </w:rPr>
        <w:t xml:space="preserve">Članak 17. </w:t>
      </w:r>
      <w:r>
        <w:t xml:space="preserve">Ova se Naredba ne odnosi na </w:t>
      </w:r>
      <w:proofErr w:type="spellStart"/>
      <w:r>
        <w:t>Farske</w:t>
      </w:r>
      <w:proofErr w:type="spellEnd"/>
      <w:r>
        <w:t xml:space="preserve"> otoke i Grenland.</w:t>
      </w:r>
    </w:p>
    <w:sectPr w:rsidR="008F5718" w:rsidRPr="0039240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7C68D" w14:textId="77777777" w:rsidR="006B0683" w:rsidRDefault="006B0683" w:rsidP="00184B91">
      <w:pPr>
        <w:spacing w:after="0" w:line="240" w:lineRule="auto"/>
      </w:pPr>
      <w:r>
        <w:separator/>
      </w:r>
    </w:p>
  </w:endnote>
  <w:endnote w:type="continuationSeparator" w:id="0">
    <w:p w14:paraId="1FC2440F" w14:textId="77777777" w:rsidR="006B0683" w:rsidRDefault="006B0683" w:rsidP="0018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C6017" w14:textId="77777777" w:rsidR="006B0683" w:rsidRDefault="006B0683" w:rsidP="00184B91">
      <w:pPr>
        <w:spacing w:after="0" w:line="240" w:lineRule="auto"/>
      </w:pPr>
      <w:r>
        <w:separator/>
      </w:r>
    </w:p>
  </w:footnote>
  <w:footnote w:type="continuationSeparator" w:id="0">
    <w:p w14:paraId="6110467E" w14:textId="77777777" w:rsidR="006B0683" w:rsidRDefault="006B0683" w:rsidP="00184B91">
      <w:pPr>
        <w:spacing w:after="0" w:line="240" w:lineRule="auto"/>
      </w:pPr>
      <w:r>
        <w:continuationSeparator/>
      </w:r>
    </w:p>
  </w:footnote>
  <w:footnote w:id="1">
    <w:p w14:paraId="073F7F03" w14:textId="3242BD42" w:rsidR="00C121A8" w:rsidRDefault="00C121A8" w:rsidP="00C121A8">
      <w:pPr>
        <w:pStyle w:val="FootnoteText"/>
      </w:pPr>
      <w:r>
        <w:rPr>
          <w:rStyle w:val="FootnoteReference"/>
        </w:rPr>
        <w:footnoteRef/>
      </w:r>
      <w:r>
        <w:t xml:space="preserve"> Ova Naredba priopćena je u nacrtu u skladu s Direktivom (EU) 2015/1535 o utvrđivanju postupka pružanja informacija u području tehničkih propisa i pravila o uslugama informacijskog društva (kodificirani tekst).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452A36E"/>
    <w:lvl w:ilvl="0">
      <w:start w:val="1"/>
      <w:numFmt w:val="decimal"/>
      <w:pStyle w:val="ListNumber"/>
      <w:lvlText w:val="%1."/>
      <w:lvlJc w:val="left"/>
      <w:pPr>
        <w:tabs>
          <w:tab w:val="num" w:pos="360"/>
        </w:tabs>
        <w:ind w:left="360" w:hanging="360"/>
      </w:pPr>
    </w:lvl>
  </w:abstractNum>
  <w:abstractNum w:abstractNumId="1" w15:restartNumberingAfterBreak="0">
    <w:nsid w:val="030C1FDC"/>
    <w:multiLevelType w:val="hybridMultilevel"/>
    <w:tmpl w:val="BB38ED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E1018B"/>
    <w:multiLevelType w:val="hybridMultilevel"/>
    <w:tmpl w:val="ACA6E5EA"/>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2D17295"/>
    <w:multiLevelType w:val="hybridMultilevel"/>
    <w:tmpl w:val="27C2B1C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7FB67D1"/>
    <w:multiLevelType w:val="hybridMultilevel"/>
    <w:tmpl w:val="15D86B1A"/>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AD419B5"/>
    <w:multiLevelType w:val="hybridMultilevel"/>
    <w:tmpl w:val="FAEA985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68F30D6"/>
    <w:multiLevelType w:val="hybridMultilevel"/>
    <w:tmpl w:val="45AAFB7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7C47AF7"/>
    <w:multiLevelType w:val="hybridMultilevel"/>
    <w:tmpl w:val="957E7F56"/>
    <w:lvl w:ilvl="0" w:tplc="04060011">
      <w:start w:val="1"/>
      <w:numFmt w:val="decimal"/>
      <w:lvlText w:val="%1)"/>
      <w:lvlJc w:val="left"/>
      <w:pPr>
        <w:ind w:left="720" w:hanging="360"/>
      </w:pPr>
    </w:lvl>
    <w:lvl w:ilvl="1" w:tplc="04060017">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ECE77F5"/>
    <w:multiLevelType w:val="hybridMultilevel"/>
    <w:tmpl w:val="9A78941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5A315D5"/>
    <w:multiLevelType w:val="hybridMultilevel"/>
    <w:tmpl w:val="A022A09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6043033"/>
    <w:multiLevelType w:val="hybridMultilevel"/>
    <w:tmpl w:val="8204797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C253E52"/>
    <w:multiLevelType w:val="hybridMultilevel"/>
    <w:tmpl w:val="FEAC9AAA"/>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5CD64047"/>
    <w:multiLevelType w:val="hybridMultilevel"/>
    <w:tmpl w:val="3272878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CE86D31"/>
    <w:multiLevelType w:val="hybridMultilevel"/>
    <w:tmpl w:val="F53A52C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D8805D3"/>
    <w:multiLevelType w:val="hybridMultilevel"/>
    <w:tmpl w:val="4896F62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12758A4"/>
    <w:multiLevelType w:val="hybridMultilevel"/>
    <w:tmpl w:val="BBA88DF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9430308"/>
    <w:multiLevelType w:val="hybridMultilevel"/>
    <w:tmpl w:val="D9B47D5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6B84BDF"/>
    <w:multiLevelType w:val="hybridMultilevel"/>
    <w:tmpl w:val="026E79E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77D5706"/>
    <w:multiLevelType w:val="hybridMultilevel"/>
    <w:tmpl w:val="957E7F56"/>
    <w:lvl w:ilvl="0" w:tplc="04060011">
      <w:start w:val="1"/>
      <w:numFmt w:val="decimal"/>
      <w:lvlText w:val="%1)"/>
      <w:lvlJc w:val="left"/>
      <w:pPr>
        <w:ind w:left="720" w:hanging="360"/>
      </w:pPr>
    </w:lvl>
    <w:lvl w:ilvl="1" w:tplc="04060017">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18"/>
  </w:num>
  <w:num w:numId="5">
    <w:abstractNumId w:val="15"/>
  </w:num>
  <w:num w:numId="6">
    <w:abstractNumId w:val="3"/>
  </w:num>
  <w:num w:numId="7">
    <w:abstractNumId w:val="6"/>
  </w:num>
  <w:num w:numId="8">
    <w:abstractNumId w:val="12"/>
  </w:num>
  <w:num w:numId="9">
    <w:abstractNumId w:val="5"/>
  </w:num>
  <w:num w:numId="10">
    <w:abstractNumId w:val="16"/>
  </w:num>
  <w:num w:numId="11">
    <w:abstractNumId w:val="14"/>
  </w:num>
  <w:num w:numId="12">
    <w:abstractNumId w:val="0"/>
  </w:num>
  <w:num w:numId="13">
    <w:abstractNumId w:val="11"/>
  </w:num>
  <w:num w:numId="14">
    <w:abstractNumId w:val="10"/>
  </w:num>
  <w:num w:numId="15">
    <w:abstractNumId w:val="4"/>
  </w:num>
  <w:num w:numId="16">
    <w:abstractNumId w:val="17"/>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78"/>
    <w:rsid w:val="00021EC6"/>
    <w:rsid w:val="00023C9D"/>
    <w:rsid w:val="00025151"/>
    <w:rsid w:val="0003375C"/>
    <w:rsid w:val="00033C96"/>
    <w:rsid w:val="00037437"/>
    <w:rsid w:val="00050BD1"/>
    <w:rsid w:val="00056C4F"/>
    <w:rsid w:val="0006320A"/>
    <w:rsid w:val="00071306"/>
    <w:rsid w:val="00071E8C"/>
    <w:rsid w:val="000739DE"/>
    <w:rsid w:val="000767EF"/>
    <w:rsid w:val="00077FC3"/>
    <w:rsid w:val="00087EDB"/>
    <w:rsid w:val="000941AD"/>
    <w:rsid w:val="0009683E"/>
    <w:rsid w:val="000A0CFA"/>
    <w:rsid w:val="000A29EE"/>
    <w:rsid w:val="000A2AC2"/>
    <w:rsid w:val="000B6915"/>
    <w:rsid w:val="000C31C1"/>
    <w:rsid w:val="000C5006"/>
    <w:rsid w:val="000C5232"/>
    <w:rsid w:val="000F1A44"/>
    <w:rsid w:val="000F2D7B"/>
    <w:rsid w:val="000F38FE"/>
    <w:rsid w:val="000F7CC8"/>
    <w:rsid w:val="00142DF2"/>
    <w:rsid w:val="00142DF5"/>
    <w:rsid w:val="00160157"/>
    <w:rsid w:val="00160ADF"/>
    <w:rsid w:val="001657CA"/>
    <w:rsid w:val="00167C06"/>
    <w:rsid w:val="00184B91"/>
    <w:rsid w:val="00186E5F"/>
    <w:rsid w:val="001D5E95"/>
    <w:rsid w:val="001E3974"/>
    <w:rsid w:val="001F65E0"/>
    <w:rsid w:val="00210CDC"/>
    <w:rsid w:val="002239F2"/>
    <w:rsid w:val="00246E59"/>
    <w:rsid w:val="00262E3F"/>
    <w:rsid w:val="00272A15"/>
    <w:rsid w:val="002827E1"/>
    <w:rsid w:val="00292063"/>
    <w:rsid w:val="002A2D71"/>
    <w:rsid w:val="002A5D07"/>
    <w:rsid w:val="002B1697"/>
    <w:rsid w:val="002B1E7F"/>
    <w:rsid w:val="002B3E4B"/>
    <w:rsid w:val="002B6EFD"/>
    <w:rsid w:val="002D0C84"/>
    <w:rsid w:val="002F4D0B"/>
    <w:rsid w:val="002F7BEC"/>
    <w:rsid w:val="0030606F"/>
    <w:rsid w:val="0033536E"/>
    <w:rsid w:val="00350478"/>
    <w:rsid w:val="003525D9"/>
    <w:rsid w:val="00355383"/>
    <w:rsid w:val="003647C0"/>
    <w:rsid w:val="00377653"/>
    <w:rsid w:val="0039240C"/>
    <w:rsid w:val="00392B39"/>
    <w:rsid w:val="003942F5"/>
    <w:rsid w:val="003979EE"/>
    <w:rsid w:val="003C15E7"/>
    <w:rsid w:val="003D7E12"/>
    <w:rsid w:val="003E43C8"/>
    <w:rsid w:val="003E5EF2"/>
    <w:rsid w:val="003F1E18"/>
    <w:rsid w:val="003F1FD3"/>
    <w:rsid w:val="003F4E94"/>
    <w:rsid w:val="0040328D"/>
    <w:rsid w:val="00414889"/>
    <w:rsid w:val="00424D11"/>
    <w:rsid w:val="004320C5"/>
    <w:rsid w:val="00447940"/>
    <w:rsid w:val="00453D12"/>
    <w:rsid w:val="00471016"/>
    <w:rsid w:val="0047638F"/>
    <w:rsid w:val="0048043F"/>
    <w:rsid w:val="004832D0"/>
    <w:rsid w:val="004A069C"/>
    <w:rsid w:val="004A2B17"/>
    <w:rsid w:val="004B5247"/>
    <w:rsid w:val="004B7BF4"/>
    <w:rsid w:val="004C3E60"/>
    <w:rsid w:val="004D07D2"/>
    <w:rsid w:val="004E115C"/>
    <w:rsid w:val="004F2CFF"/>
    <w:rsid w:val="00503B37"/>
    <w:rsid w:val="005350EF"/>
    <w:rsid w:val="00547A66"/>
    <w:rsid w:val="00550407"/>
    <w:rsid w:val="00560A6E"/>
    <w:rsid w:val="00561501"/>
    <w:rsid w:val="005661E1"/>
    <w:rsid w:val="00575C8A"/>
    <w:rsid w:val="005772E5"/>
    <w:rsid w:val="00577D17"/>
    <w:rsid w:val="00593410"/>
    <w:rsid w:val="00593C7D"/>
    <w:rsid w:val="005A1BB9"/>
    <w:rsid w:val="005A5049"/>
    <w:rsid w:val="005A5A15"/>
    <w:rsid w:val="005C614A"/>
    <w:rsid w:val="005F626A"/>
    <w:rsid w:val="00605DDB"/>
    <w:rsid w:val="006159B9"/>
    <w:rsid w:val="00616365"/>
    <w:rsid w:val="006166D1"/>
    <w:rsid w:val="00621BBF"/>
    <w:rsid w:val="00621CD7"/>
    <w:rsid w:val="0062529E"/>
    <w:rsid w:val="00635217"/>
    <w:rsid w:val="0064664E"/>
    <w:rsid w:val="00646CEE"/>
    <w:rsid w:val="00660ABE"/>
    <w:rsid w:val="0069667B"/>
    <w:rsid w:val="006A6D51"/>
    <w:rsid w:val="006B0683"/>
    <w:rsid w:val="006C15B3"/>
    <w:rsid w:val="006C54EA"/>
    <w:rsid w:val="006C621F"/>
    <w:rsid w:val="006C74A9"/>
    <w:rsid w:val="006E414D"/>
    <w:rsid w:val="006F1D44"/>
    <w:rsid w:val="007042F5"/>
    <w:rsid w:val="00706BB1"/>
    <w:rsid w:val="00713C6C"/>
    <w:rsid w:val="00714025"/>
    <w:rsid w:val="00715876"/>
    <w:rsid w:val="00724C61"/>
    <w:rsid w:val="007319F1"/>
    <w:rsid w:val="007535C4"/>
    <w:rsid w:val="00753B16"/>
    <w:rsid w:val="00764877"/>
    <w:rsid w:val="00764BAB"/>
    <w:rsid w:val="00785115"/>
    <w:rsid w:val="00790889"/>
    <w:rsid w:val="007B278F"/>
    <w:rsid w:val="007C26BF"/>
    <w:rsid w:val="007C27C8"/>
    <w:rsid w:val="00802EA3"/>
    <w:rsid w:val="008038B4"/>
    <w:rsid w:val="00810A3E"/>
    <w:rsid w:val="00811CD6"/>
    <w:rsid w:val="00812AA0"/>
    <w:rsid w:val="00814B42"/>
    <w:rsid w:val="00821D5D"/>
    <w:rsid w:val="00824E62"/>
    <w:rsid w:val="008311DB"/>
    <w:rsid w:val="0085180C"/>
    <w:rsid w:val="00851F29"/>
    <w:rsid w:val="00860ABA"/>
    <w:rsid w:val="00865E6A"/>
    <w:rsid w:val="0087010A"/>
    <w:rsid w:val="00872889"/>
    <w:rsid w:val="008752CC"/>
    <w:rsid w:val="00885025"/>
    <w:rsid w:val="00890EFB"/>
    <w:rsid w:val="008A3A0F"/>
    <w:rsid w:val="008E2A79"/>
    <w:rsid w:val="008E5EBD"/>
    <w:rsid w:val="008E7812"/>
    <w:rsid w:val="008E7EBF"/>
    <w:rsid w:val="008F02FA"/>
    <w:rsid w:val="008F5718"/>
    <w:rsid w:val="00907775"/>
    <w:rsid w:val="00913C8A"/>
    <w:rsid w:val="00916831"/>
    <w:rsid w:val="00927B54"/>
    <w:rsid w:val="0093411B"/>
    <w:rsid w:val="0094088E"/>
    <w:rsid w:val="009414D6"/>
    <w:rsid w:val="00943FE6"/>
    <w:rsid w:val="00953C56"/>
    <w:rsid w:val="00962F05"/>
    <w:rsid w:val="0097551A"/>
    <w:rsid w:val="00987787"/>
    <w:rsid w:val="009A0695"/>
    <w:rsid w:val="009A5F8F"/>
    <w:rsid w:val="009B0C8D"/>
    <w:rsid w:val="009B145A"/>
    <w:rsid w:val="009B3491"/>
    <w:rsid w:val="009B4A7D"/>
    <w:rsid w:val="009B5880"/>
    <w:rsid w:val="009B7755"/>
    <w:rsid w:val="009D01F0"/>
    <w:rsid w:val="00A02D1D"/>
    <w:rsid w:val="00A05BB6"/>
    <w:rsid w:val="00A17B04"/>
    <w:rsid w:val="00A31442"/>
    <w:rsid w:val="00A32808"/>
    <w:rsid w:val="00A47ECF"/>
    <w:rsid w:val="00A50F48"/>
    <w:rsid w:val="00A5132C"/>
    <w:rsid w:val="00A54467"/>
    <w:rsid w:val="00A6384D"/>
    <w:rsid w:val="00A65597"/>
    <w:rsid w:val="00A732EE"/>
    <w:rsid w:val="00A7657E"/>
    <w:rsid w:val="00A7671B"/>
    <w:rsid w:val="00A94949"/>
    <w:rsid w:val="00AA1687"/>
    <w:rsid w:val="00AA270A"/>
    <w:rsid w:val="00AA3313"/>
    <w:rsid w:val="00AA3A0A"/>
    <w:rsid w:val="00AC313E"/>
    <w:rsid w:val="00AE2B60"/>
    <w:rsid w:val="00AE4894"/>
    <w:rsid w:val="00AF5332"/>
    <w:rsid w:val="00B0392D"/>
    <w:rsid w:val="00B20397"/>
    <w:rsid w:val="00B22662"/>
    <w:rsid w:val="00B24884"/>
    <w:rsid w:val="00B4640E"/>
    <w:rsid w:val="00B50B53"/>
    <w:rsid w:val="00B722DE"/>
    <w:rsid w:val="00B72FB8"/>
    <w:rsid w:val="00B82660"/>
    <w:rsid w:val="00B84A09"/>
    <w:rsid w:val="00B91AB7"/>
    <w:rsid w:val="00BA7977"/>
    <w:rsid w:val="00BA7EFC"/>
    <w:rsid w:val="00BB3625"/>
    <w:rsid w:val="00BB467E"/>
    <w:rsid w:val="00BC2942"/>
    <w:rsid w:val="00BC3C07"/>
    <w:rsid w:val="00BD1E0A"/>
    <w:rsid w:val="00BE5847"/>
    <w:rsid w:val="00BF487D"/>
    <w:rsid w:val="00C121A8"/>
    <w:rsid w:val="00C22308"/>
    <w:rsid w:val="00C237CF"/>
    <w:rsid w:val="00C23E95"/>
    <w:rsid w:val="00C26462"/>
    <w:rsid w:val="00C31CA0"/>
    <w:rsid w:val="00C402D0"/>
    <w:rsid w:val="00C40620"/>
    <w:rsid w:val="00C45CEB"/>
    <w:rsid w:val="00C47B3E"/>
    <w:rsid w:val="00C52BD0"/>
    <w:rsid w:val="00C53CA2"/>
    <w:rsid w:val="00C624AE"/>
    <w:rsid w:val="00C667AC"/>
    <w:rsid w:val="00C76A80"/>
    <w:rsid w:val="00C770A0"/>
    <w:rsid w:val="00CA74C8"/>
    <w:rsid w:val="00CB382C"/>
    <w:rsid w:val="00CD3450"/>
    <w:rsid w:val="00CE4500"/>
    <w:rsid w:val="00D023C4"/>
    <w:rsid w:val="00D15119"/>
    <w:rsid w:val="00D34628"/>
    <w:rsid w:val="00D35D12"/>
    <w:rsid w:val="00D3671C"/>
    <w:rsid w:val="00D45FF7"/>
    <w:rsid w:val="00D47A17"/>
    <w:rsid w:val="00D57C66"/>
    <w:rsid w:val="00D6142B"/>
    <w:rsid w:val="00D62F97"/>
    <w:rsid w:val="00D84FEB"/>
    <w:rsid w:val="00D919A5"/>
    <w:rsid w:val="00D9458B"/>
    <w:rsid w:val="00DA1D8D"/>
    <w:rsid w:val="00DB58A5"/>
    <w:rsid w:val="00DC0AFB"/>
    <w:rsid w:val="00DE458E"/>
    <w:rsid w:val="00DF4810"/>
    <w:rsid w:val="00E00488"/>
    <w:rsid w:val="00E0267C"/>
    <w:rsid w:val="00E04C85"/>
    <w:rsid w:val="00E12057"/>
    <w:rsid w:val="00E20339"/>
    <w:rsid w:val="00E251F4"/>
    <w:rsid w:val="00E25290"/>
    <w:rsid w:val="00E40B0D"/>
    <w:rsid w:val="00E42819"/>
    <w:rsid w:val="00E47889"/>
    <w:rsid w:val="00E56235"/>
    <w:rsid w:val="00E74C3A"/>
    <w:rsid w:val="00E827E4"/>
    <w:rsid w:val="00E84D20"/>
    <w:rsid w:val="00E910C0"/>
    <w:rsid w:val="00EA79BA"/>
    <w:rsid w:val="00EC3FDD"/>
    <w:rsid w:val="00EC44C9"/>
    <w:rsid w:val="00EC5C64"/>
    <w:rsid w:val="00F053B3"/>
    <w:rsid w:val="00F066EC"/>
    <w:rsid w:val="00F11B16"/>
    <w:rsid w:val="00F1611D"/>
    <w:rsid w:val="00F30503"/>
    <w:rsid w:val="00F44207"/>
    <w:rsid w:val="00F47410"/>
    <w:rsid w:val="00F504D1"/>
    <w:rsid w:val="00F54E97"/>
    <w:rsid w:val="00F828E9"/>
    <w:rsid w:val="00F901A6"/>
    <w:rsid w:val="00FA53D5"/>
    <w:rsid w:val="00FA7C84"/>
    <w:rsid w:val="00FD0055"/>
    <w:rsid w:val="00FD0F2F"/>
    <w:rsid w:val="00FD3A91"/>
    <w:rsid w:val="00FE4775"/>
    <w:rsid w:val="00FF53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6C8E4"/>
  <w15:docId w15:val="{7156B449-AF93-4E08-9ACF-17885567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hr-HR"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53D5"/>
    <w:rPr>
      <w:sz w:val="16"/>
      <w:szCs w:val="16"/>
    </w:rPr>
  </w:style>
  <w:style w:type="paragraph" w:styleId="CommentText">
    <w:name w:val="annotation text"/>
    <w:basedOn w:val="Normal"/>
    <w:link w:val="CommentTextChar"/>
    <w:uiPriority w:val="99"/>
    <w:unhideWhenUsed/>
    <w:rsid w:val="00FA53D5"/>
    <w:pPr>
      <w:spacing w:line="240" w:lineRule="auto"/>
    </w:pPr>
    <w:rPr>
      <w:sz w:val="20"/>
      <w:szCs w:val="20"/>
    </w:rPr>
  </w:style>
  <w:style w:type="character" w:customStyle="1" w:styleId="CommentTextChar">
    <w:name w:val="Comment Text Char"/>
    <w:basedOn w:val="DefaultParagraphFont"/>
    <w:link w:val="CommentText"/>
    <w:uiPriority w:val="99"/>
    <w:rsid w:val="00FA53D5"/>
    <w:rPr>
      <w:sz w:val="20"/>
      <w:szCs w:val="20"/>
    </w:rPr>
  </w:style>
  <w:style w:type="paragraph" w:styleId="CommentSubject">
    <w:name w:val="annotation subject"/>
    <w:basedOn w:val="CommentText"/>
    <w:next w:val="CommentText"/>
    <w:link w:val="CommentSubjectChar"/>
    <w:uiPriority w:val="99"/>
    <w:semiHidden/>
    <w:unhideWhenUsed/>
    <w:rsid w:val="00FA53D5"/>
    <w:rPr>
      <w:b/>
      <w:bCs/>
    </w:rPr>
  </w:style>
  <w:style w:type="character" w:customStyle="1" w:styleId="CommentSubjectChar">
    <w:name w:val="Comment Subject Char"/>
    <w:basedOn w:val="CommentTextChar"/>
    <w:link w:val="CommentSubject"/>
    <w:uiPriority w:val="99"/>
    <w:semiHidden/>
    <w:rsid w:val="00FA53D5"/>
    <w:rPr>
      <w:b/>
      <w:bCs/>
      <w:sz w:val="20"/>
      <w:szCs w:val="20"/>
    </w:rPr>
  </w:style>
  <w:style w:type="paragraph" w:styleId="BalloonText">
    <w:name w:val="Balloon Text"/>
    <w:basedOn w:val="Normal"/>
    <w:link w:val="BalloonTextChar"/>
    <w:uiPriority w:val="99"/>
    <w:semiHidden/>
    <w:unhideWhenUsed/>
    <w:rsid w:val="00FA5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D5"/>
    <w:rPr>
      <w:rFonts w:ascii="Tahoma" w:hAnsi="Tahoma" w:cs="Tahoma"/>
      <w:sz w:val="16"/>
      <w:szCs w:val="16"/>
    </w:rPr>
  </w:style>
  <w:style w:type="paragraph" w:styleId="ListParagraph">
    <w:name w:val="List Paragraph"/>
    <w:basedOn w:val="Normal"/>
    <w:uiPriority w:val="34"/>
    <w:qFormat/>
    <w:rsid w:val="00E04C85"/>
    <w:pPr>
      <w:ind w:left="720"/>
      <w:contextualSpacing/>
    </w:pPr>
  </w:style>
  <w:style w:type="paragraph" w:styleId="ListNumber">
    <w:name w:val="List Number"/>
    <w:basedOn w:val="Normal"/>
    <w:uiPriority w:val="99"/>
    <w:unhideWhenUsed/>
    <w:rsid w:val="002827E1"/>
    <w:pPr>
      <w:numPr>
        <w:numId w:val="12"/>
      </w:numPr>
      <w:spacing w:after="160" w:line="259" w:lineRule="auto"/>
      <w:contextualSpacing/>
    </w:pPr>
  </w:style>
  <w:style w:type="paragraph" w:styleId="Header">
    <w:name w:val="header"/>
    <w:basedOn w:val="Normal"/>
    <w:link w:val="HeaderChar"/>
    <w:uiPriority w:val="99"/>
    <w:unhideWhenUsed/>
    <w:rsid w:val="00184B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4B91"/>
  </w:style>
  <w:style w:type="paragraph" w:styleId="Footer">
    <w:name w:val="footer"/>
    <w:basedOn w:val="Normal"/>
    <w:link w:val="FooterChar"/>
    <w:uiPriority w:val="99"/>
    <w:unhideWhenUsed/>
    <w:rsid w:val="00184B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4B91"/>
  </w:style>
  <w:style w:type="paragraph" w:styleId="Revision">
    <w:name w:val="Revision"/>
    <w:hidden/>
    <w:uiPriority w:val="99"/>
    <w:semiHidden/>
    <w:rsid w:val="00550407"/>
    <w:pPr>
      <w:spacing w:after="0" w:line="240" w:lineRule="auto"/>
    </w:pPr>
  </w:style>
  <w:style w:type="paragraph" w:styleId="FootnoteText">
    <w:name w:val="footnote text"/>
    <w:basedOn w:val="Normal"/>
    <w:link w:val="FootnoteTextChar"/>
    <w:uiPriority w:val="99"/>
    <w:semiHidden/>
    <w:unhideWhenUsed/>
    <w:rsid w:val="00C12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1A8"/>
    <w:rPr>
      <w:sz w:val="20"/>
      <w:szCs w:val="20"/>
    </w:rPr>
  </w:style>
  <w:style w:type="character" w:styleId="FootnoteReference">
    <w:name w:val="footnote reference"/>
    <w:basedOn w:val="DefaultParagraphFont"/>
    <w:uiPriority w:val="99"/>
    <w:semiHidden/>
    <w:unhideWhenUsed/>
    <w:rsid w:val="00C12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EF1C-4E6E-4995-AAB5-21246DC1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2226</Words>
  <Characters>12691</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14888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Horsman Jensen</dc:creator>
  <cp:lastModifiedBy>Ke, Tingting</cp:lastModifiedBy>
  <cp:revision>5</cp:revision>
  <cp:lastPrinted>2017-07-10T08:22:00Z</cp:lastPrinted>
  <dcterms:created xsi:type="dcterms:W3CDTF">2018-02-01T09:59:00Z</dcterms:created>
  <dcterms:modified xsi:type="dcterms:W3CDTF">2018-02-05T14:29:00Z</dcterms:modified>
</cp:coreProperties>
</file>