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896DB2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0018 A-- ET-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Viini linnavolikogu</w:t>
      </w:r>
      <w:r w:rsidR="006663D0">
        <w:rPr>
          <w:rFonts w:ascii="Arial" w:hAnsi="Arial"/>
          <w:b/>
          <w:bCs/>
        </w:rPr>
        <w:t xml:space="preserve"> määrus, millega kehtestatakse 16</w:t>
      </w:r>
      <w:r>
        <w:rPr>
          <w:rFonts w:ascii="Arial" w:hAnsi="Arial"/>
          <w:b/>
          <w:bCs/>
        </w:rPr>
        <w:t xml:space="preserve">. ringkonna energiaruumi kava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Vastavalt Viini ehitusmääruse (Viini liidumaa ametlik väljaanne nr 11/1930, viimati muudetud seadusega Viini liidumaa ametlikus väljaandes nr 71/2018), paragrahvile 2b sätestatakse: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Lisas oranžiga viirutatud ja oranžiga kontuuritud alade jaoks kehtestatakse vastavalt ehitusmääruse paragrahvile 2b energiaruumi kava. Liiklusalad ei kuulu määruse kohaldamisalasse.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Lisa (kava täiendus) moodustab antud määruse osa.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Energiaruumi kavaga hõlmatud aladel on uusehitiste kütte- ja veeküttesüsteemides ehitusmääruse paragrahvi 60 lõike 1 punkti a kohaselt lubatud ainult ehitusmääruse paragrahvi 118 lõikes 3 nimetatud ülitõhusad alternatiivsüsteemid.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Antud määrusest teatati Euroopa Parlamendi ja nõukogu 9. septembri 2015. aasta direktiivi (EL) 2015/1535 (millega nähakse ette tehnilistest eeskirjadest ning infoühiskonna teenuste eeskirjadest teatamise kord) (ELT L 241, 17.9.2015) sätete kohaselt (teatis number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Antud määrus jõustub kolm kuud pärast selle väljakuulutamist.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Antud määrust ei kohaldata kõikide selle määruse jõustumise ajal pooleli olevate ehitusloa menetluste suhtes.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Esimees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Lisa</w:t>
      </w:r>
    </w:p>
    <w:p w:rsidR="0040032E" w:rsidRPr="0040032E" w:rsidRDefault="006663D0" w:rsidP="0040032E">
      <w:pPr>
        <w:rPr>
          <w:rFonts w:ascii="Arial" w:hAnsi="Arial" w:cs="Arial"/>
        </w:rPr>
      </w:pPr>
      <w:r>
        <w:rPr>
          <w:rFonts w:ascii="Arial" w:hAnsi="Arial"/>
        </w:rPr>
        <w:t>Kava täiendus nr 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474" w:rsidRDefault="00396474" w:rsidP="00F76E71">
      <w:pPr>
        <w:spacing w:after="0" w:line="240" w:lineRule="auto"/>
      </w:pPr>
      <w:r>
        <w:separator/>
      </w:r>
    </w:p>
  </w:endnote>
  <w:endnote w:type="continuationSeparator" w:id="0">
    <w:p w:rsidR="00396474" w:rsidRDefault="00396474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474" w:rsidRDefault="00396474" w:rsidP="00F76E71">
      <w:pPr>
        <w:spacing w:after="0" w:line="240" w:lineRule="auto"/>
      </w:pPr>
      <w:r>
        <w:separator/>
      </w:r>
    </w:p>
  </w:footnote>
  <w:footnote w:type="continuationSeparator" w:id="0">
    <w:p w:rsidR="00396474" w:rsidRDefault="00396474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224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96474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663D0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96DB2"/>
    <w:rsid w:val="008E5E48"/>
    <w:rsid w:val="009129C3"/>
    <w:rsid w:val="00934F46"/>
    <w:rsid w:val="00946B0B"/>
    <w:rsid w:val="009751BB"/>
    <w:rsid w:val="00A135A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4EF2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FC9BCFE8-65B9-4C37-B4D5-7E03450A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Magistrat Wien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5</cp:revision>
  <cp:lastPrinted>2019-07-25T07:15:00Z</cp:lastPrinted>
  <dcterms:created xsi:type="dcterms:W3CDTF">2020-01-21T15:20:00Z</dcterms:created>
  <dcterms:modified xsi:type="dcterms:W3CDTF">2020-01-23T15:56:00Z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