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SEADUSEELNÕU,</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millega </w:t>
      </w:r>
      <w:r>
        <w:rPr>
          <w:sz w:val="28"/>
          <w:b/>
          <w:rFonts w:ascii="Times New Roman" w:hAnsi="Times New Roman"/>
        </w:rPr>
        <w:t xml:space="preserve">tugevdatakse</w:t>
      </w:r>
      <w:r>
        <w:rPr>
          <w:sz w:val="28"/>
          <w:i/>
          <w:rFonts w:ascii="Times New Roman" w:hAnsi="Times New Roman"/>
        </w:rPr>
        <w:t xml:space="preserve"> </w:t>
      </w:r>
      <w:r>
        <w:rPr>
          <w:sz w:val="28"/>
          <w:b/>
          <w:rFonts w:ascii="Times New Roman" w:hAnsi="Times New Roman"/>
        </w:rPr>
        <w:t xml:space="preserve">vanemlikku kontrolli</w:t>
      </w:r>
      <w:r>
        <w:rPr>
          <w:sz w:val="28"/>
          <w:i/>
          <w:rFonts w:ascii="Times New Roman" w:hAnsi="Times New Roman"/>
        </w:rPr>
        <w:t xml:space="preserve"> </w:t>
      </w:r>
      <w:r>
        <w:rPr>
          <w:sz w:val="28"/>
          <w:b/>
          <w:rFonts w:ascii="Times New Roman" w:hAnsi="Times New Roman"/>
        </w:rPr>
        <w:t xml:space="preserve">Interneti-juurdepääsu</w:t>
      </w:r>
      <w:r>
        <w:rPr>
          <w:sz w:val="28"/>
          <w:i/>
          <w:rFonts w:ascii="Times New Roman" w:hAnsi="Times New Roman"/>
        </w:rPr>
        <w:t xml:space="preserve"> </w:t>
      </w:r>
      <w:r>
        <w:rPr>
          <w:sz w:val="28"/>
          <w:b/>
          <w:rFonts w:ascii="Times New Roman" w:hAnsi="Times New Roman"/>
        </w:rPr>
        <w:t xml:space="preserve">vahendite üle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Artikkel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Posti- ja elektroonilise side seadustiku II raamatu I jaotise II peatüki 5. jagu täiendatakse artikliga L. 34-9-3 järgmises sõnastuses:</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Artikkel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Üldkasutatavate võrgupõhiste sideteenuste kasutamiseks mõeldud lõppseadmed, mis võimaldavad juurdepääsu teenustele ja sisule, mis võivad kahjustada alaealiste füüsilist, vaimset või kõlbelist arengut, peavad olema varustatud kergesti juurdepääsetava ja arusaadava süsteemiga, mis võimaldab kasutajatel piirata või kontrollida nende isikute juurdepääsu kõnealustele teenustele ja sisule.</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lõike esimese lõiguga ette nähtud süsteemi aktiveerimist pakutakse kasutajale seadme esmakordsel kasutuselevõtmisel.</w:t>
      </w:r>
      <w:r>
        <w:rPr>
          <w:sz w:val="28"/>
          <w:rFonts w:ascii="Times New Roman" w:hAnsi="Times New Roman"/>
        </w:rPr>
        <w:t xml:space="preserve"> </w:t>
      </w:r>
      <w:r>
        <w:rPr>
          <w:sz w:val="28"/>
          <w:rFonts w:ascii="Times New Roman" w:hAnsi="Times New Roman"/>
        </w:rPr>
        <w:t xml:space="preserve">Selle süsteemi aktiveerimise käigus kogutud või genereeritud alaealiste isikuandmeid ei tohi kasutada kaubanduslikel eesmärkidel, näiteks otseturunduses, profiilianalüüsis ja käitumisele orienteeritud reklaamis, sealhulgas pärast huvitatud isikute täisealiseks saamist.</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Tootjad tagavad oma lõppseadme turule laskmisel, et seadmele paigaldatud operatsioonisüsteemid sisaldavad esimeses lõigus sätestatud süsteemi.</w:t>
      </w:r>
      <w:r>
        <w:rPr>
          <w:sz w:val="28"/>
          <w:rFonts w:ascii="Times New Roman" w:hAnsi="Times New Roman"/>
        </w:rPr>
        <w:t xml:space="preserve"> </w:t>
      </w:r>
      <w:r>
        <w:rPr>
          <w:sz w:val="28"/>
          <w:rFonts w:ascii="Times New Roman" w:hAnsi="Times New Roman"/>
        </w:rPr>
        <w:t xml:space="preserve">Süsteemi aktiveerimine, kasutamine ja vajaduse korral desinstallimine on kasutajale lubatud ilma lisakuludeta.</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Vajaduse korral tagab operatsioonisüsteemi pakkuja ja tõendab tootjale viimase nõudmisel, et operatsioonisüsteem, mida kavatsetakse paigaldada lõppseadmele, sisaldab esimeses lõigus sätestatud süsteemi.</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Tootjad tagavad importijatele, levitajatele ja tellimuste täitmise teenuse osutajatele, et turule lastud lõppseadmed sisaldavad esimeses lõigus sätestatud süsteemi.</w:t>
      </w:r>
      <w:r>
        <w:rPr>
          <w:sz w:val="28"/>
          <w:rFonts w:ascii="Times New Roman" w:hAnsi="Times New Roman"/>
        </w:rPr>
        <w:t xml:space="preserve"> </w:t>
      </w:r>
      <w:r>
        <w:rPr>
          <w:sz w:val="28"/>
          <w:rFonts w:ascii="Times New Roman" w:hAnsi="Times New Roman"/>
        </w:rPr>
        <w:t xml:space="preserve">Käesoleva I lõike neljandas lõigus nimetatud juhul edastab tootja neile isikutele operatsioonisüsteemi pakkuja sertifikaadi.</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Importijad, levitajad ja tellimuste täitmise teenuse osutajad kontrollivad, et lõppseadme on sertifitseerinud tootjad või, kui see on asjakohane, operatsioonisüsteemi pakkuja käesoleva I lõike viiendas lõigus sätestatud tingimustel.</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I lõike esimese lõiguga ettenähtud süsteemi ei kohaldata seadmete suhtes, mis lastakse turule ilma operatsioonisüsteemita.</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Käesoleva I lõike kolmandas ja viiendas lõigus sätestatud kohustusi kohaldatakse vajaduse korral tootja volitatud esindaja suhtes.</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Isikud, kes viivad turule käesoleva I lõike esimeses lõigus osutatud lõppseadmeid, kui neid kasutatakse äriseadustiku artikli L. 321-1 kolmandas lõigus määratletud seadmetena, tagavad, et need seadmed sisaldavad käesoleva I lõike esimeses lõigus sätestatud süsteemi.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Riiginõukogu dekreediga, mis antakse välja pärast riikliku infotehnoloogia ja vabaduste komisjoni arvamust, määratakse kindlaks järgmine:</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I lõike rakendusmeetodid, sealhulgas sama I lõike esimeses lõigus sätestatud süsteemi minimaalsed funktsioonid ja tehnilised omadused, ning vahendid, mida tootja kasutab kõnealuse süsteemi kasutamise hõlbustamiseks;</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kuidas tootjad ja vajaduse korral operatsioonisüsteemi pakkuja tõendavad, et lõppseadmele paigaldatud operatsioonisüsteemid sisaldavad esimeses lõigus sätestatud süsteemi;</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tingimused, mille alusel pädev asutus võib piirata või keelata esimeses lõigus osutatud sellise lõppseadme turule laskmist, mis kujutab endast ohtu või ei vasta nõuetele, ning tingimused, mille alusel pädev asutus võib lasta selle tagasi võtta või tagasi võtta;</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viis, kuidas tootjad aitavad levitada kättesaadavat teavet ohtude kohta, mis on seotud internetipõhiste avalike sideteenuste kasutamisega alaealiste poolt, laste varajase kokkupuutega ekraanidega ja selliste ohtude ennetamise vahenditega.“</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Posti- ja elektroonilise side seadustiku artikli L. 34-9-3 I viimane lõik on kohaldatav lõppseadmetele, mis viidi esimest korda turule pärast artiklis L. 34-9-3 sätestatud riiginõukogu dekreedi avaldamist.</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Riiginõukogu dekreediga määratakse kindlaks tingimused, mille alusel eespool nimetatud artikli L. 34-9-3 I lõike viimases lõigus nimetatud isikud, seoses seadmetega, mis viidi esimest korda turule enne artiklis L. 34-9-3 ette nähtud riiginõukogu dekreedi avaldamist, teavitavad kasutajat süsteemide olemasolust, mis võimaldavad tal piirata või kontrollida alaealiste juurdepääsu teenustele ja sisule, mis võib kahjustada alaealiste füüsilist, vaimset või kõlbelist arengut.</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Artikkel 3</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Käesolev seadus jõustub dekreediga määratud kuupäeval, mis ei tohi olla hilisem kui kolm kuud pärast kuupäeva, mil valitsus sai kätte Euroopa Komisjoni vastuse, mis võimaldab lugeda talle teatavaks tehtud õigusnormid liidu õigusega kooskõlas olevaks.</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