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WETSONTWERP</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om </w:t>
      </w:r>
      <w:r>
        <w:rPr>
          <w:sz w:val="28"/>
          <w:b/>
          <w:rFonts w:ascii="Times New Roman" w:hAnsi="Times New Roman"/>
        </w:rPr>
        <w:t xml:space="preserve">parental control</w:t>
      </w:r>
      <w:r>
        <w:rPr>
          <w:sz w:val="28"/>
          <w:i/>
          <w:rFonts w:ascii="Times New Roman" w:hAnsi="Times New Roman"/>
        </w:rPr>
        <w:t xml:space="preserve"> op</w:t>
      </w:r>
      <w:r>
        <w:rPr>
          <w:sz w:val="28"/>
          <w:b/>
          <w:rFonts w:ascii="Times New Roman" w:hAnsi="Times New Roman"/>
        </w:rPr>
        <w:t xml:space="preserve"> middelen </w:t>
      </w:r>
      <w:r>
        <w:rPr>
          <w:sz w:val="28"/>
          <w:i/>
          <w:rFonts w:ascii="Times New Roman" w:hAnsi="Times New Roman"/>
        </w:rPr>
        <w:t xml:space="preserve">van </w:t>
      </w:r>
      <w:r>
        <w:rPr>
          <w:sz w:val="28"/>
          <w:b/>
          <w:rFonts w:ascii="Times New Roman" w:hAnsi="Times New Roman"/>
        </w:rPr>
        <w:t xml:space="preserve">internettoegang te versterken,</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Artikel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Deel 5 van hoofdstuk II van Titel I boek II van het wetboek voor post- en elektronische communicatie wordt als volgt aangevuld door artikel L. 34-9-3:</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Artikel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Eindapparatuur die bestemd is voor het gebruik van openbare online communicatiediensten die toegang bieden tot diensten en inhoud die de lichamelijke, geestelijke of morele ontwikkeling van minderjarigen kan aantasten, wordt uitgerust met een gemakkelijk toegankelijk en begrijpelijk systeem dat de gebruikers ervan in staat stelt de toegang van deze personen tot deze diensten en inhoud te beperken of te controleren.</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 activering van het in de eerste alinea bedoelde systeem wordt aan de gebruiker aangeboden wanneer de apparatuur voor het eerst in gebruik wordt genomen.</w:t>
      </w:r>
      <w:r>
        <w:rPr>
          <w:sz w:val="28"/>
          <w:rFonts w:ascii="Times New Roman" w:hAnsi="Times New Roman"/>
        </w:rPr>
        <w:t xml:space="preserve"> </w:t>
      </w:r>
      <w:r>
        <w:rPr>
          <w:sz w:val="28"/>
          <w:rFonts w:ascii="Times New Roman" w:hAnsi="Times New Roman"/>
        </w:rPr>
        <w:t xml:space="preserve">De persoonsgegevens van minderjarigen die worden verzameld of gegenereerd tijdens de activering van dit systeem mogen niet, ook niet nadat de betrokken partijen ouder worden, worden gebruikt voor commerciële doeleinden, zoals direct marketing, profilering en gedragsgerichte reclame.</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Fabrikanten zorgen er bij het in de handel brengen van hun eindapparatuur voor dat de besturingssystemen die op die apparatuur zijn geïnstalleerd, het in de eerste alinea bedoelde systeem omvatten.</w:t>
      </w:r>
      <w:r>
        <w:rPr>
          <w:sz w:val="28"/>
          <w:rFonts w:ascii="Times New Roman" w:hAnsi="Times New Roman"/>
        </w:rPr>
        <w:t xml:space="preserve"> </w:t>
      </w:r>
      <w:r>
        <w:rPr>
          <w:sz w:val="28"/>
          <w:rFonts w:ascii="Times New Roman" w:hAnsi="Times New Roman"/>
        </w:rPr>
        <w:t xml:space="preserve">De activering, het gebruik en, in voorkomend geval, de verwijdering van dit systeem is toegestaan zonder extra kosten voor de gebruiker.</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In voorkomend geval garandeert en certificeert de aanbieder van het besturingssysteem de fabrikant op verzoek van de fabrikant dat het besturingssysteem dat bestemd is om op de eindapparatuur te worden geïnstalleerd, het in die eerste alinea bedoelde systeem omvat.</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Fabrikanten garanderen importeurs, distributeurs en aanbieders van vervullingsdiensten dat eindapparatuur die in de handel wordt gebracht, het in de eerste alinea bedoelde systeem omvat.</w:t>
      </w:r>
      <w:r>
        <w:rPr>
          <w:sz w:val="28"/>
          <w:rFonts w:ascii="Times New Roman" w:hAnsi="Times New Roman"/>
        </w:rPr>
        <w:t xml:space="preserve"> </w:t>
      </w:r>
      <w:r>
        <w:rPr>
          <w:sz w:val="28"/>
          <w:rFonts w:ascii="Times New Roman" w:hAnsi="Times New Roman"/>
        </w:rPr>
        <w:t xml:space="preserve">In het in de vierde alinea van dit in Artikel I bedoelde geval zendt de fabrikant aan deze personen het certificaat van de leverancier van het besturingssysteem toe.</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Importeurs, distributeurs en verleners van vervullingsdiensten verifiëren of de eindapparatuur door de fabrikanten of, in voorkomend geval, door de leverancier van het besturingssysteem is gecertificeerd onder de in de vijfde alinea van deze in I vastgestelde voorwaarden.</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Het in de eerste alinea van dit in artikel I bedoelde systeem is niet van toepassing op apparatuur die zonder besturingssysteem in de handel wordt gebracht.</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 in de derde en vijfde alinea van dit artikel I vastgestelde verplichtingen zijn in voorkomend geval van toepassing op de gemachtigde van de fabrikant.</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Personen die de in de eerste alinea van deze in artikel I bedoelde eindapparatuur in de handel brengen, wanneer deze apparatuur wordt gebruikt als omschreven in artikel L. 321-1, derde alinea, van het wetboek van koophandel, zorgen ervoor dat deze apparatuur het in de eerste alinea van dit artikel I bedoelde systeem bevat.</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Een besluit van de Raad van State, dat is uitgevaardigd na advies van de Nationale Commissie voor informatietechnologie en vrijheden, bepaalt:</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De uitvoeringsmethoden van artikel I, met inbegrip van de minimale functies en technische kenmerken van het systeem als bedoeld in de eerste alinea van hetzelfde artikel I, en de middelen die de fabrikant gebruikt om het gebruik van dat systeem te vergemakkelijken;</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De wijze waarop fabrikanten en, in voorkomend geval, de leverancier van besturingssystemen certificeren dat de op de eindapparatuur geïnstalleerde besturingssystemen het in de eerste alinea bedoelde systeem omvatten;</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De voorwaarden waaronder de bevoegde autoriteit het in de handel brengen van de in de eerste alinea bedoelde eindapparatuur die een risico vormt of niet aan de voorschriften voldoet, kan beperken of verbieden, en de voorwaarden waaronder de bevoegde autoriteit deze apparatuur kan terugroepen of uit de handel laten nemen;</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De wijze waarop fabrikanten bijdragen tot de verspreiding van beschikbare informatie over de risico’s die verbonden zijn aan het gebruik van online openbare communicatiediensten door minderjarigen, de vroegtijdige blootstelling van kinderen aan schermen en de middelen om dergelijke risico’s te voorkomen.”</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De laatste paragraaf van I van Artikel L. 34-9-3 van het wetboek post en elektronische communicatie is van toepassing op eindapparatuur die voor het eerst in de handel wordt gebracht na de bekendmaking van het besluit van de Raad van State als bedoeld in artikel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In een besluit van de Raad van State worden de voorwaarden vastgesteld waaronder de in de laatste alinea van I van artikel L. 34-9-3 bedoelde personen met betrekking tot uitrusting die voor het eerst in de handel is gebracht vóór de publicatie van het besluit van de Raad van State als bedoeld in artikel L. 34-9-3, de gebruiker in kennis stellen van het bestaan van systemen waarmee hij de toegang van minderjarigen tot diensten en inhoud die de lichamelijke, geestelijke of morele ontwikkeling van minderjarigen kunnen aantasten, kan beperken of controleren.</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Artikel 3</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Deze wet treedt in werking op een bij decreet vastgestelde datum die niet later mag zijn dan drie maanden na ontvangst door de regering van het antwoord van de Europese Commissie op grond waarvan zij de haar meegedeelde wettelijke bepalingen als in overeenstemming met het recht van de Europese Unie kan beschouwen.</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