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80401" w:rsidRPr="00080401" w14:paraId="3EF4E0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21036" w14:textId="1470ADA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caps/>
                <w:sz w:val="24"/>
                <w:rFonts w:ascii="Times New Roman" w:hAnsi="Times New Roman"/>
              </w:rPr>
              <w:t xml:space="preserve">SERVIÇO PÚBLICO FEDERAL DE SAÚDE PÚBLICA</w:t>
            </w:r>
          </w:p>
        </w:tc>
      </w:tr>
      <w:tr w:rsidR="00080401" w:rsidRPr="00080401" w14:paraId="488AE5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A416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Projeto de lei sobre a introdução de uma pontuação de reparabilidade e longevidade e a divulgação de informações sobre a duração da compatibilidade de software dos produtos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7A4BB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9BF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87188A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7B367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FILIPE,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E6A3CE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REI DOS BELGAS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B0270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todos os presentes e aos que estão por vir,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CD592E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SAUDAÇÕES.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ECBB64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4354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Sobre a proposta do nosso Ministro do Clima, do Ambiente, do Desenvolvimento Sustentável e do Pacto Ecológico,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7CE85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CE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3553BC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5F92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ÍNDICE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F63E4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651FB7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objetivo desta lei é promover a reparação e o prolongamento da vida útil dos produtos, a fim de limitar o seu impacto no ambiente.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 projeto de lei também fornece a base jurídica para a criação de uma pontuação de reparabilidade que será complementada por uma pontuação de longevidade, a obrigação de fornecer informações sobre a duração da compatibilidade do software e as ordens de execução a serem promulgadas neste contexto.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228D3E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3066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3F1E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AF46B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8864A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EXPOSIÇÃO DOS MOTIVOS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A490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4D893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Senhoras e senhores,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494FDD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DAB6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projeto visa promover a reparação e o prolongamento da vida útil dos produtos, a fim de limitar o seu impacto no ambiente.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Para isso, estabelece, por um lado, uma pontuação de reparabilidade e uma pontuação de longevidade.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Essas pontuações consistem em uma pontuação calculada com base em critérios objetivos que permitem avaliar a reparabilidade ou longevidade de um produto.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Por outro lado, o projeto prevê a obrigação de informar sobre a duração da compatibilidade do software.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Esta obrigação consiste em informar o utilizador final sobre o período durante o qual o produto poderá suportar atualizações sucessivas que são essenciais para o seu bom funcionamento.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BA4FD2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criação de uma pontuação de reparabilidade que acabará por ser complementada por uma pontuação de longevidade e a introdução de uma obrigação de informação sobre a duração da compatibilidade do software destinam-se a aumentar a vida útil dos produtos, o que, por razões ambientais, é agora indispensável.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39040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Todos os anos, cerca de 160 milhões de dispositivos elétricos e eletrónicos entram no mercado belga, o que representa um peso de 245 000 toneladas.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Estima-se que 420 milhões de unidades ainda estejam em circulação, das quais 87 % ainda estão em uso.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Estes eletrodomésticos, que vão desde produtos de linha branca e castanha a pequenos dispositivos eletrónicos, como smartphones e portáteis, têm um impacto ambiental significativo.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FFE810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Além disso, são geradas anualmente cerca de 120 000 toneladas de resíduos elétricos e eletrónicos.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Este valor é, na verdade, subestimado porque grande parte destes resíduos desaparece através de canais para os quais não está previsto qualquer método de registo.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Parte destes resíduos é tratada através de canais ilegais.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Alguns dispositivos em fim de vida são até exportados para países onde não existem meios de reciclagem e onde a eliminação de resíduos é feita sem qualquer controlo e é prejudicial para o ambiente e a saúde.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Por conseguinte, uma vida útil mais longa reduzirá a quantidade de resíduos.</w:t>
            </w:r>
            <w:r>
              <w:rPr>
                <w:sz w:val="24"/>
                <w:rFonts w:ascii="Times New Roman" w:hAnsi="Times New Roman"/>
              </w:rPr>
              <w:t xml:space="preserve">    </w:t>
            </w:r>
          </w:p>
          <w:p w14:paraId="11A84A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Além disso, a rápida eliminação destes produtos resulta numa perda significativa de matérias-primas.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Na verdade, cerca de 14% da pegada material do que as famílias belgas consomem como bens de consumo provêm de aparelhos elétricos.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extração de matérias-primas conduz a pressões ambientais elevadas a nível local em resultado das atividades mineiras.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Isto resulta em graves perturbações do ecossistema e na contaminação local da água e do solo.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procura crescente de matérias-primas está a dar origem a planos para a abertura de novas minas na Europa.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procura de minas em águas profundas em larga escala também está a aumentar.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Essa exploração mineira conduziria a uma perturbação do ambiente marinho.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Algumas destas matérias-primas são consideradas críticas, ou seja, são economicamente importantes, mas não são adquiridas por razões económicas ou geopolíticas.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03169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lista de matérias-primas consideradas críticas, elaborada pela primeira vez pela Comissão Europeia em 2011, está a crescer à medida que é atualizada.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Esta situação constitui, por conseguinte, uma ameaça para a transição energética e a digitalização, que exigem muitas matérias-primas consideradas críticas, nomeadamente no domínio da criação de infraestruturas para a produção e armazenagem de energia verde (painéis solares, turbinas eólicas e baterias).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ACEB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produção de aparelhos elétricos provoca emissões significativas de CO2.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Cerca de 16% da pegada de carbono associada ao consumo de bens de consumo pelas famílias belgas provém de aparelhos elétricos.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produção de aparelhos elétricos resulta em emissões de cerca de 3 000 000 toneladas de CO2 por ano.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Uma vida útil mais longa dos aparelhos leva, por conseguinte, a uma diminuição das emissões de CO2 ao longo da cadeia de produção.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ED71E5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Também é interessante, por razões socioeconómicas, dispor de dispositivos mais facilmente reparáveis no mercado.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Embora os novos equipamentos sejam produzidos principalmente fora da Bélgica, a reparação tem o efeito de criar postos de trabalho a nível local.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indústria de reparação já desempenha um papel importante hoje em dia.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Em média, um belga gasta 10 EUR por ano na reparação de eletrodomésticos.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Isto só tem em conta uma parte das reparações para as quais existem números oficiais.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As estimativas indicam que, na prática, cerca de metade das atividades de reparação decorrem num contexto informal.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Uma vida útil mais longa reduz o custo do ciclo de vida de um dispositivo.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Este é o custo que leva em conta tanto o preço de compra como a vida útil, bem como o custo de manutenção e reparos.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Estudos de casos de aspiradores e máquinas de lavar roupa mostram que a reparação de um aparelho é muitas vezes mais económica do que substituí-lo por um novo.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Os aparelhos com uma vida útil mais longa também criam um mercado de vendas em segunda mão maior.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Quase 40 % dos agregados familiares possuem um ou mais aparelhos em segunda mão.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10 % dos aparelhos são usados.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21 % dos aparelhos elétricos usados substituem um novo.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Isto não só reduz os danos ambientais, como também oferece aparelhos a um preço mais baixo, tornando os aparelhos de boa qualidade acessíveis a mais pessoas.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B36B3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Esta iniciativa legislativa faz parte do Plano de Ação Federal para a Economia Circular, adotado pelo Conselho de Ministros em 17 de dezembro de 2021.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É amplamente inspirado pela França, que implementou uma pontuação de reparabilidade e uma obrigação de fornecer informações sobre compatibilidade de software em 1</w:t>
            </w:r>
            <w:r>
              <w:rPr>
                <w:sz w:val="24"/>
                <w:rFonts w:ascii="Times New Roman" w:hAnsi="Times New Roman"/>
              </w:rPr>
              <w:t xml:space="preserve"> de janeiro 2021 como parte da lei antirresíduos e para a economia circular promulgada em 10 de fevereiro de 2020.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7263BA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Por conseguinte, esta iniciativa legislativa contribui para a proteção do ambiente, destacando, em primeiro lugar, as características de reparação e durabilidade dos produtos.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Desta forma, o utilizador final poderá tornar-se mais facilmente consciente da natureza reparável e duradoura do produto que pretende adquirir.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Em segundo lugar, prevê que a colocação no mercado dos produtos em causa dependa da obtenção de uma pontuação mínima.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0CA975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projeto de lei é, portanto, um instrumento para combater a obsolescência prematura, a fim de evitar o descarte precoce de produtos e preservar os recursos naturais necessários à sua produção.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1C7DC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âmbito destas medidas será aplicado por etapas.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As categorias de produtos em causa serão definidas e poderão ser prorrogadas por decretos reais deliberados em Conselho de Ministros.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123C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comunicação de pontuações e informações sobre compatibilidade de software também será determinada por Decreto Real.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Tal justifica-se do ponto de vista organizativo.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 trabalho por etapas garante a viabilidade prática destas medidas, que exigem um certo tempo para retroceder e adaptar.</w:t>
            </w:r>
            <w:r>
              <w:rPr>
                <w:sz w:val="24"/>
                <w:rFonts w:ascii="Times New Roman" w:hAnsi="Times New Roman"/>
              </w:rPr>
              <w:t xml:space="preserve">   </w:t>
            </w:r>
          </w:p>
        </w:tc>
      </w:tr>
      <w:tr w:rsidR="00080401" w:rsidRPr="00080401" w14:paraId="6E75A05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9A4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47C2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4704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COMENTÁRIOS SOBRE OS ARTIGOS</w:t>
            </w: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8C7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E9F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Artigo 1.º</w:t>
            </w:r>
            <w:r>
              <w:rPr>
                <w:sz w:val="19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6B68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704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especifica a base constitucional das competências.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10BBE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B11E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2.º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AE36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8D1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contém as definições de termos específicos utilizados na Lei e nos seus decretos.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66F30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3EA7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3.º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9DD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55F6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contém a finalidade da lei.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1A44E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4332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4.º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64E96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1B8B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estabelece os critérios a ter em conta na determinação da pontuação de reparabilidade.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7A929A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Rei determina, por decreto real, deliberado no Conselho de Ministros, a lista dos produtos abrangidos pela pontuação de reparabilidade, as normas técnicas por categoria de produtos que permitem estabelecer as pontuações para cada um dos critérios do índice, o método de cálculo da pontuação global de reparação.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B034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Rei determinará, por Decreto Real, os métodos de comunicação e formato do índice, bem como a acessibilidade às normas técnicas.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5C8BF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Rei determinará, por decreto real deliberado no Conselho de Ministros, a pontuação mínima de reparabilidade a atingir para cada categoria de produtos designada como condição para a sua colocação no mercado.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As regiões estão associadas a este projeto de decreto real através da Conferência Interministerial sobre o Ambiente.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 Conselho Económico Central, o Conselho dos Consumidores e o Conselho Federal para o Desenvolvimento Sustentável foram convidados a emitir um parecer sobre este projeto de decreto real.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15F76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AF2741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D618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5.º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071E1F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C9B9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prevê a obrigação de o responsável pela colocação dos produtos no mercado fornecer informações sobre a duração da compatibilidade do software desses produtos.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5C954F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Rei determinará, por decreto real deliberado no Conselho de Ministros, a lista dos produtos abrangidos.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CD0C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Rei determinará, por Decreto Real, os termos de comunicação das informações sobre a duração da compatibilidade do software, bem como o formato em que as informações devem ser comunicadas.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Ele também define a acessibilidade aos parâmetros que tornaram possível determinar a duração da compatibilidade do software.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</w:tc>
      </w:tr>
      <w:tr w:rsidR="00080401" w:rsidRPr="00080401" w14:paraId="7299DE1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202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 6.º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0B4B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B369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Rei determina por decreto real, deliberado no Conselho de Ministros, a lista dos produtos abrangidos pela pontuação de longevidade, as normas técnicas por categoria de produtos que permitem estabelecer as pontuações para cada um dos critérios do índice e o método de cálculo da pontuação global da longevidade.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198E9F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Rei determinará, por Decreto Real, os métodos de comunicação do índice e o seu formato e acessibilidade às normas técnicas.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25540D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Rei determinará, por decreto real deliberado no Conselho de Ministros, a pontuação mínima de longevidade a atingir para cada categoria de produtos visados como condição para a sua colocação no mercado.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As regiões estão associadas a este projeto de decreto real através da Conferência Interministerial sobre o Ambiente.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 Conselho Económico Central, o Conselho dos Consumidores e o Conselho Federal para o Desenvolvimento Sustentável foram convidados a emitir um parecer sobre este projeto de decreto real.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3BA4445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estabelece o critério da pontuação de longevidade que, numa segunda fase, complementará a pontuação de reparabilidade.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DF13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4F1A1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ABC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Artigo 7.º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A1FD2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230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prevê o tratamento de dados pessoais nos artigos 8.º, 9.º, 10.º e 11.º.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FA3C10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932EF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Artigo 8.º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23DA8F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131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estabelece a responsabilidade dos fabricantes, importadores, distribuidores e vendedores de produtos, distinguindo a prestação de informações da divulgação de informações.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48E8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91DC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Artigo 9.º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8EBBE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DF4A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determina os inspetores competentes para o controlo da presente fatura.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Trata-se dos serviços de inspeção da Direção-Geral do Ambiente do Serviço Federal de Saúde Pública, Segurança da Cadeia Alimentar e Ambiente.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3F182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Rei determinará, por decreto real, as disposições técnicas relativas ao controlo, incluindo no âmbito da inspeção dos produtos vendidos em linha.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2095C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B730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Artigo 10.º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3372E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4B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contém o sistema de sanções penais previsto no artigo 4.º, n.º 4, e no artigo 6.º, n.º 4.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E7F6B4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539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Artigo 11.º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26040B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2CA8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contém as regras processuais aplicáveis às sanções penais.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717AF5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F4B4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Artigo 12.º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EA16E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F9B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contém o sistema de sanções administrativas do projeto de lei.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FBADDE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CD31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Artigo 13.º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B59F02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03B9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Este artigo trata da entrada em vigor da lei, nomeadamente seis meses após a sua publicação no Diário Oficial da Bélgica.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49F0B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011F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0A51C2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198F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DECRETÁMOS E PELO PRESENTE DECRETAMOS: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66F4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22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449058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CC4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O Ministro do Clima, do Ambiente, do Desenvolvimento Sustentável e do Pacto Ecológico é responsável pela apresentação do seguinte projeto de lei à Câmara dos Representantes em nosso nome: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95015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519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6B404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0536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Capítulo I — Disposições introdutórias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334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D925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516A9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F6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 1.º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6162BDF" w14:textId="77777777" w:rsidTr="00080401">
        <w:trPr>
          <w:trHeight w:val="57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20A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Esta lei rege uma das matérias referidas no artigo 74.º da Constituição.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90569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E077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2.º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F2526A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69ED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Para a aplicação da presente lei, são aplicáveis as seguintes definições: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18A2F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E30465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“pontuação de reparação”: pontuação que avalia a viabilidade da desmontagem e reparação de um produto.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D07D11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 “compatibilidade do software”: informações sobre a duração do apoio do fabricante ou fornecedor e atualização do sistema operativo ou software para garantir a utilização normal do produto por um utilizador prudente e razoável.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FEE77B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 “pontuação de longevidade”: pontuação avaliando a robustez e confiabilidade de um produto.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737F3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 “norma técnica”: norma para as características técnicas de um produto para calcular a pontuação para cada critério.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BE47C1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 “manual de manutenção”: documento educacional, destinado a explicar e facilitar a manutenção do produto.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790B5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(6) “manual de reparação”: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documento educacional, destinado a explicar e facilitar a reparação do produto.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B40C8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7) “fiabilidade do produto”: manifesta a probabilidade de um produto desempenhar as suas funções pretendidas durante um determinado período de tempo.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5152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(8) “robustez do produto”: expressa a solidez e a força de um produto.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9CF948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(9) “colocação no mercado”:</w:t>
            </w:r>
            <w:r>
              <w:rPr>
                <w:sz w:val="24"/>
                <w:rFonts w:ascii="Times New Roman" w:hAnsi="Times New Roman"/>
              </w:rPr>
              <w:t xml:space="preserve">  </w:t>
            </w:r>
            <w:r>
              <w:rPr>
                <w:sz w:val="24"/>
                <w:rFonts w:ascii="Times New Roman" w:hAnsi="Times New Roman"/>
              </w:rPr>
              <w:t xml:space="preserve">introdução, importação ou detenção para venda ou colocação à disposição de terceiros, oferta para venda, venda, aluguer, locação financeira ou cedência a título oneroso ou gratuito, incluindo a venda em linha.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B8244E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(10):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“responsável pela colocação no mercado”: fabricantes, importadores, distribuidores e vendedores de produtos abrangidos pelo grau de reparação, longevidade e obrigação de fornecer informações sobre a duração da compatibilidade do software.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F9B2D4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D94F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8CC7A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97EF23" w14:textId="77777777" w:rsidTr="00080401">
        <w:trPr>
          <w:trHeight w:val="48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1DF14" w14:textId="74ABF0C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4"/>
                <w:shd w:val="clear" w:color="auto" w:fill="FFFFFF"/>
                <w:rStyle w:val="normaltextrun"/>
                <w:b/>
                <w:rFonts w:ascii="Times New Roman" w:hAnsi="Times New Roman"/>
              </w:rPr>
              <w:t xml:space="preserve">Capítulo II — Disposições gerais</w:t>
            </w:r>
            <w:r>
              <w:rPr>
                <w:color w:val="000000"/>
                <w:sz w:val="24"/>
                <w:shd w:val="clear" w:color="auto" w:fill="FFFFFF"/>
                <w:rStyle w:val="eop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8925D4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DE8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538D7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233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3.º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E5F231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6F03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1B1E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objetivo desta lei é proteger o meio ambiente, introduzindo uma pontuação de reparabilidade que será complementada por uma pontuação de longevidade, bem como informando sobre a compatibilidade do software dos produtos, a fim de promover a sua reparação e aumentar a sua duração de utilização.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Os produtos abrangidos pela presente lei referem-se apenas a novos produtos vendidos, excluindo os produtos em segunda mão.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7876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1FA3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36C3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1564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Capítulo III — Pontuação de reparabilidade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2E45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D143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FCDCFB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E5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4.º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4D9F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73F2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É criada uma pontuação de reparabilidade para os produtos referidos no n.º 2 do artigo 4.º, calculada com base nos seguintes critérios: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C2DBB0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disponibilidade de informações técnicas e manuais de manutenção e reparação.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16D579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Facilidade com que o produto em causa pode ser desmontado.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AC6C18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disponibilidade no mercado de peças sobresselentes e o seu prazo de entrega.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5FA5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 preço das peças sobresselentes.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FE076F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Outros critérios especificamente relacionados com o produto.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141F8E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AF61E0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EEA5B8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Rei determinará, por decreto real deliberado no Conselho de Ministros, a lista dos produtos abrangidos pela pontuação de reparabilidade e, por categoria de produto, as normas técnicas para estabelecer as pontuações para cada um dos critérios acima mencionados.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Também determina o método de cálculo da pontuação global de reparabilidade.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FC6A00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3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Rei determinará por Decreto Real os métodos de comunicação da pontuação de reparabilidade, bem como o formato em que deve ser comunicada.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Ele também define a acessibilidade às normas técnicas e o cálculo da pontuação.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1F6707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4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Rei determinará, por decreto real deliberado no Conselho de Ministros, a pontuação mínima de reparabilidade a atingir para cada categoria de produtos referida no n.º 2 do artigo 4.º da presente lei como condição para a sua colocação no mercado.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As regiões estão associadas a este projeto de decreto real através da Conferência Interministerial sobre o Ambiente.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Conselho Económico Central, o Conselho dos Consumidores e o Conselho Federal para o Desenvolvimento Sustentável foram convidados a emitir um parecer sobre este projeto de decreto real.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645F8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A8353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98AA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5BA228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DE94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Capítulo IV — Informações de compatibilidade do software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71089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B6C9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F3F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2A3B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5.º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27115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CAEC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Para os produtos referidos no artigo 5.º, n.º 2, a pessoa responsável pela colocação no mercado deve fornecer</w:t>
            </w:r>
            <w:r>
              <w:rPr>
                <w:sz w:val="24"/>
                <w:rFonts w:ascii="Times New Roman" w:hAnsi="Times New Roman"/>
              </w:rPr>
              <w:t xml:space="preserve"> ao utilizador final informações sobre a duração da compatibilidade do software.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A597A2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avaliação da manutenção das características existentes aquando da compra do produto tem em conta o desgaste devido ao tempo em que o produto é utilizado de forma prudente e diligente pelo seu utilizador.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5AF37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F4F33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922C6D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633F63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Rei determinará, por decreto real deliberado no Conselho de Ministros, a lista dos produtos abrangidos pela obrigação de informar sobre a duração da compatibilidade do software.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727A2F7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47CCA7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3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Rei determinará, por decreto real, os métodos de comunicação de informações sobre a compatibilidade do software, bem como o formato em que as informações devem ser comunicadas.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Ele também define a acessibilidade aos parâmetros que permitiram determinar a duração da compatibilidade do software.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7009B18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EEF28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60287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BE294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Capítulo V — Pontuação de longevidade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116C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E7D1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D8F54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28E0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 6.º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D3F0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B915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Uma pontuação de longevidade, que complementa a pontuação de reparabilidade referida no artigo 4.º para os produtos referidos no artigo 6.º, n.º 2, calculada com base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na fiabilidade e robustez específicas de cada categoria de produtos.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C4DD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Rei determinará, por decreto real deliberado no Conselho de Ministros, a lista dos produtos abrangidos pela pontuação de longevidade e as normas técnicas para estabelecer a pontuação e o método de cálculo da pontuação.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769B8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3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Rei determinará, por Decreto Real, os métodos de comunicação da pontuação de longevidade e o formato em que deve ser comunicada.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Também define a acessibilidade das informações que permitiram determinar a pontuação de longevidade.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DDF5E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4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Rei determinará, por decreto real deliberado no Conselho de Ministros, a pontuação mínima de longevidade a atingir para cada categoria de produtos referida no n.º 2 do artigo 6.º da presente lei como condição para a sua colocação no mercado.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As regiões estão associadas a este projeto de decreto real através da Conferência Interministerial sobre o Ambiente.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Conselho Económico Central, o Conselho dos Consumidores e o Conselho Federal para o Desenvolvimento Sustentável foram convidados a emitir um parecer sobre este projeto de decreto real.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644A7C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6D0F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b/>
                <w:rFonts w:ascii="Times New Roman" w:hAnsi="Times New Roman"/>
              </w:rPr>
              <w:t xml:space="preserve">Capítulo VI — Tratamento de dados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C07B43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80BC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B0C16D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9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Artigo 7.º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46A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4D7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Serviço Federal de Saúde Pública é o único serviço público competente e responsável pelo tratamento de dados pessoais no âmbito dos artigos 8.º, 9.º, 10.º e 11.º desta Lei.</w:t>
            </w:r>
            <w:r>
              <w:rPr>
                <w:sz w:val="24"/>
                <w:rFonts w:ascii="Times New Roman" w:hAnsi="Times New Roman"/>
              </w:rPr>
              <w:t xml:space="preserve"> 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O período máximo de conservação dos dados pessoais a tratar é de cinco anos.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4F4AE4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106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Capítulo VII — Responsabilidade</w:t>
            </w:r>
            <w:r>
              <w:rPr>
                <w:rFonts w:ascii="Times New Roman" w:hAnsi="Times New Roman"/>
              </w:rPr>
              <w:t xml:space="preserve"> </w:t>
            </w:r>
          </w:p>
          <w:p w14:paraId="4AE4C20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08C21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FDAC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94C3C5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B807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Artigo 8.º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0351C5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3605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Os fabricantes e importadores dos produtos referidos no n.º 2 do artigo 4.º, no n.º 2 do artigo 5.º e no n.º 2 do artigo 6.º da presente lei são responsáveis pelo fornecimento da</w:t>
            </w:r>
            <w:r>
              <w:rPr>
                <w:sz w:val="24"/>
                <w:rFonts w:ascii="Times New Roman" w:hAnsi="Times New Roman"/>
              </w:rPr>
              <w:t xml:space="preserve"> pontuação de reparabilidade, a pontuação de longevidade e informações sobre a duração da compatibilidade de software dos produtos.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88302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509AA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Os vendedores e distribuidores dos produtos referidos no n.º 2 do artigo 4.º, no n.º 2 do artigo 5.º e no n.º 2 do artigo 6.º da presente lei são responsáveis pela comunicação da pontuação de reparabilidade, da pontuação de</w:t>
            </w:r>
            <w:r>
              <w:rPr>
                <w:sz w:val="24"/>
                <w:rFonts w:ascii="Times New Roman" w:hAnsi="Times New Roman"/>
              </w:rPr>
              <w:t xml:space="preserve"> longevidade e informações sobre a compatibilidade de software dos produtos.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EEBE2B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São igualmente responsáveis pelo acesso à informação técnica.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65031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228710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D274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707A33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5407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Capítulo VIII — Controlo e sanções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E1657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CB75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85BB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E1A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9.º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A8AA01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3120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A aplicação desta lei é acompanhada pelo serviço de inspeção da Direção-Geral do Ambiente do Serviço Federal de Saúde Pública, Segurança da Cadeia Alimentar e Ambiente.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B97B09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55EA2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Rei determina, por decreto ministerial, as disposições técnicas relativas ao controlo, incluindo no âmbito da inspeção dos produtos vendidos em linha, incluindo os termos das coimas administrativas.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22DF77F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D7B4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C4DE62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8F28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10.º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10EFB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486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É punível com uma coima penal de 100 a 100 000 EUR, qualquer pessoa que viole o artigo 4.º, n.º 4, e o artigo 6.º, n.º 4, da presente lei.</w:t>
            </w:r>
            <w:r>
              <w:rPr>
                <w:sz w:val="24"/>
                <w:rFonts w:ascii="Segoe UI" w:hAnsi="Segoe UI"/>
              </w:rPr>
              <w:t xml:space="preserve">  </w:t>
            </w:r>
          </w:p>
          <w:p w14:paraId="7E302A8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As multas previstas no § 1 devem ser aumentadas em conformidade com a Lei de 5 de março de 1952 relativa às sobretaxas sobre as coimas penais.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8DCBBB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1AFFC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1D33F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02598D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 fim de proteger o ambiente, o juiz penal pode ordenar as seguintes medidas: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D64DA13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1) proibição de importar o produto objeto da infração;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2) retirada do mercado do produto objeto da infração;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3) a publicação da sentença da forma que determinar e a expensas da pessoa condenada.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E2B2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F76F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11.º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324B8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D0BA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1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Os membros do pessoal estatutário ou contratual nomeado pelo Rei nos termos do artigo 9.º, n.º 2, da presente lei devem enviar a ata de averiguação da infração.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F14ED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0EE977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2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Ministério Público decide se deve ou não intentar uma ação penal.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Os processos penais excluem a aplicação de uma coima administrativa, mesmo que uma absolvição as ponha termo.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4C35314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6FB400" w14:textId="77777777" w:rsidR="00880EA5" w:rsidRDefault="00080401" w:rsidP="00080401">
            <w:pPr>
              <w:spacing w:after="0" w:line="240" w:lineRule="auto"/>
              <w:jc w:val="both"/>
              <w:textAlignment w:val="baseline"/>
              <w:rPr>
                <w:sz w:val="24"/>
                <w:rFonts w:ascii="Segoe UI" w:hAnsi="Segoe UI"/>
              </w:rPr>
            </w:pPr>
            <w:r>
              <w:rPr>
                <w:sz w:val="24"/>
                <w:rFonts w:ascii="Segoe UI" w:hAnsi="Segoe UI"/>
              </w:rPr>
              <w:t xml:space="preserve">§ 3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Ministério Público dispõe de um prazo de três meses a contar da data de receção da ata para notificar a sua decisão ao funcionário governamental designado pelo Rei nos termos do artigo 9.º, n.º 2, da presente lei.</w:t>
            </w:r>
          </w:p>
          <w:p w14:paraId="2FB05F77" w14:textId="09083F43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Caso o Ministério Público renuncie ao processo penal ou não notifique a sua decisão no prazo fixado, o funcionário governamental designado pelo Rei nos termos do artigo 9.º, n.º 2, da presente lei, nos termos e condições por ele fixados, decidirá, após ter dado ao interessado condições de defesa, se for oportuno propor uma coima com base na infração.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4B169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 4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O funcionário pode propor ao infrator uma coima administrativa, após ter dado ao interessado a possibilidade de apresentar os seus meios de defesa.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Se não for apresentada qualquer proposta de multa, a ata é transmitida ao Ministério Público.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Se tiver sido apresentada uma proposta de multa administrativa, deve ser enviada ao Ministério Público, para informação, uma cópia da ata.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7ADBDA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52592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7609D0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8ACF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12.º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03EC49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4136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1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Não obstante o cumprimento do disposto no artigo 10.º da presente lei, será aplicada uma coima administrativa de 100 a 30 000 EUR se infringir os artigos 4.º, 5.º e 6.º.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 </w:t>
            </w:r>
          </w:p>
          <w:p w14:paraId="3018CFF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42EF6BF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60E64E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 2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As sobretaxas referidas no n.º 1 do § 1 da Lei de 5 de março de 1952 relativa às sobretaxas sobre coimas penais aplicam-se igualmente às coimas administrativas do § 1 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deste artigo.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 </w:t>
            </w:r>
          </w:p>
          <w:p w14:paraId="2142FC1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1CED5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 3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A gestão e a emissão de coimas administrativas são da responsabilidade do Serviço Jurídico do Serviço Federal de Saúde Pública, Segurança da Cadeia Alimentar e Meio Ambiente.</w:t>
            </w:r>
            <w:r>
              <w:rPr>
                <w:color w:val="000000"/>
                <w:sz w:val="24"/>
                <w:rFonts w:ascii="Segoe UI" w:hAnsi="Segoe UI"/>
              </w:rPr>
              <w:t xml:space="preserve"> </w:t>
            </w:r>
          </w:p>
          <w:p w14:paraId="16F0D1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FB2C7E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8AC532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 4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As coimas administrativas aplicadas na sequência da ata elaborada pelos serviços referidos no n.º 1 do artigo 9.º serão pagas ao Fundo Orçamental para as matérias-primas e produtos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05FE84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C25EF0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82FF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973EE5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FAB8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CAPÍTULO IX – Disposições finais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CBD48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BAEC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48C1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E12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Artigo 13.º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D17A4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D5F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A presente lei entra em vigor seis meses após a data de publicação no Jornal Oficial da Bélgica.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3BD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C0B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49F71F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BB13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Emitido em Bruxelas, em.../.../2022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AD46D3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A5B4C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Pelo Rei: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2E2A157" w14:textId="77777777" w:rsidTr="00080401">
        <w:trPr>
          <w:trHeight w:val="2235"/>
        </w:trPr>
        <w:tc>
          <w:tcPr>
            <w:tcW w:w="9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31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382747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B9F2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994EC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70E5B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8287B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40D89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FILIPE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6614E1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DFCB61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1C2278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472BB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O Ministro do Clima, do Ambiente, do Desenvolvimento Sustentável e do Pacto Ecológico,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914EC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D34E0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5B23BCE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31AD4426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5F1C3860" w14:textId="77777777" w:rsidR="00080401" w:rsidRDefault="00080401" w:rsidP="0008040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8AB9B28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Z. KHATTABI</w:t>
            </w:r>
            <w:r>
              <w:rPr>
                <w:rStyle w:val="eop"/>
              </w:rPr>
              <w:t xml:space="preserve"> </w:t>
            </w:r>
          </w:p>
          <w:p w14:paraId="0343013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789A0E68" w14:textId="77777777" w:rsidR="006E076C" w:rsidRDefault="006E076C"/>
    <w:sectPr w:rsidR="006E076C" w:rsidSect="001B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1"/>
    <w:rsid w:val="00080401"/>
    <w:rsid w:val="001B64FB"/>
    <w:rsid w:val="005770C7"/>
    <w:rsid w:val="006E076C"/>
    <w:rsid w:val="007B4C8F"/>
    <w:rsid w:val="0088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B86F"/>
  <w15:chartTrackingRefBased/>
  <w15:docId w15:val="{6A6BA2B3-5A85-40BE-8A42-DE457D1D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080401"/>
  </w:style>
  <w:style w:type="character" w:customStyle="1" w:styleId="eop">
    <w:name w:val="eop"/>
    <w:basedOn w:val="DefaultParagraphFont"/>
    <w:rsid w:val="00080401"/>
  </w:style>
  <w:style w:type="character" w:customStyle="1" w:styleId="scxw201559074">
    <w:name w:val="scxw201559074"/>
    <w:basedOn w:val="DefaultParagraphFont"/>
    <w:rsid w:val="0008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Sirine Echakafi (SPF Santé Publique - FOD Volksgezondheid)</dc:creator>
  <cp:keywords/>
  <dc:description/>
  <cp:lastModifiedBy>Dimitris Dimitriadis</cp:lastModifiedBy>
  <cp:revision>3</cp:revision>
  <dcterms:created xsi:type="dcterms:W3CDTF">2022-09-21T09:27:00Z</dcterms:created>
  <dcterms:modified xsi:type="dcterms:W3CDTF">2022-09-26T11:32:00Z</dcterms:modified>
</cp:coreProperties>
</file>