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0A093" w14:textId="77777777" w:rsidR="00F3442A" w:rsidRPr="00006360" w:rsidRDefault="00E8180F" w:rsidP="0074486B">
      <w:r>
        <w:t>Præambel</w:t>
      </w:r>
    </w:p>
    <w:p w14:paraId="6C4CF8C6" w14:textId="77777777" w:rsidR="00F3442A" w:rsidRPr="00006360" w:rsidRDefault="00F3442A" w:rsidP="0074486B"/>
    <w:p w14:paraId="2F406B97" w14:textId="59272201" w:rsidR="00EA20C6" w:rsidRPr="00006360" w:rsidRDefault="00E8180F" w:rsidP="0074486B">
      <w:r>
        <w:t>Plast gør vores liv nemmere på flere måder og er ofte lettere og billigere end andre alternative materialer, hvis der blot tages hensyn til dens produktionsomkostninger. Men denne fordel, kombineret med andre markedsdynamikker, fører til et overdrevent brug af plast og fremmer en kultur af bortskaffelse.</w:t>
      </w:r>
    </w:p>
    <w:p w14:paraId="2E628EFC" w14:textId="76705B00" w:rsidR="00F3442A" w:rsidRPr="00006360" w:rsidRDefault="00EA20C6" w:rsidP="0074486B">
      <w:r>
        <w:t xml:space="preserve">Hvis den ikke bortskaffes eller genanvendes ordentligt, kan plasten ende i miljøet, hvor den kan forblive i flere århundreder, som den nedbrydes til mindre stykker. Når disse små stykker måler mindre end 5 mm, kaldes de </w:t>
      </w:r>
      <w:r>
        <w:rPr>
          <w:rStyle w:val="Strong"/>
          <w:b w:val="0"/>
        </w:rPr>
        <w:t>“mikroplast”</w:t>
      </w:r>
      <w:r>
        <w:t xml:space="preserve"> og bliver en kilde til bekymring på grund af deres lange levetid og potentiale til at ophobe sig i naturen.</w:t>
      </w:r>
    </w:p>
    <w:p w14:paraId="1EB99D83" w14:textId="60DBC92C" w:rsidR="00F3442A" w:rsidRPr="00006360" w:rsidRDefault="00E8180F" w:rsidP="0074486B">
      <w:r>
        <w:t xml:space="preserve">Mikroplast er faste partikler, der består af blandinger af polymerer og funktionelle tilsætningsstoffer. Mikroplast kan </w:t>
      </w:r>
      <w:r>
        <w:rPr>
          <w:rStyle w:val="Strong"/>
          <w:b w:val="0"/>
        </w:rPr>
        <w:t>dannes utilsigtet</w:t>
      </w:r>
      <w:r>
        <w:t xml:space="preserve">, f.eks. på grund af oxidering af polymere materialer, der anvendes i plastgenstande, dæk eller syntetiske tekstiler. De </w:t>
      </w:r>
      <w:r>
        <w:rPr>
          <w:rStyle w:val="Strong"/>
          <w:b w:val="0"/>
        </w:rPr>
        <w:t>fremstilles dog også forsætligt</w:t>
      </w:r>
      <w:r>
        <w:t xml:space="preserve"> og </w:t>
      </w:r>
      <w:r>
        <w:rPr>
          <w:rStyle w:val="Strong"/>
          <w:b w:val="0"/>
        </w:rPr>
        <w:t>tilsættes</w:t>
      </w:r>
      <w:r>
        <w:t xml:space="preserve"> produkter til specifikke formål, såsom eksfolierende mikroperler i ansigts- eller kropsskrubbemidler.</w:t>
      </w:r>
    </w:p>
    <w:p w14:paraId="2E262D6B" w14:textId="17837B55" w:rsidR="00F3442A" w:rsidRPr="008F4FB8" w:rsidRDefault="00E8180F" w:rsidP="008F4FB8">
      <w:r>
        <w:t>Motiveret af miljø- og sundhedsproblemer har flere EU-medlemsstater allerede vedtaget eller foreslået nationale forbud mod forsætlig anvendelse af mikroplast i forbrugerprodukter. Forbuddene vedrører hovedsagelig anvendelsen af mikroperler i kosmetik, som dræner vandet efter brug, hvor de anvendes som slibe- og polermidler.</w:t>
      </w:r>
    </w:p>
    <w:p w14:paraId="6449E11D" w14:textId="6BEC7738" w:rsidR="00F3442A" w:rsidRPr="00006360" w:rsidRDefault="00EA20C6" w:rsidP="0074486B">
      <w:r>
        <w:t>Med forbehold af national lovgivning, der finder anvendelse i flere medlemsstater, udarbejdes der på EU-plan et udkast til begrænsning af mikroplast inden for rammerne af Europa-Parlamentets og Rådets forordning (EF) nr. 1907/2006 af 18. december 2006 om registrering, vurdering og godkendelse af samt begrænsninger for kemikalier (REACH) med et bredere anvendelsesområde end det, der er omfattet af denne lov.</w:t>
      </w:r>
    </w:p>
    <w:p w14:paraId="61239819" w14:textId="3AEFBF48" w:rsidR="00814203" w:rsidRPr="008F4FB8" w:rsidRDefault="00BF7812" w:rsidP="0074486B">
      <w:pPr>
        <w:rPr>
          <w:iCs/>
        </w:rPr>
      </w:pPr>
      <w:r>
        <w:t xml:space="preserve">I 2017 anmodede Europa-Kommissionen Det Europæiske Kemikalieagentur (ECHA) om at vurdere videnskabelig dokumentation for vedtagelsen af lovgivningsmæssige </w:t>
      </w:r>
      <w:r>
        <w:lastRenderedPageBreak/>
        <w:t xml:space="preserve">foranstaltninger på EU-plan vedrørende mikroplast, der forsætligt tilsættes produkter, og i januar 2019 foreslog ECHA et vidtrækkende forbud mod mikroplast i produkter, der markedsføres i EU, for at forhindre eller begrænse dens udslip i miljøet. </w:t>
      </w:r>
    </w:p>
    <w:p w14:paraId="22ED419D" w14:textId="69A685EB" w:rsidR="00814203" w:rsidRPr="008F4FB8" w:rsidRDefault="00814203" w:rsidP="0074486B">
      <w:r>
        <w:t>ECHA's vurdering var, at der for visse anvendelser af mikroplast allerede findes alternativer på markedet, nemlig mikroperler med eksfolierende- og rengøringsfunktioner, der anvendes i kosmetik, som skylles med vand.</w:t>
      </w:r>
    </w:p>
    <w:p w14:paraId="25269A95" w14:textId="38FF5B8E" w:rsidR="00F3442A" w:rsidRPr="008F4FB8" w:rsidRDefault="00E8180F" w:rsidP="0074486B">
      <w:pPr>
        <w:rPr>
          <w:iCs/>
        </w:rPr>
      </w:pPr>
      <w:r>
        <w:t>Europa-Kommissionen bør udarbejde sit lovgivningsforslag om ændring af listen over stoffer, der er omfattet af forbuddet, i overensstemmelse med bilag XVII til REACH-forordningen på grundlag af ECHA-forslaget og udtalelsen fra de respektive videnskabelige komitéer.</w:t>
      </w:r>
    </w:p>
    <w:p w14:paraId="24AED4FB" w14:textId="77CE7ED8" w:rsidR="00927820" w:rsidRPr="008F4FB8" w:rsidRDefault="00927820" w:rsidP="0074486B">
      <w:r>
        <w:t>Artikel 321 i lov nr. 75-B/2020 af 31. december om godkendelse af statsbudgettet for 2021 pålægger regeringen en forpligtelse til at forbyde markedsføring af kosmetik, personlige hygiejneprodukter, vaskemidler og rengøringsprodukter, der indeholder plastmikroperler bestående af syntetiske partikler af en størrelse på under 5 mm, en forpligtelse, som denne lov opfylder. Med hensyn til de nævnte produktkategorier omfatter begreberne "kosmetiske produkter" og "vaskemiddel" i EU-forordningerne dem, der almindeligvis betegnes som produkter til personlig hygiejne og rengøringsprodukter, og som af ensartethed udelukkende henviser til førstnævnte.</w:t>
      </w:r>
    </w:p>
    <w:p w14:paraId="3B669B8C" w14:textId="77777777" w:rsidR="00586237" w:rsidRPr="008F4FB8" w:rsidRDefault="00586237" w:rsidP="008F4FB8">
      <w:r>
        <w:t>Medlemsstaterne skal fremme bæredygtige produktions- og forbrugsmønstre og beskyttelse af miljøet, folkesundheden og arbejdstagerne.</w:t>
      </w:r>
    </w:p>
    <w:p w14:paraId="3E50E9BB" w14:textId="346C7BD6" w:rsidR="00F3442A" w:rsidRPr="008F4FB8" w:rsidRDefault="00E8180F" w:rsidP="008F4FB8">
      <w:r>
        <w:t>Dette lovdekret var genstand for offentlig høring mellem xxx og xxx og blev underkastet informationsproceduren med hensyn til tekniske forskrifter samt forskrifter for informationssamfundets tjenester, der er fastsat i Europa-Parlamentets og Rådets direktiv (EU) 2015/1535 af 9. september 2015.</w:t>
      </w:r>
    </w:p>
    <w:p w14:paraId="4123805A" w14:textId="67EDAA1A" w:rsidR="00F3442A" w:rsidRPr="008F4FB8" w:rsidRDefault="00E8180F" w:rsidP="0074486B">
      <w:pPr>
        <w:pStyle w:val="NormalWeb"/>
        <w:rPr>
          <w:rFonts w:ascii="Garamond" w:hAnsi="Garamond"/>
        </w:rPr>
      </w:pPr>
      <w:r>
        <w:rPr>
          <w:rFonts w:ascii="Garamond" w:hAnsi="Garamond"/>
        </w:rPr>
        <w:t>De selvstyrende organer i de selvstyrende regioner er blevet hørt.</w:t>
      </w:r>
    </w:p>
    <w:p w14:paraId="2C120D7B" w14:textId="77777777" w:rsidR="008E7F87" w:rsidRPr="00006360" w:rsidRDefault="008E7F87" w:rsidP="0074486B">
      <w:r>
        <w:t xml:space="preserve">I henhold til artikel 198, stk. 1, litra a), i grundloven bekendtgør regeringen hermed </w:t>
      </w:r>
      <w:r>
        <w:lastRenderedPageBreak/>
        <w:t>følgende:</w:t>
      </w:r>
    </w:p>
    <w:p w14:paraId="15C1DCD5" w14:textId="44F008F9" w:rsidR="00F3442A" w:rsidRPr="00006360" w:rsidRDefault="00F44F9F" w:rsidP="00D87725">
      <w:pPr>
        <w:pStyle w:val="Heading1"/>
        <w:ind w:firstLine="360"/>
      </w:pPr>
      <w:r>
        <w:t xml:space="preserve"> </w:t>
      </w:r>
      <w:r>
        <w:br/>
        <w:t>Emne</w:t>
      </w:r>
    </w:p>
    <w:p w14:paraId="49419678" w14:textId="197BFC62" w:rsidR="00F3442A" w:rsidRPr="0074486B" w:rsidRDefault="00793018" w:rsidP="0074486B">
      <w:r>
        <w:t>Denne bekendtgørelse gælder for kosmetiske produkter og vaskemidler som indeholder plastmikroperler.</w:t>
      </w:r>
    </w:p>
    <w:p w14:paraId="2EA5994F" w14:textId="77777777" w:rsidR="00F3442A" w:rsidRPr="00006360" w:rsidRDefault="00F3442A" w:rsidP="0074486B"/>
    <w:p w14:paraId="22C6D840" w14:textId="79D09107" w:rsidR="00F3442A" w:rsidRPr="00006360" w:rsidRDefault="00F44F9F" w:rsidP="0074486B">
      <w:pPr>
        <w:pStyle w:val="Heading1"/>
      </w:pPr>
      <w:r>
        <w:t xml:space="preserve"> </w:t>
      </w:r>
      <w:r>
        <w:br/>
        <w:t>Definitioner</w:t>
      </w:r>
    </w:p>
    <w:p w14:paraId="4162DF93" w14:textId="3FB417B2" w:rsidR="00F3442A" w:rsidRPr="0074486B" w:rsidRDefault="00E8180F" w:rsidP="0074486B">
      <w:r>
        <w:t>I forbindelse med dette lovdekret gælder følgende definitioner</w:t>
      </w:r>
    </w:p>
    <w:p w14:paraId="0927D975" w14:textId="167548C8" w:rsidR="00F3442A" w:rsidRPr="00006360" w:rsidRDefault="00E8180F" w:rsidP="0074486B">
      <w:pPr>
        <w:pStyle w:val="ListParagraph"/>
        <w:numPr>
          <w:ilvl w:val="0"/>
          <w:numId w:val="3"/>
        </w:numPr>
        <w:ind w:left="284" w:firstLine="425"/>
      </w:pPr>
      <w:r>
        <w:rPr>
          <w:highlight w:val="white"/>
        </w:rPr>
        <w:t xml:space="preserve">"Markedsføring": første tilgængeliggørelse af et produkt på markedet på nationalt område som erhvervsmæssig virksomhed </w:t>
      </w:r>
    </w:p>
    <w:p w14:paraId="58CE02D1" w14:textId="2C75E49E" w:rsidR="00F3442A" w:rsidRPr="0074486B" w:rsidRDefault="00E8180F" w:rsidP="0074486B">
      <w:pPr>
        <w:pStyle w:val="ListParagraph"/>
        <w:numPr>
          <w:ilvl w:val="0"/>
          <w:numId w:val="3"/>
        </w:numPr>
        <w:ind w:left="284" w:firstLine="425"/>
        <w:rPr>
          <w:highlight w:val="white"/>
        </w:rPr>
      </w:pPr>
      <w:r>
        <w:rPr>
          <w:highlight w:val="white"/>
        </w:rPr>
        <w:t>"Vaske- og rengøringsmiddel": et vaske- og rengøringsmiddel som defineret i Europa-Parlamentets og Rådets forordning (EF) nr. 648/2004 af 31. marts 2004 om vaske- og rengøringsmidler i den nuværende form</w:t>
      </w:r>
    </w:p>
    <w:p w14:paraId="1D364A13" w14:textId="044C69FA" w:rsidR="00441FBB" w:rsidRPr="0074486B" w:rsidRDefault="00441FBB" w:rsidP="0074486B">
      <w:pPr>
        <w:pStyle w:val="ListParagraph"/>
        <w:numPr>
          <w:ilvl w:val="0"/>
          <w:numId w:val="3"/>
        </w:numPr>
        <w:ind w:left="284" w:firstLine="425"/>
        <w:rPr>
          <w:highlight w:val="white"/>
        </w:rPr>
      </w:pPr>
      <w:r>
        <w:rPr>
          <w:highlight w:val="white"/>
        </w:rPr>
        <w:t>"Gøre tilgængelig på markedet": enhver levering af et produkt med henblik på distribution, forbrug eller anvendelse på Portugals marked som led i erhvervsvirksomhed mod eller uden vederlag</w:t>
      </w:r>
    </w:p>
    <w:p w14:paraId="5A72039D" w14:textId="40D7970F" w:rsidR="00F3442A" w:rsidRPr="0074486B" w:rsidRDefault="00816786" w:rsidP="0074486B">
      <w:pPr>
        <w:pStyle w:val="ListParagraph"/>
        <w:numPr>
          <w:ilvl w:val="0"/>
          <w:numId w:val="3"/>
        </w:numPr>
        <w:ind w:left="284" w:firstLine="425"/>
        <w:rPr>
          <w:highlight w:val="white"/>
        </w:rPr>
      </w:pPr>
      <w:r>
        <w:t xml:space="preserve">"Polymer": et stof som omhandlet i artikel 3, stk. 5, i Europa-Parlamentets og </w:t>
      </w:r>
      <w:hyperlink r:id="rId7" w:tgtFrame="Link para Regulamento da União Europeia">
        <w:r>
          <w:rPr>
            <w:highlight w:val="white"/>
          </w:rPr>
          <w:t>Rådets forordning (EF) nr. 1907/2006</w:t>
        </w:r>
      </w:hyperlink>
      <w:r>
        <w:t>af 18. december 2006 om registrering, vurdering og godkendelse af samt begrænsninger for kemikalier i den nuværende form</w:t>
      </w:r>
      <w:r>
        <w:rPr>
          <w:highlight w:val="white"/>
        </w:rPr>
        <w:t xml:space="preserve">  </w:t>
      </w:r>
    </w:p>
    <w:p w14:paraId="6301722E" w14:textId="1737CFE7" w:rsidR="00F3442A" w:rsidRPr="0074486B" w:rsidRDefault="0003023D" w:rsidP="0074486B">
      <w:pPr>
        <w:pStyle w:val="ListParagraph"/>
        <w:numPr>
          <w:ilvl w:val="0"/>
          <w:numId w:val="3"/>
        </w:numPr>
        <w:ind w:left="284" w:firstLine="425"/>
        <w:rPr>
          <w:highlight w:val="white"/>
        </w:rPr>
      </w:pPr>
      <w:r>
        <w:rPr>
          <w:highlight w:val="white"/>
        </w:rPr>
        <w:t xml:space="preserve">"Kosmetisk produkt": et kosmetisk produkt som defineret i Europa-Parlamentets og Rådets forordning (EF) nr. 1223/2009 af 30. november 2009 om om kosmetiske produkter i den nuværende form </w:t>
      </w:r>
    </w:p>
    <w:p w14:paraId="56A66EC0" w14:textId="1E422C31" w:rsidR="0054554D" w:rsidRDefault="00816786" w:rsidP="0074486B">
      <w:pPr>
        <w:pStyle w:val="ListParagraph"/>
        <w:numPr>
          <w:ilvl w:val="0"/>
          <w:numId w:val="3"/>
        </w:numPr>
        <w:ind w:left="284" w:firstLine="425"/>
        <w:rPr>
          <w:highlight w:val="white"/>
        </w:rPr>
      </w:pPr>
      <w:r>
        <w:rPr>
          <w:highlight w:val="white"/>
        </w:rPr>
        <w:t xml:space="preserve">"Plastmikroperler": er partikler, der indeholder faste polymerer af enhver størrelse på 5 mm eller derunder, hvortil der kan være tilsat tilsætningsstoffer eller andre stoffer, bortset fra naturlige polymerer, der ikke er kemisk modificerede, og som anvendes </w:t>
      </w:r>
      <w:r>
        <w:rPr>
          <w:highlight w:val="white"/>
        </w:rPr>
        <w:lastRenderedPageBreak/>
        <w:t>som slibemiddel, dvs. til eksfoliering, polering eller rengøring.</w:t>
      </w:r>
    </w:p>
    <w:p w14:paraId="1A0E5587" w14:textId="77777777" w:rsidR="008F4FB8" w:rsidRPr="0074486B" w:rsidRDefault="008F4FB8" w:rsidP="008F4FB8">
      <w:pPr>
        <w:pStyle w:val="ListParagraph"/>
        <w:ind w:left="709" w:firstLine="0"/>
        <w:rPr>
          <w:highlight w:val="white"/>
        </w:rPr>
      </w:pPr>
    </w:p>
    <w:p w14:paraId="5F44AEB1" w14:textId="7B250D1E" w:rsidR="00F3442A" w:rsidRPr="00006360" w:rsidRDefault="004F08B1" w:rsidP="00D87725">
      <w:pPr>
        <w:pStyle w:val="Heading1"/>
        <w:ind w:firstLine="360"/>
      </w:pPr>
      <w:r>
        <w:br/>
        <w:t>Forbud</w:t>
      </w:r>
    </w:p>
    <w:p w14:paraId="68EE9EC2" w14:textId="61796683" w:rsidR="00F3442A" w:rsidRPr="00006360" w:rsidRDefault="008C61F9" w:rsidP="0074486B">
      <w:pPr>
        <w:pStyle w:val="ListParagraph"/>
        <w:numPr>
          <w:ilvl w:val="0"/>
          <w:numId w:val="10"/>
        </w:numPr>
        <w:ind w:left="284" w:firstLine="425"/>
      </w:pPr>
      <w:r>
        <w:t xml:space="preserve">— Det er forbudt at gøre kosmetiske produkter eller vaskemidler, som indeholder plastmikroperler, tilgængelige på markedet. </w:t>
      </w:r>
    </w:p>
    <w:p w14:paraId="7F5A858B" w14:textId="40B16146" w:rsidR="003D3843" w:rsidRPr="00006360" w:rsidRDefault="003D3843" w:rsidP="0074486B">
      <w:pPr>
        <w:pStyle w:val="ListParagraph"/>
        <w:numPr>
          <w:ilvl w:val="0"/>
          <w:numId w:val="10"/>
        </w:numPr>
        <w:ind w:left="284" w:firstLine="425"/>
      </w:pPr>
      <w:r>
        <w:t xml:space="preserve">— </w:t>
      </w:r>
      <w:bookmarkStart w:id="0" w:name="_Hlk66093173"/>
      <w:r>
        <w:t>Forbuddet nævnt i foregående afsnit berører ikke, at de produkter, der er omfattet heraf, stilles til rådighed eller anvendes, forudsat at de gøres tilgængelige på markedet inden dette lovdekrets ikrafttræden.</w:t>
      </w:r>
      <w:bookmarkEnd w:id="0"/>
    </w:p>
    <w:p w14:paraId="5278702E" w14:textId="783C81B6" w:rsidR="00F65A0D" w:rsidRPr="00006360" w:rsidRDefault="00442515" w:rsidP="0074486B">
      <w:pPr>
        <w:pStyle w:val="ListParagraph"/>
        <w:numPr>
          <w:ilvl w:val="0"/>
          <w:numId w:val="10"/>
        </w:numPr>
        <w:ind w:left="284" w:firstLine="425"/>
        <w:contextualSpacing w:val="0"/>
      </w:pPr>
      <w:r>
        <w:t>— Følgende produkter er også udelukket fra forbuddets anvendelsesområde i stk. 1:</w:t>
      </w:r>
    </w:p>
    <w:p w14:paraId="466B660A" w14:textId="29CAFDE1" w:rsidR="00F65A0D" w:rsidRPr="0074486B" w:rsidRDefault="00F65A0D" w:rsidP="0074486B">
      <w:pPr>
        <w:pStyle w:val="ListParagraph"/>
        <w:numPr>
          <w:ilvl w:val="0"/>
          <w:numId w:val="17"/>
        </w:numPr>
        <w:spacing w:before="120"/>
        <w:ind w:left="284" w:firstLine="425"/>
        <w:rPr>
          <w:highlight w:val="white"/>
        </w:rPr>
      </w:pPr>
      <w:r>
        <w:rPr>
          <w:highlight w:val="white"/>
        </w:rPr>
        <w:t>Produkter, der er fremstillet på nationalt område inden datoen for dette lovdekrets ikrafttræden</w:t>
      </w:r>
    </w:p>
    <w:p w14:paraId="05929774" w14:textId="54F3EEFB" w:rsidR="00442515" w:rsidRPr="0074486B" w:rsidRDefault="00F65A0D" w:rsidP="0074486B">
      <w:pPr>
        <w:pStyle w:val="ListParagraph"/>
        <w:numPr>
          <w:ilvl w:val="0"/>
          <w:numId w:val="17"/>
        </w:numPr>
        <w:ind w:left="284" w:firstLine="425"/>
        <w:rPr>
          <w:highlight w:val="white"/>
        </w:rPr>
      </w:pPr>
      <w:r>
        <w:rPr>
          <w:highlight w:val="white"/>
        </w:rPr>
        <w:t>Produkter, hvis tilrådighedsstillelse er aftalt inden datoen for dette lovdekrets ikrafttræden og finder sted inden udgangen af 2021.</w:t>
      </w:r>
    </w:p>
    <w:p w14:paraId="3057F9FD" w14:textId="77777777" w:rsidR="00F3442A" w:rsidRPr="00006360" w:rsidRDefault="00F3442A" w:rsidP="0074486B"/>
    <w:p w14:paraId="312C9530" w14:textId="1042E4FA" w:rsidR="00F3442A" w:rsidRPr="00006360" w:rsidRDefault="004F08B1" w:rsidP="0074486B">
      <w:pPr>
        <w:pStyle w:val="Heading1"/>
      </w:pPr>
      <w:r>
        <w:br/>
        <w:t>Inspektion og overvågning</w:t>
      </w:r>
    </w:p>
    <w:p w14:paraId="1664138E" w14:textId="1855F9A7" w:rsidR="00F3442A" w:rsidRPr="00006360" w:rsidRDefault="00E46D1A" w:rsidP="0074486B">
      <w:pPr>
        <w:pStyle w:val="ListParagraph"/>
        <w:numPr>
          <w:ilvl w:val="0"/>
          <w:numId w:val="18"/>
        </w:numPr>
        <w:ind w:left="284" w:firstLine="425"/>
      </w:pPr>
      <w:r>
        <w:t>— Kontrol med overholdelsen af bestemmelserne i dette lovdekret påhviler Fødevaresikkerhedsautoriteten (ASAE) og skatte- og toldmyndigheden (AT).</w:t>
      </w:r>
    </w:p>
    <w:p w14:paraId="184EDC25" w14:textId="6F89EFA6" w:rsidR="00F3442A" w:rsidRDefault="00E46D1A" w:rsidP="0074486B">
      <w:pPr>
        <w:pStyle w:val="ListParagraph"/>
        <w:numPr>
          <w:ilvl w:val="0"/>
          <w:numId w:val="18"/>
        </w:numPr>
        <w:ind w:left="284" w:firstLine="425"/>
      </w:pPr>
      <w:r>
        <w:t>Bestemmelserne i foregående afsnit berører ikke udøvelsen af de overvågnings- og politibeføjelser, der er tillagt andre offentlige myndigheder.</w:t>
      </w:r>
    </w:p>
    <w:p w14:paraId="32F3C8C7" w14:textId="77777777" w:rsidR="008F4FB8" w:rsidRPr="00006360" w:rsidRDefault="008F4FB8" w:rsidP="008F4FB8">
      <w:pPr>
        <w:pStyle w:val="ListParagraph"/>
        <w:ind w:left="709" w:firstLine="0"/>
      </w:pPr>
    </w:p>
    <w:p w14:paraId="7EF765E4" w14:textId="275F5B6B" w:rsidR="00F3442A" w:rsidRPr="00006360" w:rsidRDefault="004F08B1" w:rsidP="0074486B">
      <w:pPr>
        <w:pStyle w:val="Heading1"/>
      </w:pPr>
      <w:r>
        <w:br/>
        <w:t>Administrative overtrædelser</w:t>
      </w:r>
    </w:p>
    <w:p w14:paraId="740CD79B" w14:textId="6FCEB11C" w:rsidR="00F3442A" w:rsidRPr="00006360" w:rsidRDefault="00E46D1A" w:rsidP="0074486B">
      <w:pPr>
        <w:pStyle w:val="ListParagraph"/>
        <w:numPr>
          <w:ilvl w:val="0"/>
          <w:numId w:val="19"/>
        </w:numPr>
        <w:ind w:left="284" w:firstLine="425"/>
      </w:pPr>
      <w:r>
        <w:t xml:space="preserve">— Manglende overholdelse af bestemmelserne i artikel 3, stk. 1, udgør en </w:t>
      </w:r>
      <w:r>
        <w:lastRenderedPageBreak/>
        <w:t xml:space="preserve">alvorlig økonomisk administrativ lovovertrædelse, der kan straffes i henhold til de retlige rammer for økonomiske administrative overtrædelser, der er godkendt ved lovdekret nr. 9/2021 af 29. januar. </w:t>
      </w:r>
    </w:p>
    <w:p w14:paraId="1E582BAB" w14:textId="6D9CE48D" w:rsidR="00F3442A" w:rsidRPr="00006360" w:rsidRDefault="00E8180F" w:rsidP="0074486B">
      <w:pPr>
        <w:pStyle w:val="ListParagraph"/>
        <w:numPr>
          <w:ilvl w:val="0"/>
          <w:numId w:val="19"/>
        </w:numPr>
        <w:ind w:left="284" w:firstLine="425"/>
      </w:pPr>
      <w:r>
        <w:t xml:space="preserve">— Forsøg på at begå en lovovertrædelse og uagtsomhed er strafbart, og i så fald halveres minimums- og maksimumstærsklerne for bøden. </w:t>
      </w:r>
    </w:p>
    <w:p w14:paraId="378FF05A" w14:textId="2776DB1F" w:rsidR="00F3442A" w:rsidRPr="00006360" w:rsidRDefault="00F3442A" w:rsidP="0074486B"/>
    <w:p w14:paraId="4CDB9348" w14:textId="715711C6" w:rsidR="00F3442A" w:rsidRPr="00006360" w:rsidRDefault="004F08B1" w:rsidP="0074486B">
      <w:pPr>
        <w:pStyle w:val="Heading1"/>
      </w:pPr>
      <w:r>
        <w:br/>
        <w:t>Undersøgelse og håndhævelse af sanktioner</w:t>
      </w:r>
    </w:p>
    <w:p w14:paraId="1EAE1A82" w14:textId="1D8E778D" w:rsidR="00F3442A" w:rsidRPr="00006360" w:rsidRDefault="00E8180F" w:rsidP="0074486B">
      <w:r>
        <w:t>Det påhviler ASAE og AT, inden for rammerne af deres respektive beføjelser, at foretage undersøgelser vedrørende de i foregående artikel omhandlede strafbare handlinger og træffe afgørelse om at idømme bøder og pålægge accessoriske sanktioner.</w:t>
      </w:r>
    </w:p>
    <w:p w14:paraId="183BAF8A" w14:textId="22CB72F2" w:rsidR="00F3442A" w:rsidRPr="00006360" w:rsidRDefault="00F3442A" w:rsidP="0074486B"/>
    <w:p w14:paraId="170C848E" w14:textId="179FA7C7" w:rsidR="00F3442A" w:rsidRPr="0074486B" w:rsidRDefault="0074486B" w:rsidP="0074486B">
      <w:pPr>
        <w:pStyle w:val="Heading1"/>
      </w:pPr>
      <w:r>
        <w:br/>
        <w:t>Provenu fra bøder</w:t>
      </w:r>
    </w:p>
    <w:p w14:paraId="56460743" w14:textId="7881F983" w:rsidR="00F3442A" w:rsidRPr="00006360" w:rsidRDefault="00E8180F" w:rsidP="0074486B">
      <w:r>
        <w:t xml:space="preserve">Provenuet af de bøder, der er omhandlet i artikel 5 i dette lovdekret, fordeles således: </w:t>
      </w:r>
    </w:p>
    <w:p w14:paraId="65198DD7" w14:textId="77777777" w:rsidR="003D3843" w:rsidRPr="0074486B" w:rsidRDefault="003D3843" w:rsidP="0074486B">
      <w:pPr>
        <w:pStyle w:val="ListParagraph"/>
        <w:numPr>
          <w:ilvl w:val="0"/>
          <w:numId w:val="20"/>
        </w:numPr>
        <w:spacing w:before="120"/>
        <w:ind w:left="284" w:firstLine="425"/>
        <w:rPr>
          <w:highlight w:val="white"/>
        </w:rPr>
      </w:pPr>
      <w:r>
        <w:rPr>
          <w:highlight w:val="white"/>
        </w:rPr>
        <w:t>60 % til regeringen</w:t>
      </w:r>
    </w:p>
    <w:p w14:paraId="206360D3" w14:textId="77777777" w:rsidR="003D3843" w:rsidRPr="0074486B" w:rsidRDefault="003D3843" w:rsidP="0074486B">
      <w:pPr>
        <w:pStyle w:val="ListParagraph"/>
        <w:numPr>
          <w:ilvl w:val="0"/>
          <w:numId w:val="20"/>
        </w:numPr>
        <w:spacing w:before="120"/>
        <w:ind w:left="284" w:firstLine="425"/>
        <w:rPr>
          <w:highlight w:val="white"/>
        </w:rPr>
      </w:pPr>
      <w:r>
        <w:rPr>
          <w:highlight w:val="white"/>
        </w:rPr>
        <w:t>10 % til organet som startede processen</w:t>
      </w:r>
    </w:p>
    <w:p w14:paraId="1F8651D3" w14:textId="77777777" w:rsidR="003D3843" w:rsidRPr="0074486B" w:rsidRDefault="003D3843" w:rsidP="0074486B">
      <w:pPr>
        <w:pStyle w:val="ListParagraph"/>
        <w:numPr>
          <w:ilvl w:val="0"/>
          <w:numId w:val="20"/>
        </w:numPr>
        <w:spacing w:before="120"/>
        <w:ind w:left="284" w:firstLine="425"/>
        <w:rPr>
          <w:highlight w:val="white"/>
        </w:rPr>
      </w:pPr>
      <w:r>
        <w:rPr>
          <w:highlight w:val="white"/>
        </w:rPr>
        <w:t>10 % til undersøgelsesorganet</w:t>
      </w:r>
    </w:p>
    <w:p w14:paraId="7D907198" w14:textId="4B0654B6" w:rsidR="00F3442A" w:rsidRPr="0074486B" w:rsidRDefault="003D3843" w:rsidP="0074486B">
      <w:pPr>
        <w:pStyle w:val="ListParagraph"/>
        <w:numPr>
          <w:ilvl w:val="0"/>
          <w:numId w:val="20"/>
        </w:numPr>
        <w:spacing w:before="120"/>
        <w:ind w:left="284" w:firstLine="425"/>
        <w:rPr>
          <w:highlight w:val="white"/>
        </w:rPr>
      </w:pPr>
      <w:r>
        <w:rPr>
          <w:highlight w:val="white"/>
        </w:rPr>
        <w:t>20 % til det besluttende organ.</w:t>
      </w:r>
    </w:p>
    <w:p w14:paraId="2962D2C6" w14:textId="77777777" w:rsidR="00F3442A" w:rsidRPr="00006360" w:rsidRDefault="00F3442A" w:rsidP="0074486B"/>
    <w:p w14:paraId="25CB4724" w14:textId="086CF13F" w:rsidR="00F3442A" w:rsidRPr="0074486B" w:rsidRDefault="0074486B" w:rsidP="0074486B">
      <w:pPr>
        <w:pStyle w:val="Heading1"/>
      </w:pPr>
      <w:r>
        <w:br/>
        <w:t>Selvstyrende regioner</w:t>
      </w:r>
    </w:p>
    <w:p w14:paraId="0274FCF5" w14:textId="33493140" w:rsidR="00F3442A" w:rsidRPr="00006360" w:rsidRDefault="0074486B" w:rsidP="0074486B">
      <w:pPr>
        <w:pStyle w:val="ListParagraph"/>
        <w:numPr>
          <w:ilvl w:val="0"/>
          <w:numId w:val="21"/>
        </w:numPr>
        <w:ind w:left="284" w:firstLine="425"/>
        <w:contextualSpacing w:val="0"/>
      </w:pPr>
      <w:r>
        <w:t xml:space="preserve"> — Dette lovdekret finder anvendelse på de selvstyrende regioner Azorerne og Madeira, uden at dette berører deres egnethed til regionale særegenheder i overensstemmelse med deres politiske og administrative autonomi, og gennemførelsen af </w:t>
      </w:r>
      <w:r>
        <w:lastRenderedPageBreak/>
        <w:t>dette dekret finder anvendelse på deres respektive regionale myndigheders departementer og organer, uden at dette berører de nationale organers beføjelser.</w:t>
      </w:r>
    </w:p>
    <w:p w14:paraId="5D19046A" w14:textId="4C0F0DC6" w:rsidR="00F3442A" w:rsidRPr="00006360" w:rsidRDefault="0074486B" w:rsidP="0074486B">
      <w:pPr>
        <w:pStyle w:val="ListParagraph"/>
        <w:numPr>
          <w:ilvl w:val="0"/>
          <w:numId w:val="21"/>
        </w:numPr>
        <w:ind w:left="284" w:firstLine="425"/>
        <w:contextualSpacing w:val="0"/>
      </w:pPr>
      <w:r>
        <w:t>Provenuet af bøder, der anvendes i selvstyrende regioner, skal udelukkende gå til nævnte regioner.</w:t>
      </w:r>
    </w:p>
    <w:p w14:paraId="05A06D96" w14:textId="77777777" w:rsidR="0037390A" w:rsidRPr="00006360" w:rsidRDefault="0037390A" w:rsidP="0074486B"/>
    <w:p w14:paraId="7D63ED44" w14:textId="640AE1C9" w:rsidR="00F3442A" w:rsidRPr="00006360" w:rsidRDefault="008F4FB8" w:rsidP="0058448A">
      <w:pPr>
        <w:pStyle w:val="Heading1"/>
      </w:pPr>
      <w:r>
        <w:br/>
        <w:t>Ikrafttræden og virkning</w:t>
      </w:r>
    </w:p>
    <w:p w14:paraId="7D923A77" w14:textId="57F41419" w:rsidR="00F3442A" w:rsidRPr="00006360" w:rsidRDefault="008F4FB8" w:rsidP="008F4FB8">
      <w:pPr>
        <w:pStyle w:val="ListParagraph"/>
        <w:numPr>
          <w:ilvl w:val="0"/>
          <w:numId w:val="22"/>
        </w:numPr>
        <w:ind w:left="284" w:firstLine="425"/>
        <w:contextualSpacing w:val="0"/>
      </w:pPr>
      <w:r>
        <w:t>— Denne lov træder i kraft på dagen efter datoen for dens offentliggørelse.</w:t>
      </w:r>
    </w:p>
    <w:p w14:paraId="250D74D0" w14:textId="186ACAA7" w:rsidR="008C45E1" w:rsidRPr="00006360" w:rsidRDefault="008F4FB8" w:rsidP="008F4FB8">
      <w:pPr>
        <w:pStyle w:val="ListParagraph"/>
        <w:numPr>
          <w:ilvl w:val="0"/>
          <w:numId w:val="22"/>
        </w:numPr>
        <w:ind w:left="284" w:firstLine="425"/>
        <w:contextualSpacing w:val="0"/>
      </w:pPr>
      <w:r>
        <w:t>— Med forbehold af artikel 183 i lovdekret nr. 9/2021 af 29. januar, som godkendte de juridiske betingelser for økonomiske administrative overtrædelser, finder disse bestemmelser straks anvendelse på de administrative lovovertrædelser, der er omhandlet i artikel 5, stk. 1, i dette lovdekret.</w:t>
      </w:r>
    </w:p>
    <w:sectPr w:rsidR="008C45E1" w:rsidRPr="00006360">
      <w:headerReference w:type="default" r:id="rId8"/>
      <w:footerReference w:type="default" r:id="rId9"/>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4189F" w14:textId="77777777" w:rsidR="00381EAB" w:rsidRDefault="00381EAB" w:rsidP="0074486B">
      <w:r>
        <w:separator/>
      </w:r>
    </w:p>
  </w:endnote>
  <w:endnote w:type="continuationSeparator" w:id="0">
    <w:p w14:paraId="50B821B0" w14:textId="77777777" w:rsidR="00381EAB" w:rsidRDefault="00381EAB" w:rsidP="0074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0B56" w14:textId="77777777" w:rsidR="0074486B" w:rsidRDefault="0074486B" w:rsidP="0074486B">
    <w:pPr>
      <w:pStyle w:val="Footer"/>
    </w:pPr>
    <w:r>
      <w:fldChar w:fldCharType="begin"/>
    </w:r>
    <w:r>
      <w:instrText>PAGE</w:instrText>
    </w:r>
    <w:r>
      <w:fldChar w:fldCharType="separate"/>
    </w:r>
    <w:r w:rsidR="00923317">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D935B" w14:textId="77777777" w:rsidR="00381EAB" w:rsidRDefault="00381EAB" w:rsidP="0074486B">
      <w:r>
        <w:separator/>
      </w:r>
    </w:p>
  </w:footnote>
  <w:footnote w:type="continuationSeparator" w:id="0">
    <w:p w14:paraId="672CDA25" w14:textId="77777777" w:rsidR="00381EAB" w:rsidRDefault="00381EAB" w:rsidP="0074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2286F" w14:textId="77777777" w:rsidR="0074486B" w:rsidRPr="00EF0262" w:rsidRDefault="0074486B" w:rsidP="0074486B">
    <w:pPr>
      <w:jc w:val="center"/>
    </w:pPr>
    <w:r>
      <w:rPr>
        <w:noProof/>
      </w:rPr>
      <w:drawing>
        <wp:inline distT="0" distB="0" distL="0" distR="0" wp14:anchorId="0E743FC7" wp14:editId="1CBF634D">
          <wp:extent cx="361950" cy="361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DD5E166" w14:textId="71BAF3D3" w:rsidR="0074486B" w:rsidRPr="00EF0262" w:rsidRDefault="0074486B" w:rsidP="0074486B">
    <w:pPr>
      <w:jc w:val="center"/>
    </w:pPr>
    <w:r>
      <w:t>Minister for</w:t>
    </w:r>
  </w:p>
  <w:p w14:paraId="6134CCEF" w14:textId="3737DD9E" w:rsidR="0074486B" w:rsidRPr="00EF0262" w:rsidRDefault="0074486B" w:rsidP="0074486B">
    <w:pPr>
      <w:jc w:val="center"/>
    </w:pPr>
    <w:r>
      <w:object w:dxaOrig="1311" w:dyaOrig="279" w14:anchorId="78E26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55pt;height:13.95pt;mso-width-percent:0;mso-height-percent:0;mso-width-percent:0;mso-height-percent:0">
          <v:imagedata r:id="rId2" o:title=""/>
        </v:shape>
        <o:OLEObject Type="Embed" ProgID="Word.Picture.8" ShapeID="_x0000_i1025" DrawAspect="Content" ObjectID="_1678023431" r:id="rId3"/>
      </w:object>
    </w:r>
  </w:p>
  <w:p w14:paraId="41A6E695" w14:textId="77777777" w:rsidR="0074486B" w:rsidRPr="00EF0262" w:rsidRDefault="0074486B" w:rsidP="0074486B">
    <w:pPr>
      <w:jc w:val="center"/>
    </w:pPr>
  </w:p>
  <w:p w14:paraId="3AE8C256" w14:textId="753DCC90" w:rsidR="0074486B" w:rsidRPr="00EF0262" w:rsidRDefault="0074486B" w:rsidP="0074486B">
    <w:pPr>
      <w:jc w:val="center"/>
      <w:rPr>
        <w:rFonts w:asciiTheme="minorHAnsi" w:hAnsiTheme="minorHAnsi"/>
        <w:sz w:val="32"/>
        <w:szCs w:val="32"/>
      </w:rPr>
    </w:pPr>
    <w:r>
      <w:t>Dekret nr.</w:t>
    </w:r>
  </w:p>
  <w:p w14:paraId="410BACD8" w14:textId="77777777" w:rsidR="0074486B" w:rsidRDefault="0074486B" w:rsidP="0074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7D49"/>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F6C18"/>
    <w:multiLevelType w:val="hybridMultilevel"/>
    <w:tmpl w:val="80CA639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0A08CB"/>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6A0AF6"/>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423E78"/>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4127E0"/>
    <w:multiLevelType w:val="multilevel"/>
    <w:tmpl w:val="DEC849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3C06E1C"/>
    <w:multiLevelType w:val="hybridMultilevel"/>
    <w:tmpl w:val="406A79F6"/>
    <w:lvl w:ilvl="0" w:tplc="EF96D516">
      <w:start w:val="1"/>
      <w:numFmt w:val="decimal"/>
      <w:lvlText w:val="%1 -"/>
      <w:lvlJc w:val="left"/>
      <w:pPr>
        <w:ind w:left="360" w:hanging="360"/>
      </w:pPr>
      <w:rPr>
        <w:rFonts w:hint="default"/>
      </w:rPr>
    </w:lvl>
    <w:lvl w:ilvl="1" w:tplc="509493F6">
      <w:start w:val="1"/>
      <w:numFmt w:val="lowerLetter"/>
      <w:lvlText w:val="%2."/>
      <w:lvlJc w:val="left"/>
      <w:pPr>
        <w:ind w:left="-2813" w:hanging="360"/>
      </w:pPr>
    </w:lvl>
    <w:lvl w:ilvl="2" w:tplc="B74206BC" w:tentative="1">
      <w:start w:val="1"/>
      <w:numFmt w:val="lowerRoman"/>
      <w:lvlText w:val="%3."/>
      <w:lvlJc w:val="right"/>
      <w:pPr>
        <w:ind w:left="-2093" w:hanging="180"/>
      </w:pPr>
    </w:lvl>
    <w:lvl w:ilvl="3" w:tplc="D090E1C6" w:tentative="1">
      <w:start w:val="1"/>
      <w:numFmt w:val="decimal"/>
      <w:lvlText w:val="%4."/>
      <w:lvlJc w:val="left"/>
      <w:pPr>
        <w:ind w:left="-1373" w:hanging="360"/>
      </w:pPr>
    </w:lvl>
    <w:lvl w:ilvl="4" w:tplc="0FAC9E4E" w:tentative="1">
      <w:start w:val="1"/>
      <w:numFmt w:val="lowerLetter"/>
      <w:lvlText w:val="%5."/>
      <w:lvlJc w:val="left"/>
      <w:pPr>
        <w:ind w:left="-653" w:hanging="360"/>
      </w:pPr>
    </w:lvl>
    <w:lvl w:ilvl="5" w:tplc="B8BA5ED0" w:tentative="1">
      <w:start w:val="1"/>
      <w:numFmt w:val="lowerRoman"/>
      <w:lvlText w:val="%6."/>
      <w:lvlJc w:val="right"/>
      <w:pPr>
        <w:ind w:left="67" w:hanging="180"/>
      </w:pPr>
    </w:lvl>
    <w:lvl w:ilvl="6" w:tplc="A800B2CC" w:tentative="1">
      <w:start w:val="1"/>
      <w:numFmt w:val="decimal"/>
      <w:lvlText w:val="%7."/>
      <w:lvlJc w:val="left"/>
      <w:pPr>
        <w:ind w:left="787" w:hanging="360"/>
      </w:pPr>
    </w:lvl>
    <w:lvl w:ilvl="7" w:tplc="CFA6C1C2" w:tentative="1">
      <w:start w:val="1"/>
      <w:numFmt w:val="lowerLetter"/>
      <w:lvlText w:val="%8."/>
      <w:lvlJc w:val="left"/>
      <w:pPr>
        <w:ind w:left="1507" w:hanging="360"/>
      </w:pPr>
    </w:lvl>
    <w:lvl w:ilvl="8" w:tplc="A8D0C14E" w:tentative="1">
      <w:start w:val="1"/>
      <w:numFmt w:val="lowerRoman"/>
      <w:lvlText w:val="%9."/>
      <w:lvlJc w:val="right"/>
      <w:pPr>
        <w:ind w:left="2227" w:hanging="180"/>
      </w:pPr>
    </w:lvl>
  </w:abstractNum>
  <w:abstractNum w:abstractNumId="7" w15:restartNumberingAfterBreak="0">
    <w:nsid w:val="19AB5D74"/>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F3A07FD"/>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C321A"/>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1055934"/>
    <w:multiLevelType w:val="multilevel"/>
    <w:tmpl w:val="51E07D1C"/>
    <w:lvl w:ilvl="0">
      <w:start w:val="1"/>
      <w:numFmt w:val="lowerLetter"/>
      <w:lvlText w:val="%1)"/>
      <w:lvlJc w:val="left"/>
      <w:pPr>
        <w:ind w:left="1440" w:hanging="720"/>
      </w:pPr>
      <w:rPr>
        <w:rFonts w:ascii="Garamond" w:eastAsia="Calibri" w:hAnsi="Garamond" w:cs="DejaVu Sans" w:hint="default"/>
        <w: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FAC797D"/>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0F961F6"/>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5177DF"/>
    <w:multiLevelType w:val="hybridMultilevel"/>
    <w:tmpl w:val="C1C8C608"/>
    <w:lvl w:ilvl="0" w:tplc="ECA89FCC">
      <w:start w:val="1"/>
      <w:numFmt w:val="decimal"/>
      <w:pStyle w:val="Heading1"/>
      <w:lvlText w:val="Artikel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7BF3E30"/>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7C9372E"/>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2961E8"/>
    <w:multiLevelType w:val="multilevel"/>
    <w:tmpl w:val="BF8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8F1B65"/>
    <w:multiLevelType w:val="hybridMultilevel"/>
    <w:tmpl w:val="46EA029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3D57FE6"/>
    <w:multiLevelType w:val="multilevel"/>
    <w:tmpl w:val="6FB8899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4E35DD"/>
    <w:multiLevelType w:val="multilevel"/>
    <w:tmpl w:val="5D82C0EA"/>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F828EB"/>
    <w:multiLevelType w:val="hybridMultilevel"/>
    <w:tmpl w:val="D6700D4C"/>
    <w:lvl w:ilvl="0" w:tplc="66DEC1F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18"/>
  </w:num>
  <w:num w:numId="3">
    <w:abstractNumId w:val="8"/>
  </w:num>
  <w:num w:numId="4">
    <w:abstractNumId w:val="5"/>
  </w:num>
  <w:num w:numId="5">
    <w:abstractNumId w:val="6"/>
  </w:num>
  <w:num w:numId="6">
    <w:abstractNumId w:val="16"/>
  </w:num>
  <w:num w:numId="7">
    <w:abstractNumId w:val="1"/>
  </w:num>
  <w:num w:numId="8">
    <w:abstractNumId w:val="4"/>
  </w:num>
  <w:num w:numId="9">
    <w:abstractNumId w:val="17"/>
  </w:num>
  <w:num w:numId="10">
    <w:abstractNumId w:val="11"/>
  </w:num>
  <w:num w:numId="11">
    <w:abstractNumId w:val="0"/>
  </w:num>
  <w:num w:numId="12">
    <w:abstractNumId w:val="3"/>
  </w:num>
  <w:num w:numId="13">
    <w:abstractNumId w:val="9"/>
  </w:num>
  <w:num w:numId="14">
    <w:abstractNumId w:val="13"/>
  </w:num>
  <w:num w:numId="15">
    <w:abstractNumId w:val="13"/>
  </w:num>
  <w:num w:numId="16">
    <w:abstractNumId w:val="19"/>
  </w:num>
  <w:num w:numId="17">
    <w:abstractNumId w:val="15"/>
  </w:num>
  <w:num w:numId="18">
    <w:abstractNumId w:val="20"/>
  </w:num>
  <w:num w:numId="19">
    <w:abstractNumId w:val="14"/>
  </w:num>
  <w:num w:numId="20">
    <w:abstractNumId w:val="12"/>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15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2A"/>
    <w:rsid w:val="00006360"/>
    <w:rsid w:val="0003023D"/>
    <w:rsid w:val="00034ED1"/>
    <w:rsid w:val="00050D9B"/>
    <w:rsid w:val="00077B88"/>
    <w:rsid w:val="001053A5"/>
    <w:rsid w:val="00123731"/>
    <w:rsid w:val="00123ECC"/>
    <w:rsid w:val="0012554C"/>
    <w:rsid w:val="00132921"/>
    <w:rsid w:val="0018541E"/>
    <w:rsid w:val="001A27AA"/>
    <w:rsid w:val="001B40C5"/>
    <w:rsid w:val="001D05C2"/>
    <w:rsid w:val="0027617A"/>
    <w:rsid w:val="00277564"/>
    <w:rsid w:val="00280546"/>
    <w:rsid w:val="002A3096"/>
    <w:rsid w:val="002A4FB2"/>
    <w:rsid w:val="002B26EF"/>
    <w:rsid w:val="002B5031"/>
    <w:rsid w:val="002E3F73"/>
    <w:rsid w:val="002E5F14"/>
    <w:rsid w:val="002F0A7B"/>
    <w:rsid w:val="00310001"/>
    <w:rsid w:val="00347636"/>
    <w:rsid w:val="003710CA"/>
    <w:rsid w:val="0037380C"/>
    <w:rsid w:val="0037390A"/>
    <w:rsid w:val="00381EAB"/>
    <w:rsid w:val="00381FB7"/>
    <w:rsid w:val="003A7739"/>
    <w:rsid w:val="003D3843"/>
    <w:rsid w:val="003E42C6"/>
    <w:rsid w:val="003F2867"/>
    <w:rsid w:val="003F2944"/>
    <w:rsid w:val="0040360B"/>
    <w:rsid w:val="00404F3B"/>
    <w:rsid w:val="00441FBB"/>
    <w:rsid w:val="00442062"/>
    <w:rsid w:val="00442515"/>
    <w:rsid w:val="004563E9"/>
    <w:rsid w:val="0048150C"/>
    <w:rsid w:val="004F08B1"/>
    <w:rsid w:val="004F3FAB"/>
    <w:rsid w:val="005279C9"/>
    <w:rsid w:val="0054554D"/>
    <w:rsid w:val="00560167"/>
    <w:rsid w:val="00577305"/>
    <w:rsid w:val="00586237"/>
    <w:rsid w:val="00586ABD"/>
    <w:rsid w:val="005901FA"/>
    <w:rsid w:val="005A173F"/>
    <w:rsid w:val="005B2A0F"/>
    <w:rsid w:val="005D6D4F"/>
    <w:rsid w:val="006204CA"/>
    <w:rsid w:val="006259F9"/>
    <w:rsid w:val="0063732C"/>
    <w:rsid w:val="006438D2"/>
    <w:rsid w:val="00676A1B"/>
    <w:rsid w:val="006B2431"/>
    <w:rsid w:val="006D3B1C"/>
    <w:rsid w:val="006D4598"/>
    <w:rsid w:val="00704C6E"/>
    <w:rsid w:val="007314BD"/>
    <w:rsid w:val="00736D72"/>
    <w:rsid w:val="0074486B"/>
    <w:rsid w:val="00793018"/>
    <w:rsid w:val="007E30D8"/>
    <w:rsid w:val="00810470"/>
    <w:rsid w:val="00814203"/>
    <w:rsid w:val="00816786"/>
    <w:rsid w:val="008224AC"/>
    <w:rsid w:val="00881FF0"/>
    <w:rsid w:val="008867AF"/>
    <w:rsid w:val="00897BA8"/>
    <w:rsid w:val="008B6317"/>
    <w:rsid w:val="008C45E1"/>
    <w:rsid w:val="008C61F9"/>
    <w:rsid w:val="008C6843"/>
    <w:rsid w:val="008D6CB0"/>
    <w:rsid w:val="008E7F87"/>
    <w:rsid w:val="008F4FB8"/>
    <w:rsid w:val="00915636"/>
    <w:rsid w:val="00922804"/>
    <w:rsid w:val="00923317"/>
    <w:rsid w:val="00927820"/>
    <w:rsid w:val="0094463C"/>
    <w:rsid w:val="00971462"/>
    <w:rsid w:val="009749B4"/>
    <w:rsid w:val="009845FE"/>
    <w:rsid w:val="009A4759"/>
    <w:rsid w:val="009B336D"/>
    <w:rsid w:val="009F7922"/>
    <w:rsid w:val="00A02D68"/>
    <w:rsid w:val="00A330E4"/>
    <w:rsid w:val="00A506A5"/>
    <w:rsid w:val="00A54130"/>
    <w:rsid w:val="00A5670B"/>
    <w:rsid w:val="00A73E4D"/>
    <w:rsid w:val="00A94281"/>
    <w:rsid w:val="00A9649F"/>
    <w:rsid w:val="00AE2712"/>
    <w:rsid w:val="00AF150A"/>
    <w:rsid w:val="00B07A51"/>
    <w:rsid w:val="00B12E71"/>
    <w:rsid w:val="00B16F42"/>
    <w:rsid w:val="00B260BA"/>
    <w:rsid w:val="00B42E19"/>
    <w:rsid w:val="00B6463C"/>
    <w:rsid w:val="00BC33AC"/>
    <w:rsid w:val="00BE0D3D"/>
    <w:rsid w:val="00BF7812"/>
    <w:rsid w:val="00C33041"/>
    <w:rsid w:val="00C8696D"/>
    <w:rsid w:val="00CD7454"/>
    <w:rsid w:val="00D215E0"/>
    <w:rsid w:val="00D22FB5"/>
    <w:rsid w:val="00D304B8"/>
    <w:rsid w:val="00D53F20"/>
    <w:rsid w:val="00D64044"/>
    <w:rsid w:val="00D71678"/>
    <w:rsid w:val="00D73E8E"/>
    <w:rsid w:val="00D80392"/>
    <w:rsid w:val="00D87725"/>
    <w:rsid w:val="00DD7AD7"/>
    <w:rsid w:val="00DE0642"/>
    <w:rsid w:val="00DE0C46"/>
    <w:rsid w:val="00DF1296"/>
    <w:rsid w:val="00DF1766"/>
    <w:rsid w:val="00E45811"/>
    <w:rsid w:val="00E46D1A"/>
    <w:rsid w:val="00E8180F"/>
    <w:rsid w:val="00EA20C6"/>
    <w:rsid w:val="00EA4B8E"/>
    <w:rsid w:val="00EC1940"/>
    <w:rsid w:val="00EF0262"/>
    <w:rsid w:val="00EF5296"/>
    <w:rsid w:val="00EF7C20"/>
    <w:rsid w:val="00F011C7"/>
    <w:rsid w:val="00F0599C"/>
    <w:rsid w:val="00F26AD4"/>
    <w:rsid w:val="00F3442A"/>
    <w:rsid w:val="00F44F9F"/>
    <w:rsid w:val="00F5553A"/>
    <w:rsid w:val="00F65A0D"/>
    <w:rsid w:val="00F67874"/>
    <w:rsid w:val="00F754B3"/>
    <w:rsid w:val="00F77B3C"/>
    <w:rsid w:val="00FB19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880CD"/>
  <w15:docId w15:val="{596893BB-5E8A-441B-9548-F3C630D2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ejaVu Sans"/>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6B"/>
    <w:pPr>
      <w:widowControl w:val="0"/>
      <w:spacing w:after="120" w:line="360" w:lineRule="auto"/>
      <w:ind w:firstLine="284"/>
      <w:jc w:val="both"/>
    </w:pPr>
    <w:rPr>
      <w:rFonts w:ascii="Garamond" w:eastAsiaTheme="minorHAnsi" w:hAnsi="Garamond" w:cstheme="minorBidi"/>
      <w:sz w:val="24"/>
      <w:szCs w:val="24"/>
    </w:rPr>
  </w:style>
  <w:style w:type="paragraph" w:styleId="Heading1">
    <w:name w:val="heading 1"/>
    <w:basedOn w:val="Normal"/>
    <w:next w:val="Normal"/>
    <w:link w:val="Heading1Char"/>
    <w:uiPriority w:val="9"/>
    <w:qFormat/>
    <w:rsid w:val="00006360"/>
    <w:pPr>
      <w:numPr>
        <w:numId w:val="14"/>
      </w:numPr>
      <w:tabs>
        <w:tab w:val="left" w:pos="1276"/>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bealhoCarter">
    <w:name w:val="Cabeçalho Caráter"/>
    <w:basedOn w:val="DefaultParagraphFont"/>
    <w:qFormat/>
  </w:style>
  <w:style w:type="character" w:customStyle="1" w:styleId="RodapCarter">
    <w:name w:val="Rodapé Caráter"/>
    <w:basedOn w:val="DefaultParagraphFont"/>
    <w:qFormat/>
  </w:style>
  <w:style w:type="character" w:customStyle="1" w:styleId="LigaodeInternet">
    <w:name w:val="Ligação de Internet"/>
    <w:basedOn w:val="DefaultParagraphFont"/>
    <w:rPr>
      <w:color w:val="0000FF"/>
      <w:u w:val="single"/>
    </w:rPr>
  </w:style>
  <w:style w:type="character" w:styleId="Strong">
    <w:name w:val="Strong"/>
    <w:basedOn w:val="DefaultParagraphFont"/>
    <w:qFormat/>
    <w:rPr>
      <w:b/>
      <w:bCs/>
    </w:rPr>
  </w:style>
  <w:style w:type="character" w:customStyle="1" w:styleId="TextodecomentrioCarter">
    <w:name w:val="Texto de comentário Caráter"/>
    <w:basedOn w:val="DefaultParagraphFont"/>
    <w:qFormat/>
    <w:rPr>
      <w:sz w:val="20"/>
      <w:szCs w:val="20"/>
    </w:rPr>
  </w:style>
  <w:style w:type="character" w:styleId="CommentReference">
    <w:name w:val="annotation reference"/>
    <w:basedOn w:val="DefaultParagraphFont"/>
    <w:qFormat/>
    <w:rPr>
      <w:sz w:val="16"/>
      <w:szCs w:val="16"/>
    </w:rPr>
  </w:style>
  <w:style w:type="character" w:customStyle="1" w:styleId="TextodebaloCarter">
    <w:name w:val="Texto de balão Caráter"/>
    <w:basedOn w:val="DefaultParagraphFont"/>
    <w:qFormat/>
    <w:rPr>
      <w:rFonts w:ascii="Segoe UI" w:hAnsi="Segoe UI" w:cs="Segoe UI"/>
      <w:sz w:val="18"/>
      <w:szCs w:val="18"/>
    </w:rPr>
  </w:style>
  <w:style w:type="character" w:customStyle="1" w:styleId="AvanodecorpodetextoCarter">
    <w:name w:val="Avanço de corpo de texto Caráter"/>
    <w:basedOn w:val="DefaultParagraphFont"/>
    <w:qFormat/>
    <w:rPr>
      <w:rFonts w:ascii="Times New Roman" w:hAnsi="Times New Roman" w:cs="Times New Roman"/>
      <w:sz w:val="24"/>
      <w:szCs w:val="24"/>
      <w:lang w:eastAsia="pt-PT" w:bidi="pt-PT"/>
    </w:rPr>
  </w:style>
  <w:style w:type="character" w:customStyle="1" w:styleId="AssuntodecomentrioCarter">
    <w:name w:val="Assunto de comentário Caráter"/>
    <w:basedOn w:val="TextodecomentrioCarter"/>
    <w:qFormat/>
    <w:rPr>
      <w:b/>
      <w:bCs/>
      <w:sz w:val="20"/>
      <w:szCs w:val="20"/>
    </w:rPr>
  </w:style>
  <w:style w:type="character" w:customStyle="1" w:styleId="ListLabel1">
    <w:name w:val="ListLabel 1"/>
    <w:qFormat/>
    <w:rPr>
      <w:rFonts w:ascii="Verdana" w:eastAsia="Calibri" w:hAnsi="Verdana" w:cs="DejaVu Sans"/>
      <w:sz w:val="20"/>
    </w:rPr>
  </w:style>
  <w:style w:type="character" w:customStyle="1" w:styleId="ListLabel2">
    <w:name w:val="ListLabel 2"/>
    <w:qFormat/>
    <w:rPr>
      <w:rFonts w:ascii="Verdana" w:eastAsia="Calibri" w:hAnsi="Verdana" w:cs="DejaVu Sans"/>
      <w:sz w:val="20"/>
      <w:szCs w:val="20"/>
      <w:highlight w:val="yellow"/>
      <w:lang w:eastAsia="en-US"/>
    </w:rPr>
  </w:style>
  <w:style w:type="character" w:customStyle="1" w:styleId="ListLabel3">
    <w:name w:val="ListLabel 3"/>
    <w:qFormat/>
    <w:rPr>
      <w:rFonts w:ascii="Verdana" w:hAnsi="Verdana"/>
      <w:color w:val="006633"/>
      <w:sz w:val="20"/>
      <w:szCs w:val="20"/>
      <w:highlight w:val="white"/>
    </w:rPr>
  </w:style>
  <w:style w:type="character" w:customStyle="1" w:styleId="ListLabel4">
    <w:name w:val="ListLabel 4"/>
    <w:qFormat/>
    <w:rPr>
      <w:rFonts w:ascii="Verdana" w:eastAsia="Calibri" w:hAnsi="Verdana" w:cs="DejaVu Sans"/>
      <w:sz w:val="20"/>
    </w:rPr>
  </w:style>
  <w:style w:type="character" w:customStyle="1" w:styleId="ListLabel5">
    <w:name w:val="ListLabel 5"/>
    <w:qFormat/>
    <w:rPr>
      <w:rFonts w:ascii="Verdana" w:eastAsia="Calibri" w:hAnsi="Verdana" w:cs="DejaVu Sans"/>
      <w:sz w:val="20"/>
      <w:szCs w:val="20"/>
      <w:highlight w:val="yellow"/>
      <w:lang w:eastAsia="en-US"/>
    </w:rPr>
  </w:style>
  <w:style w:type="character" w:customStyle="1" w:styleId="ListLabel6">
    <w:name w:val="ListLabel 6"/>
    <w:qFormat/>
    <w:rPr>
      <w:rFonts w:ascii="Verdana" w:hAnsi="Verdana"/>
      <w:color w:val="006633"/>
      <w:sz w:val="20"/>
      <w:szCs w:val="20"/>
      <w:highlight w:val="white"/>
    </w:rPr>
  </w:style>
  <w:style w:type="character" w:styleId="Emphasis">
    <w:name w:val="Emphasis"/>
    <w:qFormat/>
    <w:rPr>
      <w:i/>
      <w:iCs/>
    </w:rPr>
  </w:style>
  <w:style w:type="character" w:customStyle="1" w:styleId="ListLabel7">
    <w:name w:val="ListLabel 7"/>
    <w:qFormat/>
    <w:rPr>
      <w:rFonts w:ascii="Verdana" w:eastAsia="Calibri" w:hAnsi="Verdana" w:cs="DejaVu Sans"/>
      <w:sz w:val="20"/>
    </w:rPr>
  </w:style>
  <w:style w:type="character" w:customStyle="1" w:styleId="ListLabel8">
    <w:name w:val="ListLabel 8"/>
    <w:qFormat/>
    <w:rPr>
      <w:rFonts w:ascii="Verdana" w:eastAsia="Calibri" w:hAnsi="Verdana"/>
      <w:sz w:val="20"/>
      <w:szCs w:val="20"/>
      <w:highlight w:val="yellow"/>
      <w:lang w:eastAsia="en-US"/>
    </w:rPr>
  </w:style>
  <w:style w:type="character" w:customStyle="1" w:styleId="ListLabel9">
    <w:name w:val="ListLabel 9"/>
    <w:qFormat/>
    <w:rPr>
      <w:rFonts w:ascii="Verdana" w:hAnsi="Verdana"/>
      <w:color w:val="006633"/>
      <w:sz w:val="20"/>
      <w:szCs w:val="20"/>
      <w:highlight w:val="white"/>
    </w:rPr>
  </w:style>
  <w:style w:type="paragraph" w:styleId="Title">
    <w:name w:val="Title"/>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rPr>
  </w:style>
  <w:style w:type="paragraph" w:customStyle="1" w:styleId="ndice">
    <w:name w:val="Índice"/>
    <w:basedOn w:val="Normal"/>
    <w:qFormat/>
    <w:pPr>
      <w:suppressLineNumbers/>
    </w:pPr>
    <w:rPr>
      <w:rFonts w:cs="Lohit Devanagari"/>
    </w:rPr>
  </w:style>
  <w:style w:type="paragraph" w:styleId="Header">
    <w:name w:val="header"/>
    <w:basedOn w:val="Normal"/>
    <w:pPr>
      <w:tabs>
        <w:tab w:val="center" w:pos="4252"/>
        <w:tab w:val="right" w:pos="8504"/>
      </w:tabs>
      <w:spacing w:after="0" w:line="240" w:lineRule="auto"/>
    </w:pPr>
  </w:style>
  <w:style w:type="paragraph" w:styleId="Footer">
    <w:name w:val="footer"/>
    <w:basedOn w:val="Normal"/>
    <w:pPr>
      <w:tabs>
        <w:tab w:val="center" w:pos="4252"/>
        <w:tab w:val="right" w:pos="8504"/>
      </w:tabs>
      <w:spacing w:after="0" w:line="240" w:lineRule="auto"/>
    </w:pPr>
  </w:style>
  <w:style w:type="paragraph" w:styleId="ListParagraph">
    <w:name w:val="List Paragraph"/>
    <w:basedOn w:val="Normal"/>
    <w:link w:val="ListParagraphChar"/>
    <w:qFormat/>
    <w:pPr>
      <w:ind w:left="720"/>
      <w:contextualSpacing/>
    </w:p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lang w:eastAsia="pt-PT"/>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styleId="BodyTextIndent">
    <w:name w:val="Body Text Indent"/>
    <w:basedOn w:val="Normal"/>
    <w:pPr>
      <w:spacing w:before="240" w:after="240" w:line="480" w:lineRule="auto"/>
      <w:ind w:left="2160" w:hanging="720"/>
    </w:pPr>
    <w:rPr>
      <w:rFonts w:ascii="Times New Roman" w:hAnsi="Times New Roman" w:cs="Times New Roman"/>
      <w:lang w:eastAsia="pt-PT" w:bidi="pt-PT"/>
    </w:rPr>
  </w:style>
  <w:style w:type="paragraph" w:styleId="CommentSubject">
    <w:name w:val="annotation subject"/>
    <w:basedOn w:val="CommentText"/>
    <w:qFormat/>
    <w:rPr>
      <w:b/>
      <w:bCs/>
    </w:rPr>
  </w:style>
  <w:style w:type="paragraph" w:styleId="Revision">
    <w:name w:val="Revision"/>
    <w:qFormat/>
    <w:pPr>
      <w:overflowPunct w:val="0"/>
    </w:pPr>
    <w:rPr>
      <w:sz w:val="22"/>
    </w:rPr>
  </w:style>
  <w:style w:type="paragraph" w:customStyle="1" w:styleId="Contedodatabela">
    <w:name w:val="Conteúdo da tabela"/>
    <w:basedOn w:val="Normal"/>
    <w:qFormat/>
    <w:rsid w:val="009845FE"/>
    <w:pPr>
      <w:suppressLineNumbers/>
    </w:pPr>
    <w:rPr>
      <w:rFonts w:asciiTheme="minorHAnsi" w:hAnsiTheme="minorHAnsi"/>
    </w:rPr>
  </w:style>
  <w:style w:type="character" w:customStyle="1" w:styleId="nfaseacentuada">
    <w:name w:val="Ênfase acentuada"/>
    <w:qFormat/>
    <w:rsid w:val="00EC1940"/>
    <w:rPr>
      <w:b/>
      <w:bCs/>
    </w:rPr>
  </w:style>
  <w:style w:type="character" w:customStyle="1" w:styleId="ListParagraphChar">
    <w:name w:val="List Paragraph Char"/>
    <w:link w:val="ListParagraph"/>
    <w:uiPriority w:val="34"/>
    <w:rsid w:val="0037390A"/>
    <w:rPr>
      <w:sz w:val="22"/>
    </w:rPr>
  </w:style>
  <w:style w:type="paragraph" w:customStyle="1" w:styleId="CM1">
    <w:name w:val="CM1"/>
    <w:basedOn w:val="Normal"/>
    <w:next w:val="Normal"/>
    <w:uiPriority w:val="99"/>
    <w:rsid w:val="0054554D"/>
    <w:pPr>
      <w:autoSpaceDE w:val="0"/>
      <w:autoSpaceDN w:val="0"/>
      <w:adjustRightInd w:val="0"/>
      <w:spacing w:after="0" w:line="240" w:lineRule="auto"/>
    </w:pPr>
    <w:rPr>
      <w:rFonts w:ascii="EU Albertina" w:hAnsi="EU Albertina"/>
    </w:rPr>
  </w:style>
  <w:style w:type="paragraph" w:customStyle="1" w:styleId="CM3">
    <w:name w:val="CM3"/>
    <w:basedOn w:val="Normal"/>
    <w:next w:val="Normal"/>
    <w:uiPriority w:val="99"/>
    <w:rsid w:val="0054554D"/>
    <w:pPr>
      <w:autoSpaceDE w:val="0"/>
      <w:autoSpaceDN w:val="0"/>
      <w:adjustRightInd w:val="0"/>
      <w:spacing w:after="0" w:line="240" w:lineRule="auto"/>
    </w:pPr>
    <w:rPr>
      <w:rFonts w:ascii="EU Albertina" w:hAnsi="EU Albertina"/>
    </w:rPr>
  </w:style>
  <w:style w:type="character" w:customStyle="1" w:styleId="Heading1Char">
    <w:name w:val="Heading 1 Char"/>
    <w:basedOn w:val="DefaultParagraphFont"/>
    <w:link w:val="Heading1"/>
    <w:uiPriority w:val="9"/>
    <w:rsid w:val="00006360"/>
    <w:rPr>
      <w:rFonts w:ascii="Garamond" w:hAnsi="Garamond"/>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14498">
      <w:bodyDiv w:val="1"/>
      <w:marLeft w:val="0"/>
      <w:marRight w:val="0"/>
      <w:marTop w:val="0"/>
      <w:marBottom w:val="0"/>
      <w:divBdr>
        <w:top w:val="none" w:sz="0" w:space="0" w:color="auto"/>
        <w:left w:val="none" w:sz="0" w:space="0" w:color="auto"/>
        <w:bottom w:val="none" w:sz="0" w:space="0" w:color="auto"/>
        <w:right w:val="none" w:sz="0" w:space="0" w:color="auto"/>
      </w:divBdr>
      <w:divsChild>
        <w:div w:id="1382289183">
          <w:marLeft w:val="0"/>
          <w:marRight w:val="0"/>
          <w:marTop w:val="0"/>
          <w:marBottom w:val="0"/>
          <w:divBdr>
            <w:top w:val="none" w:sz="0" w:space="0" w:color="auto"/>
            <w:left w:val="none" w:sz="0" w:space="0" w:color="auto"/>
            <w:bottom w:val="none" w:sz="0" w:space="0" w:color="auto"/>
            <w:right w:val="none" w:sz="0" w:space="0" w:color="auto"/>
          </w:divBdr>
          <w:divsChild>
            <w:div w:id="90785575">
              <w:marLeft w:val="0"/>
              <w:marRight w:val="0"/>
              <w:marTop w:val="0"/>
              <w:marBottom w:val="0"/>
              <w:divBdr>
                <w:top w:val="none" w:sz="0" w:space="0" w:color="auto"/>
                <w:left w:val="none" w:sz="0" w:space="0" w:color="auto"/>
                <w:bottom w:val="none" w:sz="0" w:space="0" w:color="auto"/>
                <w:right w:val="none" w:sz="0" w:space="0" w:color="auto"/>
              </w:divBdr>
              <w:divsChild>
                <w:div w:id="791904125">
                  <w:marLeft w:val="0"/>
                  <w:marRight w:val="0"/>
                  <w:marTop w:val="0"/>
                  <w:marBottom w:val="0"/>
                  <w:divBdr>
                    <w:top w:val="none" w:sz="0" w:space="0" w:color="auto"/>
                    <w:left w:val="none" w:sz="0" w:space="0" w:color="auto"/>
                    <w:bottom w:val="none" w:sz="0" w:space="0" w:color="auto"/>
                    <w:right w:val="none" w:sz="0" w:space="0" w:color="auto"/>
                  </w:divBdr>
                  <w:divsChild>
                    <w:div w:id="1133059849">
                      <w:marLeft w:val="0"/>
                      <w:marRight w:val="0"/>
                      <w:marTop w:val="0"/>
                      <w:marBottom w:val="0"/>
                      <w:divBdr>
                        <w:top w:val="none" w:sz="0" w:space="0" w:color="auto"/>
                        <w:left w:val="none" w:sz="0" w:space="0" w:color="auto"/>
                        <w:bottom w:val="none" w:sz="0" w:space="0" w:color="auto"/>
                        <w:right w:val="none" w:sz="0" w:space="0" w:color="auto"/>
                      </w:divBdr>
                      <w:divsChild>
                        <w:div w:id="526022863">
                          <w:marLeft w:val="0"/>
                          <w:marRight w:val="0"/>
                          <w:marTop w:val="0"/>
                          <w:marBottom w:val="0"/>
                          <w:divBdr>
                            <w:top w:val="none" w:sz="0" w:space="0" w:color="auto"/>
                            <w:left w:val="none" w:sz="0" w:space="0" w:color="auto"/>
                            <w:bottom w:val="none" w:sz="0" w:space="0" w:color="auto"/>
                            <w:right w:val="none" w:sz="0" w:space="0" w:color="auto"/>
                          </w:divBdr>
                          <w:divsChild>
                            <w:div w:id="1089159914">
                              <w:marLeft w:val="0"/>
                              <w:marRight w:val="0"/>
                              <w:marTop w:val="0"/>
                              <w:marBottom w:val="0"/>
                              <w:divBdr>
                                <w:top w:val="none" w:sz="0" w:space="0" w:color="auto"/>
                                <w:left w:val="none" w:sz="0" w:space="0" w:color="auto"/>
                                <w:bottom w:val="none" w:sz="0" w:space="0" w:color="auto"/>
                                <w:right w:val="none" w:sz="0" w:space="0" w:color="auto"/>
                              </w:divBdr>
                              <w:divsChild>
                                <w:div w:id="1803692583">
                                  <w:marLeft w:val="0"/>
                                  <w:marRight w:val="0"/>
                                  <w:marTop w:val="0"/>
                                  <w:marBottom w:val="0"/>
                                  <w:divBdr>
                                    <w:top w:val="none" w:sz="0" w:space="0" w:color="auto"/>
                                    <w:left w:val="none" w:sz="0" w:space="0" w:color="auto"/>
                                    <w:bottom w:val="none" w:sz="0" w:space="0" w:color="auto"/>
                                    <w:right w:val="none" w:sz="0" w:space="0" w:color="auto"/>
                                  </w:divBdr>
                                  <w:divsChild>
                                    <w:div w:id="1706518361">
                                      <w:marLeft w:val="0"/>
                                      <w:marRight w:val="0"/>
                                      <w:marTop w:val="0"/>
                                      <w:marBottom w:val="0"/>
                                      <w:divBdr>
                                        <w:top w:val="none" w:sz="0" w:space="0" w:color="auto"/>
                                        <w:left w:val="none" w:sz="0" w:space="0" w:color="auto"/>
                                        <w:bottom w:val="none" w:sz="0" w:space="0" w:color="auto"/>
                                        <w:right w:val="none" w:sz="0" w:space="0" w:color="auto"/>
                                      </w:divBdr>
                                      <w:divsChild>
                                        <w:div w:id="1499886589">
                                          <w:marLeft w:val="0"/>
                                          <w:marRight w:val="0"/>
                                          <w:marTop w:val="0"/>
                                          <w:marBottom w:val="0"/>
                                          <w:divBdr>
                                            <w:top w:val="none" w:sz="0" w:space="0" w:color="auto"/>
                                            <w:left w:val="none" w:sz="0" w:space="0" w:color="auto"/>
                                            <w:bottom w:val="none" w:sz="0" w:space="0" w:color="auto"/>
                                            <w:right w:val="none" w:sz="0" w:space="0" w:color="auto"/>
                                          </w:divBdr>
                                          <w:divsChild>
                                            <w:div w:id="182714607">
                                              <w:marLeft w:val="0"/>
                                              <w:marRight w:val="0"/>
                                              <w:marTop w:val="0"/>
                                              <w:marBottom w:val="0"/>
                                              <w:divBdr>
                                                <w:top w:val="none" w:sz="0" w:space="0" w:color="auto"/>
                                                <w:left w:val="none" w:sz="0" w:space="0" w:color="auto"/>
                                                <w:bottom w:val="none" w:sz="0" w:space="0" w:color="auto"/>
                                                <w:right w:val="none" w:sz="0" w:space="0" w:color="auto"/>
                                              </w:divBdr>
                                              <w:divsChild>
                                                <w:div w:id="1896700311">
                                                  <w:marLeft w:val="0"/>
                                                  <w:marRight w:val="0"/>
                                                  <w:marTop w:val="0"/>
                                                  <w:marBottom w:val="0"/>
                                                  <w:divBdr>
                                                    <w:top w:val="none" w:sz="0" w:space="0" w:color="auto"/>
                                                    <w:left w:val="none" w:sz="0" w:space="0" w:color="auto"/>
                                                    <w:bottom w:val="none" w:sz="0" w:space="0" w:color="auto"/>
                                                    <w:right w:val="none" w:sz="0" w:space="0" w:color="auto"/>
                                                  </w:divBdr>
                                                  <w:divsChild>
                                                    <w:div w:id="2088728013">
                                                      <w:marLeft w:val="0"/>
                                                      <w:marRight w:val="0"/>
                                                      <w:marTop w:val="0"/>
                                                      <w:marBottom w:val="0"/>
                                                      <w:divBdr>
                                                        <w:top w:val="none" w:sz="0" w:space="0" w:color="auto"/>
                                                        <w:left w:val="none" w:sz="0" w:space="0" w:color="auto"/>
                                                        <w:bottom w:val="none" w:sz="0" w:space="0" w:color="auto"/>
                                                        <w:right w:val="none" w:sz="0" w:space="0" w:color="auto"/>
                                                      </w:divBdr>
                                                      <w:divsChild>
                                                        <w:div w:id="177083954">
                                                          <w:marLeft w:val="0"/>
                                                          <w:marRight w:val="0"/>
                                                          <w:marTop w:val="0"/>
                                                          <w:marBottom w:val="0"/>
                                                          <w:divBdr>
                                                            <w:top w:val="none" w:sz="0" w:space="0" w:color="auto"/>
                                                            <w:left w:val="none" w:sz="0" w:space="0" w:color="auto"/>
                                                            <w:bottom w:val="none" w:sz="0" w:space="0" w:color="auto"/>
                                                            <w:right w:val="none" w:sz="0" w:space="0" w:color="auto"/>
                                                          </w:divBdr>
                                                          <w:divsChild>
                                                            <w:div w:id="839126471">
                                                              <w:marLeft w:val="0"/>
                                                              <w:marRight w:val="0"/>
                                                              <w:marTop w:val="0"/>
                                                              <w:marBottom w:val="0"/>
                                                              <w:divBdr>
                                                                <w:top w:val="none" w:sz="0" w:space="0" w:color="auto"/>
                                                                <w:left w:val="none" w:sz="0" w:space="0" w:color="auto"/>
                                                                <w:bottom w:val="none" w:sz="0" w:space="0" w:color="auto"/>
                                                                <w:right w:val="none" w:sz="0" w:space="0" w:color="auto"/>
                                                              </w:divBdr>
                                                              <w:divsChild>
                                                                <w:div w:id="1445462858">
                                                                  <w:marLeft w:val="0"/>
                                                                  <w:marRight w:val="0"/>
                                                                  <w:marTop w:val="0"/>
                                                                  <w:marBottom w:val="0"/>
                                                                  <w:divBdr>
                                                                    <w:top w:val="none" w:sz="0" w:space="0" w:color="auto"/>
                                                                    <w:left w:val="none" w:sz="0" w:space="0" w:color="auto"/>
                                                                    <w:bottom w:val="none" w:sz="0" w:space="0" w:color="auto"/>
                                                                    <w:right w:val="none" w:sz="0" w:space="0" w:color="auto"/>
                                                                  </w:divBdr>
                                                                  <w:divsChild>
                                                                    <w:div w:id="1564412577">
                                                                      <w:marLeft w:val="0"/>
                                                                      <w:marRight w:val="0"/>
                                                                      <w:marTop w:val="0"/>
                                                                      <w:marBottom w:val="450"/>
                                                                      <w:divBdr>
                                                                        <w:top w:val="none" w:sz="0" w:space="0" w:color="auto"/>
                                                                        <w:left w:val="none" w:sz="0" w:space="0" w:color="auto"/>
                                                                        <w:bottom w:val="none" w:sz="0" w:space="0" w:color="auto"/>
                                                                        <w:right w:val="none" w:sz="0" w:space="0" w:color="auto"/>
                                                                      </w:divBdr>
                                                                      <w:divsChild>
                                                                        <w:div w:id="881862057">
                                                                          <w:marLeft w:val="0"/>
                                                                          <w:marRight w:val="0"/>
                                                                          <w:marTop w:val="0"/>
                                                                          <w:marBottom w:val="0"/>
                                                                          <w:divBdr>
                                                                            <w:top w:val="none" w:sz="0" w:space="0" w:color="auto"/>
                                                                            <w:left w:val="none" w:sz="0" w:space="0" w:color="auto"/>
                                                                            <w:bottom w:val="none" w:sz="0" w:space="0" w:color="auto"/>
                                                                            <w:right w:val="none" w:sz="0" w:space="0" w:color="auto"/>
                                                                          </w:divBdr>
                                                                          <w:divsChild>
                                                                            <w:div w:id="1644500294">
                                                                              <w:marLeft w:val="0"/>
                                                                              <w:marRight w:val="0"/>
                                                                              <w:marTop w:val="0"/>
                                                                              <w:marBottom w:val="0"/>
                                                                              <w:divBdr>
                                                                                <w:top w:val="none" w:sz="0" w:space="0" w:color="auto"/>
                                                                                <w:left w:val="none" w:sz="0" w:space="0" w:color="auto"/>
                                                                                <w:bottom w:val="none" w:sz="0" w:space="0" w:color="auto"/>
                                                                                <w:right w:val="none" w:sz="0" w:space="0" w:color="auto"/>
                                                                              </w:divBdr>
                                                                              <w:divsChild>
                                                                                <w:div w:id="7629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00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DA/TXT/PDF/?uri=CELEX:32006R1907&amp;from=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1249</Words>
  <Characters>7121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dc:description/>
  <cp:lastModifiedBy>Dimitris Dimitriadis</cp:lastModifiedBy>
  <cp:revision>4</cp:revision>
  <cp:lastPrinted>2021-02-01T17:16:00Z</cp:lastPrinted>
  <dcterms:created xsi:type="dcterms:W3CDTF">2021-03-15T17:27:00Z</dcterms:created>
  <dcterms:modified xsi:type="dcterms:W3CDTF">2021-03-23T14:51:00Z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FileDoc_ClassificationNodeID">
    <vt:lpwstr/>
  </property>
  <property fmtid="{D5CDD505-2E9C-101B-9397-08002B2CF9AE}" pid="5" name="FileDoc_DocFileID">
    <vt:lpwstr>3700771</vt:lpwstr>
  </property>
  <property fmtid="{D5CDD505-2E9C-101B-9397-08002B2CF9AE}" pid="6" name="FileDoc_DocID">
    <vt:lpwstr>2627419</vt:lpwstr>
  </property>
  <property fmtid="{D5CDD505-2E9C-101B-9397-08002B2CF9AE}" pid="7" name="FileDoc_EntityID">
    <vt:lpwstr/>
  </property>
  <property fmtid="{D5CDD505-2E9C-101B-9397-08002B2CF9AE}" pid="8" name="FileDoc_ProcID">
    <vt:lpwstr/>
  </property>
  <property fmtid="{D5CDD505-2E9C-101B-9397-08002B2CF9AE}" pid="9" name="FileDoc_RecordType">
    <vt:lpwstr>DOCS</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