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000" w:firstRow="0" w:lastRow="0" w:firstColumn="0" w:lastColumn="0" w:noHBand="0" w:noVBand="0"/>
      </w:tblPr>
      <w:tblGrid>
        <w:gridCol w:w="9639"/>
      </w:tblGrid>
      <w:tr w:rsidR="00E84013" w:rsidRPr="00901B73" w14:paraId="5D27D3DC" w14:textId="77777777">
        <w:trPr>
          <w:cantSplit/>
          <w:trHeight w:hRule="exact" w:val="567"/>
          <w:jc w:val="center"/>
        </w:trPr>
        <w:tc>
          <w:tcPr>
            <w:tcW w:w="9639" w:type="dxa"/>
          </w:tcPr>
          <w:p w14:paraId="5D27D3DB" w14:textId="2A6DA661" w:rsidR="00E84013" w:rsidRPr="00901B73" w:rsidRDefault="00E84013">
            <w:pPr>
              <w:jc w:val="center"/>
              <w:rPr>
                <w:rFonts w:ascii="Verdana" w:hAnsi="Verdana" w:cs="Arial"/>
                <w:color w:val="000000" w:themeColor="text1"/>
                <w:sz w:val="26"/>
                <w:szCs w:val="26"/>
              </w:rPr>
            </w:pPr>
          </w:p>
        </w:tc>
      </w:tr>
      <w:tr w:rsidR="00E84013" w:rsidRPr="00901B73" w14:paraId="5D27D3DE" w14:textId="77777777">
        <w:trPr>
          <w:cantSplit/>
          <w:trHeight w:hRule="exact" w:val="567"/>
          <w:jc w:val="center"/>
        </w:trPr>
        <w:tc>
          <w:tcPr>
            <w:tcW w:w="9639" w:type="dxa"/>
          </w:tcPr>
          <w:p w14:paraId="5D27D3DD" w14:textId="77777777" w:rsidR="00E84013" w:rsidRPr="00901B73" w:rsidRDefault="00E84013">
            <w:pPr>
              <w:jc w:val="center"/>
              <w:rPr>
                <w:rFonts w:cs="Arial"/>
                <w:color w:val="000000" w:themeColor="text1"/>
                <w:sz w:val="28"/>
              </w:rPr>
            </w:pPr>
          </w:p>
        </w:tc>
      </w:tr>
      <w:tr w:rsidR="00E84013" w:rsidRPr="00901B73" w14:paraId="5D27D3E0" w14:textId="77777777">
        <w:trPr>
          <w:cantSplit/>
          <w:trHeight w:hRule="exact" w:val="1985"/>
          <w:jc w:val="center"/>
        </w:trPr>
        <w:tc>
          <w:tcPr>
            <w:tcW w:w="9639" w:type="dxa"/>
          </w:tcPr>
          <w:p w14:paraId="5D27D3DF" w14:textId="58E47DC6" w:rsidR="00E84013" w:rsidRPr="00901B73" w:rsidRDefault="00E84013" w:rsidP="003F6241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72"/>
              </w:rPr>
            </w:pPr>
            <w:r w:rsidRPr="00901B73">
              <w:rPr>
                <w:rFonts w:ascii="Verdana" w:hAnsi="Verdana"/>
                <w:b/>
                <w:color w:val="000000" w:themeColor="text1"/>
                <w:sz w:val="72"/>
              </w:rPr>
              <w:t>SSB FE-OE 058</w:t>
            </w:r>
          </w:p>
        </w:tc>
      </w:tr>
      <w:tr w:rsidR="00E84013" w:rsidRPr="00901B73" w14:paraId="5D27D3E7" w14:textId="77777777">
        <w:trPr>
          <w:cantSplit/>
          <w:trHeight w:val="3969"/>
          <w:jc w:val="center"/>
        </w:trPr>
        <w:tc>
          <w:tcPr>
            <w:tcW w:w="9639" w:type="dxa"/>
          </w:tcPr>
          <w:p w14:paraId="024EC4E6" w14:textId="7C1082D8" w:rsidR="000F4A2F" w:rsidRPr="00901B73" w:rsidRDefault="00E84013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36"/>
              </w:rPr>
            </w:pPr>
            <w:r w:rsidRPr="00901B73">
              <w:rPr>
                <w:rFonts w:ascii="Verdana" w:hAnsi="Verdana"/>
                <w:b/>
                <w:color w:val="000000" w:themeColor="text1"/>
                <w:sz w:val="36"/>
              </w:rPr>
              <w:t>Specifikace rozhraní pro rádiová relé v pásmu 6,2 GHz (L6) (dvoubodový spoj)</w:t>
            </w:r>
          </w:p>
          <w:p w14:paraId="5D27D3E2" w14:textId="6ABCAAF3" w:rsidR="00E84013" w:rsidRPr="00901B73" w:rsidRDefault="000F4A2F" w:rsidP="005E06AD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36"/>
              </w:rPr>
            </w:pPr>
            <w:r w:rsidRPr="00901B73">
              <w:rPr>
                <w:rFonts w:ascii="Verdana" w:hAnsi="Verdana"/>
                <w:b/>
                <w:color w:val="000000" w:themeColor="text1"/>
                <w:sz w:val="36"/>
              </w:rPr>
              <w:t xml:space="preserve"> </w:t>
            </w:r>
          </w:p>
          <w:p w14:paraId="5D27D3E3" w14:textId="77777777" w:rsidR="00E84013" w:rsidRPr="00901B73" w:rsidRDefault="00E84013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36"/>
              </w:rPr>
            </w:pPr>
          </w:p>
          <w:p w14:paraId="5D27D3E5" w14:textId="77777777" w:rsidR="00E84013" w:rsidRPr="00901B73" w:rsidRDefault="00E84013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36"/>
              </w:rPr>
            </w:pPr>
          </w:p>
          <w:p w14:paraId="5D27D3E6" w14:textId="77777777" w:rsidR="00E84013" w:rsidRPr="00901B73" w:rsidRDefault="00E84013">
            <w:pPr>
              <w:jc w:val="center"/>
              <w:rPr>
                <w:rFonts w:cs="Arial"/>
                <w:b/>
                <w:bCs/>
                <w:color w:val="000000" w:themeColor="text1"/>
                <w:sz w:val="36"/>
              </w:rPr>
            </w:pPr>
          </w:p>
        </w:tc>
      </w:tr>
      <w:tr w:rsidR="00E84013" w:rsidRPr="00901B73" w14:paraId="5D27D3E9" w14:textId="77777777">
        <w:trPr>
          <w:cantSplit/>
          <w:trHeight w:hRule="exact" w:val="567"/>
          <w:jc w:val="center"/>
        </w:trPr>
        <w:tc>
          <w:tcPr>
            <w:tcW w:w="9639" w:type="dxa"/>
          </w:tcPr>
          <w:p w14:paraId="5D27D3E8" w14:textId="777FBD58" w:rsidR="00E84013" w:rsidRPr="00901B73" w:rsidRDefault="00E84013" w:rsidP="00300659">
            <w:pPr>
              <w:jc w:val="center"/>
              <w:rPr>
                <w:rFonts w:ascii="Verdana" w:hAnsi="Verdana" w:cs="Tahoma"/>
                <w:color w:val="000000" w:themeColor="text1"/>
                <w:sz w:val="32"/>
              </w:rPr>
            </w:pPr>
            <w:r w:rsidRPr="00901B73">
              <w:rPr>
                <w:rFonts w:ascii="Verdana" w:hAnsi="Verdana"/>
                <w:color w:val="000000" w:themeColor="text1"/>
                <w:sz w:val="32"/>
              </w:rPr>
              <w:t>Vydání: únor 2022</w:t>
            </w:r>
          </w:p>
        </w:tc>
      </w:tr>
    </w:tbl>
    <w:p w14:paraId="5D27D3EA" w14:textId="77777777" w:rsidR="00E84013" w:rsidRPr="00901B73" w:rsidRDefault="00E84013">
      <w:pPr>
        <w:rPr>
          <w:rFonts w:cs="Arial"/>
        </w:rPr>
      </w:pPr>
    </w:p>
    <w:p w14:paraId="5D27D3EB" w14:textId="77777777" w:rsidR="00E84013" w:rsidRPr="00901B73" w:rsidRDefault="00E84013">
      <w:pPr>
        <w:pStyle w:val="Header"/>
        <w:tabs>
          <w:tab w:val="clear" w:pos="4536"/>
          <w:tab w:val="clear" w:pos="9072"/>
        </w:tabs>
        <w:rPr>
          <w:rFonts w:cs="Arial"/>
        </w:rPr>
        <w:sectPr w:rsidR="00E84013" w:rsidRPr="00901B73" w:rsidSect="0033163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851" w:footer="851" w:gutter="0"/>
          <w:cols w:space="720"/>
          <w:titlePg/>
        </w:sectPr>
      </w:pPr>
    </w:p>
    <w:p w14:paraId="5D27D3EC" w14:textId="77777777" w:rsidR="00E84013" w:rsidRPr="00901B73" w:rsidRDefault="001A3007">
      <w:pPr>
        <w:pStyle w:val="Heading1"/>
        <w:rPr>
          <w:color w:val="000000" w:themeColor="text1"/>
        </w:rPr>
      </w:pPr>
      <w:bookmarkStart w:id="0" w:name="_Toc193600032"/>
      <w:r w:rsidRPr="00901B73">
        <w:rPr>
          <w:color w:val="000000" w:themeColor="text1"/>
        </w:rPr>
        <w:lastRenderedPageBreak/>
        <w:t>1</w:t>
      </w:r>
      <w:r w:rsidRPr="00901B73">
        <w:rPr>
          <w:color w:val="000000" w:themeColor="text1"/>
        </w:rPr>
        <w:tab/>
        <w:t>Všeobecně</w:t>
      </w:r>
      <w:bookmarkEnd w:id="0"/>
    </w:p>
    <w:p w14:paraId="26A46CD4" w14:textId="77777777" w:rsidR="00571FA8" w:rsidRPr="00901B73" w:rsidRDefault="00571FA8" w:rsidP="00571FA8">
      <w:r w:rsidRPr="00901B73">
        <w:t>Směrnice Evropského parlamentu a Rady 2014/53/EU ze dne 16. dubna 2014 (Úř. věst. L 153/62) o harmonizaci právních předpisů členských států týkajících se dodávání rádiových zařízení na trh a zrušení směrnice 1999/5/ES byla ve Spolkové republice Německo provedena zákonem o uvádění rádiových zařízení na trh (FuAG) ze dne 27. června 2017 (Spolk. Věst. I č. 42, s. 1947), v pozdějším znění článku 52 zákona ze dne 23. června 2021 (Spolk. věst. I č. 35, s. 1858).</w:t>
      </w:r>
    </w:p>
    <w:p w14:paraId="0CEFD949" w14:textId="77777777" w:rsidR="00571FA8" w:rsidRPr="00901B73" w:rsidRDefault="00571FA8" w:rsidP="00571FA8">
      <w:pPr>
        <w:rPr>
          <w:color w:val="000000" w:themeColor="text1"/>
        </w:rPr>
      </w:pPr>
    </w:p>
    <w:p w14:paraId="686F77F2" w14:textId="77777777" w:rsidR="00571FA8" w:rsidRPr="00901B73" w:rsidRDefault="00571FA8" w:rsidP="00571FA8">
      <w:pPr>
        <w:rPr>
          <w:rFonts w:cs="Arial"/>
          <w:color w:val="000000" w:themeColor="text1"/>
          <w:szCs w:val="22"/>
        </w:rPr>
      </w:pPr>
      <w:r w:rsidRPr="00901B73">
        <w:rPr>
          <w:color w:val="000000" w:themeColor="text1"/>
        </w:rPr>
        <w:t xml:space="preserve">Podle par. 33 odst. 1 zákona FuAG poskytuje Spolková agentura pro sítě radiokomunikačním zařízením, která jsou provozována ve frekvenčních pásmech, jejichž užívání není v rámci společenství harmonizováno, přesné a adekvátní popisy rádiových rozhraní. </w:t>
      </w:r>
    </w:p>
    <w:p w14:paraId="1759621F" w14:textId="77777777" w:rsidR="00571FA8" w:rsidRPr="00901B73" w:rsidRDefault="00571FA8" w:rsidP="00571FA8">
      <w:pPr>
        <w:rPr>
          <w:rFonts w:cs="Arial"/>
          <w:color w:val="000000" w:themeColor="text1"/>
          <w:szCs w:val="22"/>
        </w:rPr>
      </w:pPr>
    </w:p>
    <w:p w14:paraId="5B16059E" w14:textId="77777777" w:rsidR="00571FA8" w:rsidRPr="00901B73" w:rsidRDefault="00571FA8" w:rsidP="00571FA8">
      <w:pPr>
        <w:rPr>
          <w:color w:val="000000" w:themeColor="text1"/>
        </w:rPr>
      </w:pPr>
      <w:r w:rsidRPr="00901B73">
        <w:rPr>
          <w:color w:val="000000" w:themeColor="text1"/>
        </w:rPr>
        <w:t xml:space="preserve">Tento popis rozhraní (SSB) obsahuje informace nezbytné k tomu, aby výrobce mohl provést příslušné zkoušky týkající se nezbytných požadavků platných pro rádiový systém v souladu s par. 4 odst. 2 a případně odstavcem 3. </w:t>
      </w:r>
    </w:p>
    <w:p w14:paraId="76E26DBD" w14:textId="77777777" w:rsidR="00571FA8" w:rsidRPr="00901B73" w:rsidRDefault="00571FA8" w:rsidP="00571FA8">
      <w:pPr>
        <w:rPr>
          <w:color w:val="000000" w:themeColor="text1"/>
        </w:rPr>
      </w:pPr>
    </w:p>
    <w:p w14:paraId="6798E8B7" w14:textId="77777777" w:rsidR="00571FA8" w:rsidRPr="00901B73" w:rsidRDefault="00571FA8" w:rsidP="00571FA8">
      <w:pPr>
        <w:rPr>
          <w:rFonts w:cs="Arial"/>
          <w:color w:val="000000" w:themeColor="text1"/>
          <w:szCs w:val="22"/>
        </w:rPr>
      </w:pPr>
      <w:r w:rsidRPr="00901B73">
        <w:rPr>
          <w:color w:val="000000" w:themeColor="text1"/>
        </w:rPr>
        <w:t>Kromě toho musí být rádiová zařízení navržena tak, aby byly dodrženy další základní požadavky podle par. 4 odst. 1 bodu 1 a bodu 2 zákona FuAG.</w:t>
      </w:r>
    </w:p>
    <w:p w14:paraId="70249476" w14:textId="77777777" w:rsidR="00571FA8" w:rsidRPr="00901B73" w:rsidRDefault="00571FA8" w:rsidP="00571FA8">
      <w:pPr>
        <w:rPr>
          <w:rFonts w:cs="Arial"/>
          <w:color w:val="000000" w:themeColor="text1"/>
        </w:rPr>
      </w:pPr>
    </w:p>
    <w:p w14:paraId="466066DB" w14:textId="77777777" w:rsidR="00571FA8" w:rsidRPr="00901B73" w:rsidRDefault="00571FA8" w:rsidP="00571FA8">
      <w:pPr>
        <w:rPr>
          <w:rFonts w:cs="Arial"/>
          <w:color w:val="000000" w:themeColor="text1"/>
          <w:szCs w:val="22"/>
        </w:rPr>
      </w:pPr>
      <w:r w:rsidRPr="00901B73">
        <w:rPr>
          <w:color w:val="000000" w:themeColor="text1"/>
        </w:rPr>
        <w:t xml:space="preserve">V případě uvádění do provozu a provozování radiových zařízení zůstávají nedotčeny předpisy týkající se vyčlenění frekvencí, zejména předpisy obsažené v části 6 odst. 1 zákona o telekomunikacích ze dne 23. června 2021 </w:t>
      </w:r>
      <w:bookmarkStart w:id="1" w:name="OLE_LINK4"/>
      <w:r w:rsidRPr="00901B73">
        <w:rPr>
          <w:color w:val="000000" w:themeColor="text1"/>
        </w:rPr>
        <w:t>(Spolk. věst. I č. 35, s. 1858)</w:t>
      </w:r>
      <w:bookmarkEnd w:id="1"/>
      <w:r w:rsidRPr="00901B73">
        <w:rPr>
          <w:color w:val="000000" w:themeColor="text1"/>
        </w:rPr>
        <w:t>, v pozdějším znění článku 59 ze dne 1. ledna 2022 zákona ze dne 23. června 2021 (Spolk. věst.I č. 35, s. 1858).</w:t>
      </w:r>
    </w:p>
    <w:p w14:paraId="7B56C04A" w14:textId="77777777" w:rsidR="00571FA8" w:rsidRPr="00901B73" w:rsidRDefault="00571FA8" w:rsidP="00571FA8"/>
    <w:p w14:paraId="4A1BC3D4" w14:textId="77777777" w:rsidR="00571FA8" w:rsidRPr="00901B73" w:rsidRDefault="00571FA8" w:rsidP="00571FA8">
      <w:r w:rsidRPr="00901B73">
        <w:t>Je třeba dodržovat nařízení o metodě detekce pro omezení elektromagnetických polí (BEMFV) ze dne 20. srpna 2002 (Spolk. věst. I č. 60, s. 3366), v pozdějším znění čl. 3 odst. 3 ze dne 4. července 2017 zákona ze dne 27. června 2017 (Spolk. věst. I č. 42, s. 1947).</w:t>
      </w:r>
    </w:p>
    <w:p w14:paraId="26347A0D" w14:textId="77777777" w:rsidR="00571FA8" w:rsidRPr="00901B73" w:rsidRDefault="00571FA8" w:rsidP="00571FA8">
      <w:pPr>
        <w:rPr>
          <w:color w:val="000000" w:themeColor="text1"/>
        </w:rPr>
      </w:pPr>
    </w:p>
    <w:p w14:paraId="463B1CFD" w14:textId="77777777" w:rsidR="00571FA8" w:rsidRPr="00901B73" w:rsidRDefault="00571FA8" w:rsidP="00571FA8">
      <w:pPr>
        <w:rPr>
          <w:rFonts w:cs="Arial"/>
          <w:color w:val="000000" w:themeColor="text1"/>
          <w:szCs w:val="22"/>
        </w:rPr>
      </w:pPr>
      <w:r w:rsidRPr="00901B73">
        <w:rPr>
          <w:color w:val="000000" w:themeColor="text1"/>
        </w:rPr>
        <w:t>Spolková agentura pro sítě nařizuje uvedení popisu rozhraní v platnost ve svém Úředním věstníku a zveřejňuje tam jeho odkaz; závazné je pouze vydání v němčině.</w:t>
      </w:r>
    </w:p>
    <w:p w14:paraId="7EC7E19C" w14:textId="77777777" w:rsidR="001671D3" w:rsidRPr="00901B73" w:rsidRDefault="001671D3" w:rsidP="001671D3">
      <w:pPr>
        <w:rPr>
          <w:rFonts w:cs="Arial"/>
          <w:color w:val="000000" w:themeColor="text1"/>
          <w:szCs w:val="22"/>
        </w:rPr>
      </w:pPr>
    </w:p>
    <w:p w14:paraId="5D27D3F7" w14:textId="77777777" w:rsidR="00381B7A" w:rsidRPr="00901B73" w:rsidRDefault="00381B7A">
      <w:pPr>
        <w:rPr>
          <w:color w:val="000000" w:themeColor="text1"/>
        </w:rPr>
      </w:pPr>
    </w:p>
    <w:p w14:paraId="5A7D98E0" w14:textId="77777777" w:rsidR="001E3760" w:rsidRPr="00901B73" w:rsidRDefault="001E3760">
      <w:pPr>
        <w:rPr>
          <w:color w:val="000000" w:themeColor="text1"/>
        </w:rPr>
      </w:pPr>
    </w:p>
    <w:p w14:paraId="5D27D3F8" w14:textId="77777777" w:rsidR="00E84013" w:rsidRPr="00901B73" w:rsidRDefault="001A3007" w:rsidP="001A3007">
      <w:pPr>
        <w:pStyle w:val="Heading1"/>
        <w:rPr>
          <w:color w:val="000000" w:themeColor="text1"/>
        </w:rPr>
      </w:pPr>
      <w:bookmarkStart w:id="2" w:name="_Toc193600035"/>
      <w:r w:rsidRPr="00901B73">
        <w:rPr>
          <w:color w:val="000000" w:themeColor="text1"/>
        </w:rPr>
        <w:t>2</w:t>
      </w:r>
      <w:r w:rsidRPr="00901B73">
        <w:rPr>
          <w:color w:val="000000" w:themeColor="text1"/>
        </w:rPr>
        <w:tab/>
        <w:t>Oblast působnosti</w:t>
      </w:r>
      <w:bookmarkEnd w:id="2"/>
    </w:p>
    <w:p w14:paraId="1EC636BE" w14:textId="0CDECEB4" w:rsidR="00663106" w:rsidRPr="00901B73" w:rsidRDefault="00663106" w:rsidP="000F4A2F">
      <w:pPr>
        <w:rPr>
          <w:color w:val="000000" w:themeColor="text1"/>
          <w:sz w:val="20"/>
        </w:rPr>
      </w:pPr>
      <w:r w:rsidRPr="00901B73">
        <w:rPr>
          <w:color w:val="000000" w:themeColor="text1"/>
        </w:rPr>
        <w:t>Tento popis rozhraní obsahuje základní požadavky týkající se par. 4 odst. 2 FuAG pro rádiová relé zařízení pro směrový spoj (P-P) v pásmu 6,2 GHz</w:t>
      </w:r>
      <w:r w:rsidRPr="00901B73">
        <w:rPr>
          <w:color w:val="000000" w:themeColor="text1"/>
          <w:sz w:val="20"/>
        </w:rPr>
        <w:t>.</w:t>
      </w:r>
    </w:p>
    <w:p w14:paraId="352EEB65" w14:textId="77777777" w:rsidR="00663106" w:rsidRPr="00901B73" w:rsidRDefault="00663106" w:rsidP="00663106">
      <w:pPr>
        <w:pStyle w:val="Header"/>
        <w:tabs>
          <w:tab w:val="clear" w:pos="4536"/>
          <w:tab w:val="clear" w:pos="9072"/>
        </w:tabs>
        <w:rPr>
          <w:color w:val="000000" w:themeColor="text1"/>
        </w:rPr>
      </w:pPr>
    </w:p>
    <w:p w14:paraId="64094965" w14:textId="05400DFC" w:rsidR="00663106" w:rsidRPr="00901B73" w:rsidRDefault="00663106" w:rsidP="00663106">
      <w:pPr>
        <w:rPr>
          <w:color w:val="000000" w:themeColor="text1"/>
          <w:szCs w:val="22"/>
        </w:rPr>
      </w:pPr>
      <w:r w:rsidRPr="00901B73">
        <w:rPr>
          <w:color w:val="000000" w:themeColor="text1"/>
        </w:rPr>
        <w:t>Za rádiová zařízení ve smyslu tohoto popisu rozhraní jsou považovány přístroje, které jsou používány dle plánovaného účelu a provozovány dle pokynů výrobce. Směrnice 2014/53/EU zavazuje výrobce k tomu, aby uživateli radiových zařízení dal k dispozici adekvátní informace způsobem, aby uživatel mohl zařízení provozovat tak, jak je plánováno, a při dodržení ustanovení směrnice. Tyto informace musí rovněž obsahovat náležité pokyny pro kabeláž a typy antén, které se musí používat společně s rádiovým zařízením.</w:t>
      </w:r>
    </w:p>
    <w:p w14:paraId="5D27D3FC" w14:textId="77777777" w:rsidR="004A212D" w:rsidRPr="00901B73" w:rsidRDefault="004A212D">
      <w:pPr>
        <w:rPr>
          <w:rFonts w:cs="Arial"/>
          <w:color w:val="000000" w:themeColor="text1"/>
        </w:rPr>
      </w:pPr>
    </w:p>
    <w:p w14:paraId="5D27D3FD" w14:textId="1EC1E9E6" w:rsidR="004A212D" w:rsidRPr="00901B73" w:rsidRDefault="00D36D4E" w:rsidP="00FE565F">
      <w:pPr>
        <w:rPr>
          <w:rFonts w:cs="Arial"/>
        </w:rPr>
      </w:pPr>
      <w:r w:rsidRPr="00901B73">
        <w:t>Tento popis rozhraní nahrazuje popis rozhraní Spolkové agentury pro sítě SSB FE-OE 030, vydání z ledna roku 2011, oznámený pod č. 2011/0093/D.</w:t>
      </w:r>
    </w:p>
    <w:p w14:paraId="5D27D3FE" w14:textId="77777777" w:rsidR="004A212D" w:rsidRPr="00901B73" w:rsidRDefault="001A3007" w:rsidP="001A3007">
      <w:pPr>
        <w:pStyle w:val="Heading1"/>
        <w:rPr>
          <w:color w:val="000000" w:themeColor="text1"/>
        </w:rPr>
      </w:pPr>
      <w:r w:rsidRPr="00901B73">
        <w:br w:type="page"/>
      </w:r>
      <w:r w:rsidRPr="00901B73">
        <w:rPr>
          <w:color w:val="000000" w:themeColor="text1"/>
        </w:rPr>
        <w:lastRenderedPageBreak/>
        <w:t>3</w:t>
      </w:r>
      <w:r w:rsidRPr="00901B73">
        <w:rPr>
          <w:color w:val="000000" w:themeColor="text1"/>
        </w:rPr>
        <w:tab/>
        <w:t>Dokumenty a kontaktní údaje:</w:t>
      </w:r>
    </w:p>
    <w:p w14:paraId="7397C444" w14:textId="2B5CA345" w:rsidR="009402BF" w:rsidRPr="00901B73" w:rsidRDefault="009402BF" w:rsidP="002C732C">
      <w:pPr>
        <w:pStyle w:val="AufzDokumente"/>
        <w:numPr>
          <w:ilvl w:val="0"/>
          <w:numId w:val="0"/>
        </w:numPr>
        <w:jc w:val="both"/>
      </w:pPr>
      <w:r w:rsidRPr="00901B73">
        <w:t>Pro uplatnění tohoto dokumentu se požadují níže uvedené dokumenty. U datovaných odkazů platí jen uvedené vydání daného dokumentu. U nedatovaných odkazů platí nejnovější vydání příslušného dokumentu (včetně všech změn).</w:t>
      </w:r>
    </w:p>
    <w:p w14:paraId="7686CBE5" w14:textId="34EC8BA7" w:rsidR="00336A2D" w:rsidRPr="00901B73" w:rsidRDefault="00336A2D" w:rsidP="002C732C">
      <w:pPr>
        <w:pStyle w:val="AufzDokumente"/>
        <w:numPr>
          <w:ilvl w:val="0"/>
          <w:numId w:val="0"/>
        </w:numPr>
        <w:jc w:val="both"/>
      </w:pPr>
      <w:r w:rsidRPr="00901B73">
        <w:t>Pro předpoklad shody je možné použít výhradně verze harmonizovaných evropských norem, které jsou uvedeny v aktuálním seznamu harmonizovaných norem v rámci směrnice 2014/53/EU a které byly uveřejněny Evropskou komisí v Úředním věstníku EU.</w:t>
      </w:r>
    </w:p>
    <w:p w14:paraId="3ABCE6F5" w14:textId="0F9AD3A4" w:rsidR="001E3760" w:rsidRPr="00901B73" w:rsidRDefault="001E3760" w:rsidP="00DF32B7">
      <w:pPr>
        <w:pStyle w:val="AufzDokumente"/>
      </w:pPr>
      <w:r w:rsidRPr="00901B73">
        <w:t>Plán vyčlenění frekvencí v souladu s par. 54 zákona TKG o vyčlenění frekvenčního pásma od 0 kHz do 3000 GHz pro využití frekvencí, jakož i ustanovení pro využívání těchto frekvencí</w:t>
      </w:r>
      <w:r w:rsidRPr="00901B73">
        <w:br/>
        <w:t>publikované Federální agenturou pro sítě</w:t>
      </w:r>
    </w:p>
    <w:p w14:paraId="12456D5A" w14:textId="596BFDB1" w:rsidR="00882122" w:rsidRPr="00901B73" w:rsidRDefault="00882122" w:rsidP="00DF32B7">
      <w:pPr>
        <w:pStyle w:val="AufzDokumente"/>
      </w:pPr>
      <w:r w:rsidRPr="00901B73">
        <w:t>Administrativní ustanovení o vyčlenění frekvencí v pevné rádiové službě pro aplikace rádiového relé (VV Rifu)</w:t>
      </w:r>
      <w:r w:rsidRPr="00901B73">
        <w:br/>
        <w:t>publikované Federální agenturou pro sítě</w:t>
      </w:r>
    </w:p>
    <w:p w14:paraId="0F43C18D" w14:textId="585B60E5" w:rsidR="00A02A4D" w:rsidRPr="00901B73" w:rsidRDefault="00A02A4D" w:rsidP="00DF32B7">
      <w:pPr>
        <w:pStyle w:val="AufzDokumente"/>
      </w:pPr>
      <w:r w:rsidRPr="00901B73">
        <w:t>Změna podmínek využívání frekvencí v pásmu 6,2 GHz pro zavádění rádiových přenosových kanálů Úřední věstník Federální agentury pro síť č. 7/2010, bod 10</w:t>
      </w:r>
    </w:p>
    <w:p w14:paraId="5D27D400" w14:textId="0BEFECEF" w:rsidR="004A212D" w:rsidRPr="00901B73" w:rsidRDefault="004A212D" w:rsidP="00DF32B7">
      <w:pPr>
        <w:pStyle w:val="AufzDokumente"/>
      </w:pPr>
      <w:r w:rsidRPr="00901B73">
        <w:t>Radiokomunikační řád</w:t>
      </w:r>
      <w:r w:rsidRPr="00901B73">
        <w:rPr>
          <w:rStyle w:val="FootnoteReference"/>
        </w:rPr>
        <w:footnoteReference w:id="1"/>
      </w:r>
      <w:r w:rsidRPr="00901B73">
        <w:t xml:space="preserve"> (VO Funk),</w:t>
      </w:r>
      <w:r w:rsidRPr="00901B73">
        <w:br/>
        <w:t>Mezinárodní telekomunikační unie (ITU), Ženeva</w:t>
      </w:r>
      <w:r w:rsidRPr="00901B73">
        <w:br/>
        <w:t>(Règlement des radiocommunications, Union internationale des télécommunications (UIT), Genève)</w:t>
      </w:r>
    </w:p>
    <w:p w14:paraId="674DFC82" w14:textId="6B72431D" w:rsidR="001D3270" w:rsidRPr="00901B73" w:rsidRDefault="003F5625" w:rsidP="001D3270">
      <w:pPr>
        <w:pStyle w:val="AufzDokumente"/>
      </w:pPr>
      <w:r w:rsidRPr="00901B73">
        <w:t>ITU-R F.383-10</w:t>
      </w:r>
      <w:r w:rsidRPr="00901B73">
        <w:br/>
        <w:t>Radio-frequency channel arrangements for high-capacity fixed wireless systems operating in the lower 6 GHz (5925 to 6425 MHz) band, 20/2021</w:t>
      </w:r>
    </w:p>
    <w:p w14:paraId="5B2C0D9A" w14:textId="77777777" w:rsidR="00AB77F4" w:rsidRPr="00901B73" w:rsidRDefault="001D3270" w:rsidP="001D3270">
      <w:pPr>
        <w:pStyle w:val="AufzDokumente"/>
      </w:pPr>
      <w:r w:rsidRPr="00901B73">
        <w:t>CEPT ERC Recommendation 14-01</w:t>
      </w:r>
      <w:r w:rsidRPr="00901B73">
        <w:br/>
        <w:t xml:space="preserve">Radio-frequency channel arrangements for high capacity analogue and digital radio-relay systems operating in the band 5925 to 6425 MHz, amended May 2015 </w:t>
      </w:r>
    </w:p>
    <w:p w14:paraId="41B489D5" w14:textId="44FDD486" w:rsidR="001D3270" w:rsidRPr="00901B73" w:rsidRDefault="00AB77F4" w:rsidP="001D3270">
      <w:pPr>
        <w:pStyle w:val="AufzDokumente"/>
      </w:pPr>
      <w:r w:rsidRPr="00901B73">
        <w:t>CEPT ERC Recommendation 74-01</w:t>
      </w:r>
      <w:r w:rsidRPr="00901B73">
        <w:br/>
        <w:t xml:space="preserve">Unwanted emissions in the spurious domain, 29 May 2019 </w:t>
      </w:r>
    </w:p>
    <w:p w14:paraId="451B3CF2" w14:textId="20D0396A" w:rsidR="00AB77F4" w:rsidRPr="00901B73" w:rsidRDefault="00AB77F4" w:rsidP="00AB77F4">
      <w:pPr>
        <w:pStyle w:val="AufzDokumente"/>
      </w:pPr>
      <w:r w:rsidRPr="00901B73">
        <w:t>ETSI EN 302 217-1</w:t>
      </w:r>
      <w:r w:rsidRPr="00901B73">
        <w:br/>
        <w:t>Fixed Radio Systems; Characteristics and requirements for point-to-point equipment and antennas; Part 1: Overview, common characteristics and system-independent requirements</w:t>
      </w:r>
    </w:p>
    <w:p w14:paraId="0E614D57" w14:textId="47A73024" w:rsidR="003F5625" w:rsidRPr="00901B73" w:rsidRDefault="001D3270" w:rsidP="001D3270">
      <w:pPr>
        <w:pStyle w:val="AufzDokumente"/>
      </w:pPr>
      <w:r w:rsidRPr="00901B73">
        <w:t>ETSI EN 302 217-2</w:t>
      </w:r>
      <w:r w:rsidRPr="00901B73">
        <w:br/>
        <w:t>Fixed Radio Systems; Characteristics and requirements for point-to-point equipment and antennas; Part 2: Digital systems operating in frequency bands from 1 GHz to 86 GHz; Harmonised Standard for access to radio spectrum</w:t>
      </w:r>
    </w:p>
    <w:p w14:paraId="73EEAD7E" w14:textId="43E8EEF5" w:rsidR="002E7B1D" w:rsidRPr="00901B73" w:rsidRDefault="002E7B1D" w:rsidP="002E7B1D">
      <w:pPr>
        <w:pStyle w:val="AufzDokumente"/>
      </w:pPr>
      <w:r w:rsidRPr="00901B73">
        <w:t>ETSI EN 302 217-4</w:t>
      </w:r>
      <w:r w:rsidRPr="00901B73">
        <w:br/>
        <w:t>Fixed Radio Systems; Characteristics and requirements for point-to-point equipment and antennas; Part 4: Antennas</w:t>
      </w:r>
    </w:p>
    <w:p w14:paraId="4E9F50CB" w14:textId="77777777" w:rsidR="008D5EA0" w:rsidRPr="00901B73" w:rsidRDefault="008D5EA0">
      <w:pPr>
        <w:overflowPunct/>
        <w:autoSpaceDE/>
        <w:autoSpaceDN/>
        <w:adjustRightInd/>
        <w:jc w:val="left"/>
        <w:textAlignment w:val="auto"/>
        <w:rPr>
          <w:rFonts w:cs="Arial"/>
          <w:color w:val="000000" w:themeColor="text1"/>
        </w:rPr>
      </w:pPr>
      <w:r w:rsidRPr="00901B73">
        <w:br w:type="page"/>
      </w:r>
    </w:p>
    <w:p w14:paraId="2C3CE280" w14:textId="77777777" w:rsidR="008D5EA0" w:rsidRPr="00901B73" w:rsidRDefault="008D5EA0" w:rsidP="004A212D">
      <w:pPr>
        <w:rPr>
          <w:rFonts w:cs="Arial"/>
          <w:color w:val="000000" w:themeColor="text1"/>
        </w:rPr>
      </w:pPr>
    </w:p>
    <w:p w14:paraId="5D27D410" w14:textId="033F3E12" w:rsidR="004A212D" w:rsidRPr="00901B73" w:rsidRDefault="004A212D" w:rsidP="004A212D">
      <w:pPr>
        <w:rPr>
          <w:rFonts w:cs="Arial"/>
          <w:color w:val="000000" w:themeColor="text1"/>
        </w:rPr>
      </w:pPr>
      <w:r w:rsidRPr="00901B73">
        <w:rPr>
          <w:color w:val="000000" w:themeColor="text1"/>
        </w:rPr>
        <w:t>Německá spolková agentura pro elektřinu, plyn, telekomunikace, poštu a dráhy</w:t>
      </w:r>
    </w:p>
    <w:p w14:paraId="5D27D411" w14:textId="77777777" w:rsidR="004A212D" w:rsidRPr="00901B73" w:rsidRDefault="004A212D" w:rsidP="004A212D">
      <w:pPr>
        <w:rPr>
          <w:rFonts w:cs="Arial"/>
          <w:color w:val="000000" w:themeColor="text1"/>
        </w:rPr>
      </w:pPr>
      <w:r w:rsidRPr="00901B73">
        <w:rPr>
          <w:color w:val="000000" w:themeColor="text1"/>
        </w:rPr>
        <w:t>Ref. 421</w:t>
      </w:r>
    </w:p>
    <w:p w14:paraId="5D27D412" w14:textId="77777777" w:rsidR="004A212D" w:rsidRPr="00901B73" w:rsidRDefault="004A212D" w:rsidP="004A212D">
      <w:pPr>
        <w:rPr>
          <w:rFonts w:cs="Arial"/>
          <w:color w:val="000000" w:themeColor="text1"/>
        </w:rPr>
      </w:pPr>
      <w:r w:rsidRPr="00901B73">
        <w:rPr>
          <w:color w:val="000000" w:themeColor="text1"/>
        </w:rPr>
        <w:t>Seidelstr. 49, 13405 Berlín</w:t>
      </w:r>
    </w:p>
    <w:p w14:paraId="5D27D413" w14:textId="77777777" w:rsidR="004A212D" w:rsidRPr="00901B73" w:rsidRDefault="004A212D" w:rsidP="004A212D">
      <w:pPr>
        <w:rPr>
          <w:rFonts w:cs="Arial"/>
          <w:color w:val="000000" w:themeColor="text1"/>
          <w:lang w:val="de-DE"/>
        </w:rPr>
      </w:pPr>
    </w:p>
    <w:p w14:paraId="5D27D414" w14:textId="16BE606A" w:rsidR="004A212D" w:rsidRPr="00901B73" w:rsidRDefault="004A212D" w:rsidP="004A212D">
      <w:pPr>
        <w:spacing w:after="60"/>
        <w:rPr>
          <w:rFonts w:cs="Arial"/>
          <w:color w:val="000000" w:themeColor="text1"/>
        </w:rPr>
      </w:pPr>
      <w:r w:rsidRPr="00901B73">
        <w:rPr>
          <w:color w:val="000000" w:themeColor="text1"/>
        </w:rPr>
        <w:t>Tel.:</w:t>
      </w:r>
      <w:r w:rsidRPr="00901B73">
        <w:rPr>
          <w:color w:val="000000" w:themeColor="text1"/>
        </w:rPr>
        <w:tab/>
      </w:r>
      <w:r w:rsidRPr="00901B73">
        <w:rPr>
          <w:color w:val="000000" w:themeColor="text1"/>
        </w:rPr>
        <w:tab/>
        <w:t>+49 30 4374 0</w:t>
      </w:r>
    </w:p>
    <w:p w14:paraId="5D27D415" w14:textId="20858605" w:rsidR="004A212D" w:rsidRPr="00901B73" w:rsidRDefault="004A212D" w:rsidP="004A212D">
      <w:pPr>
        <w:spacing w:after="60"/>
        <w:rPr>
          <w:rFonts w:cs="Arial"/>
          <w:color w:val="000000" w:themeColor="text1"/>
        </w:rPr>
      </w:pPr>
      <w:r w:rsidRPr="00901B73">
        <w:rPr>
          <w:color w:val="000000" w:themeColor="text1"/>
        </w:rPr>
        <w:t>Fax:</w:t>
      </w:r>
      <w:r w:rsidRPr="00901B73">
        <w:rPr>
          <w:color w:val="000000" w:themeColor="text1"/>
        </w:rPr>
        <w:tab/>
      </w:r>
      <w:r w:rsidRPr="00901B73">
        <w:rPr>
          <w:color w:val="000000" w:themeColor="text1"/>
        </w:rPr>
        <w:tab/>
        <w:t>+49 30 4374 1180</w:t>
      </w:r>
    </w:p>
    <w:p w14:paraId="5D27D416" w14:textId="77777777" w:rsidR="004A212D" w:rsidRPr="00901B73" w:rsidRDefault="004A212D" w:rsidP="004A212D">
      <w:pPr>
        <w:spacing w:after="60"/>
        <w:rPr>
          <w:rFonts w:cs="Arial"/>
        </w:rPr>
      </w:pPr>
      <w:r w:rsidRPr="00901B73">
        <w:rPr>
          <w:color w:val="000000" w:themeColor="text1"/>
        </w:rPr>
        <w:t>E-mail:</w:t>
      </w:r>
      <w:r w:rsidRPr="00901B73">
        <w:tab/>
      </w:r>
      <w:r w:rsidRPr="00901B73">
        <w:tab/>
      </w:r>
      <w:hyperlink r:id="rId14" w:history="1">
        <w:r w:rsidRPr="00901B73">
          <w:rPr>
            <w:rStyle w:val="Hyperlink"/>
          </w:rPr>
          <w:t>ssb@bnetza.de</w:t>
        </w:r>
      </w:hyperlink>
    </w:p>
    <w:p w14:paraId="5D27D417" w14:textId="77777777" w:rsidR="004A212D" w:rsidRPr="00901B73" w:rsidRDefault="004A212D" w:rsidP="004A212D">
      <w:pPr>
        <w:rPr>
          <w:rFonts w:cs="Arial"/>
        </w:rPr>
      </w:pPr>
      <w:r w:rsidRPr="00901B73">
        <w:rPr>
          <w:color w:val="000000" w:themeColor="text1"/>
        </w:rPr>
        <w:t>Webové stránky:</w:t>
      </w:r>
      <w:r w:rsidRPr="00901B73">
        <w:tab/>
      </w:r>
      <w:hyperlink r:id="rId15" w:history="1">
        <w:r w:rsidRPr="00901B73">
          <w:rPr>
            <w:rStyle w:val="Hyperlink"/>
          </w:rPr>
          <w:t>www.bundesnetzagentur.de</w:t>
        </w:r>
      </w:hyperlink>
    </w:p>
    <w:p w14:paraId="5D27D419" w14:textId="77777777" w:rsidR="00E84013" w:rsidRPr="00901B73" w:rsidRDefault="00E84013">
      <w:pPr>
        <w:rPr>
          <w:rFonts w:cs="Arial"/>
          <w:lang w:val="de-DE"/>
        </w:rPr>
      </w:pPr>
    </w:p>
    <w:p w14:paraId="5D27D41A" w14:textId="77777777" w:rsidR="00E84013" w:rsidRPr="00901B73" w:rsidRDefault="00E84013">
      <w:pPr>
        <w:rPr>
          <w:rFonts w:cs="Arial"/>
          <w:lang w:val="de-DE"/>
        </w:rPr>
        <w:sectPr w:rsidR="00E84013" w:rsidRPr="00901B73" w:rsidSect="0053074E">
          <w:headerReference w:type="first" r:id="rId16"/>
          <w:footerReference w:type="first" r:id="rId17"/>
          <w:pgSz w:w="11906" w:h="16838" w:code="9"/>
          <w:pgMar w:top="1134" w:right="1134" w:bottom="1134" w:left="1134" w:header="567" w:footer="851" w:gutter="0"/>
          <w:cols w:space="720"/>
          <w:titlePg/>
        </w:sectPr>
      </w:pPr>
    </w:p>
    <w:p w14:paraId="5D27D41B" w14:textId="77777777" w:rsidR="00E84013" w:rsidRPr="00901B73" w:rsidRDefault="00022406" w:rsidP="00022406">
      <w:pPr>
        <w:pStyle w:val="Heading1"/>
        <w:rPr>
          <w:color w:val="000000" w:themeColor="text1"/>
        </w:rPr>
      </w:pPr>
      <w:r w:rsidRPr="00901B73">
        <w:rPr>
          <w:color w:val="000000" w:themeColor="text1"/>
        </w:rPr>
        <w:lastRenderedPageBreak/>
        <w:t>4</w:t>
      </w:r>
      <w:r w:rsidRPr="00901B73">
        <w:rPr>
          <w:color w:val="000000" w:themeColor="text1"/>
        </w:rPr>
        <w:tab/>
        <w:t>Technické požadavky na rozhraní</w:t>
      </w:r>
    </w:p>
    <w:p w14:paraId="5D27D41C" w14:textId="150DEFD2" w:rsidR="00FD2DA7" w:rsidRPr="00901B73" w:rsidRDefault="00FD2DA7" w:rsidP="001D0DBD">
      <w:pPr>
        <w:jc w:val="left"/>
      </w:pPr>
      <w:r w:rsidRPr="00901B73">
        <w:rPr>
          <w:color w:val="000000" w:themeColor="text1"/>
        </w:rPr>
        <w:t>Toto SSB zahrnuje technické požadavky</w:t>
      </w:r>
      <w:r w:rsidRPr="00901B73">
        <w:t xml:space="preserve"> na rozhraní pro rádiová zařízení pracující mezi dvěma body (P-P) v pásmu 6,2 GHz.</w:t>
      </w:r>
    </w:p>
    <w:p w14:paraId="5D27D422" w14:textId="77777777" w:rsidR="00FD2DA7" w:rsidRPr="00901B73" w:rsidRDefault="00FD2DA7" w:rsidP="00FD2DA7"/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"/>
        <w:gridCol w:w="397"/>
        <w:gridCol w:w="2835"/>
        <w:gridCol w:w="3799"/>
        <w:gridCol w:w="2268"/>
      </w:tblGrid>
      <w:tr w:rsidR="00FD2DA7" w:rsidRPr="00901B73" w14:paraId="5D27D425" w14:textId="77777777" w:rsidTr="00733135">
        <w:trPr>
          <w:jc w:val="center"/>
        </w:trPr>
        <w:tc>
          <w:tcPr>
            <w:tcW w:w="340" w:type="dxa"/>
            <w:tcBorders>
              <w:top w:val="doub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D27D423" w14:textId="77777777" w:rsidR="00FD2DA7" w:rsidRPr="00901B73" w:rsidRDefault="00FD2DA7" w:rsidP="00733135">
            <w:pPr>
              <w:jc w:val="center"/>
            </w:pPr>
          </w:p>
        </w:tc>
        <w:tc>
          <w:tcPr>
            <w:tcW w:w="9299" w:type="dxa"/>
            <w:gridSpan w:val="4"/>
            <w:tcBorders>
              <w:top w:val="double" w:sz="4" w:space="0" w:color="auto"/>
              <w:left w:val="nil"/>
              <w:bottom w:val="single" w:sz="8" w:space="0" w:color="auto"/>
            </w:tcBorders>
            <w:shd w:val="clear" w:color="auto" w:fill="auto"/>
          </w:tcPr>
          <w:p w14:paraId="5D27D424" w14:textId="71EB3503" w:rsidR="00FD2DA7" w:rsidRPr="00901B73" w:rsidRDefault="00FD2DA7" w:rsidP="00A75F21">
            <w:pPr>
              <w:spacing w:after="120"/>
              <w:ind w:left="1191" w:hanging="1191"/>
              <w:rPr>
                <w:b/>
              </w:rPr>
            </w:pPr>
            <w:r w:rsidRPr="00901B73">
              <w:rPr>
                <w:b/>
                <w:color w:val="000000" w:themeColor="text1"/>
              </w:rPr>
              <w:t>Tabulka 1:</w:t>
            </w:r>
            <w:r w:rsidRPr="00901B73">
              <w:rPr>
                <w:b/>
              </w:rPr>
              <w:tab/>
              <w:t>Rádiové relé pracující mezi dvěma body v pásmu 5925–6425 MHz</w:t>
            </w:r>
          </w:p>
        </w:tc>
      </w:tr>
      <w:tr w:rsidR="00FD2DA7" w:rsidRPr="00901B73" w14:paraId="5D27D42D" w14:textId="77777777" w:rsidTr="00733135">
        <w:trPr>
          <w:jc w:val="center"/>
        </w:trPr>
        <w:tc>
          <w:tcPr>
            <w:tcW w:w="340" w:type="dxa"/>
            <w:tcBorders>
              <w:top w:val="single" w:sz="8" w:space="0" w:color="auto"/>
            </w:tcBorders>
            <w:shd w:val="clear" w:color="auto" w:fill="auto"/>
          </w:tcPr>
          <w:p w14:paraId="5D27D426" w14:textId="77777777" w:rsidR="00FD2DA7" w:rsidRPr="00901B73" w:rsidRDefault="00FD2DA7" w:rsidP="00733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2" w:space="0" w:color="auto"/>
            </w:tcBorders>
            <w:shd w:val="clear" w:color="auto" w:fill="C0C0C0"/>
          </w:tcPr>
          <w:p w14:paraId="5D27D427" w14:textId="77777777" w:rsidR="00FD2DA7" w:rsidRPr="00901B73" w:rsidRDefault="00FD2DA7" w:rsidP="00733135">
            <w:pPr>
              <w:jc w:val="center"/>
              <w:rPr>
                <w:color w:val="000000" w:themeColor="text1"/>
              </w:rPr>
            </w:pPr>
            <w:r w:rsidRPr="00901B73">
              <w:rPr>
                <w:color w:val="000000" w:themeColor="text1"/>
              </w:rPr>
              <w:t>Ne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2" w:space="0" w:color="auto"/>
            </w:tcBorders>
            <w:shd w:val="clear" w:color="auto" w:fill="C0C0C0"/>
          </w:tcPr>
          <w:p w14:paraId="5D27D428" w14:textId="77777777" w:rsidR="00FD2DA7" w:rsidRPr="00901B73" w:rsidRDefault="00FD2DA7" w:rsidP="00FD2DA7">
            <w:pPr>
              <w:rPr>
                <w:color w:val="000000" w:themeColor="text1"/>
              </w:rPr>
            </w:pPr>
            <w:r w:rsidRPr="00901B73">
              <w:rPr>
                <w:color w:val="000000" w:themeColor="text1"/>
              </w:rPr>
              <w:t>Ukazatele</w:t>
            </w:r>
          </w:p>
        </w:tc>
        <w:tc>
          <w:tcPr>
            <w:tcW w:w="3799" w:type="dxa"/>
            <w:tcBorders>
              <w:top w:val="single" w:sz="8" w:space="0" w:color="auto"/>
              <w:bottom w:val="single" w:sz="2" w:space="0" w:color="auto"/>
            </w:tcBorders>
            <w:shd w:val="clear" w:color="auto" w:fill="C0C0C0"/>
          </w:tcPr>
          <w:p w14:paraId="5D27D429" w14:textId="77777777" w:rsidR="00FD2DA7" w:rsidRPr="00901B73" w:rsidRDefault="00FD2DA7" w:rsidP="00733135">
            <w:pPr>
              <w:jc w:val="left"/>
              <w:rPr>
                <w:color w:val="000000" w:themeColor="text1"/>
              </w:rPr>
            </w:pPr>
            <w:r w:rsidRPr="00901B73">
              <w:rPr>
                <w:color w:val="000000" w:themeColor="text1"/>
              </w:rPr>
              <w:t>Popis</w:t>
            </w:r>
          </w:p>
          <w:p w14:paraId="5D27D42A" w14:textId="77777777" w:rsidR="00FD2DA7" w:rsidRPr="00901B73" w:rsidRDefault="00FD2DA7" w:rsidP="00733135">
            <w:pPr>
              <w:jc w:val="left"/>
              <w:rPr>
                <w:color w:val="000000" w:themeColor="text1"/>
              </w:rPr>
            </w:pPr>
            <w:r w:rsidRPr="00901B73">
              <w:rPr>
                <w:rFonts w:ascii="Tahoma" w:hAnsi="Tahoma"/>
                <w:i/>
                <w:color w:val="000000" w:themeColor="text1"/>
                <w:sz w:val="14"/>
              </w:rPr>
              <w:t>(Description)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2" w:space="0" w:color="auto"/>
            </w:tcBorders>
            <w:shd w:val="clear" w:color="auto" w:fill="C0C0C0"/>
          </w:tcPr>
          <w:p w14:paraId="5D27D42B" w14:textId="77777777" w:rsidR="00FD2DA7" w:rsidRPr="00901B73" w:rsidRDefault="00FD2DA7" w:rsidP="00733135">
            <w:pPr>
              <w:jc w:val="left"/>
              <w:rPr>
                <w:color w:val="000000" w:themeColor="text1"/>
              </w:rPr>
            </w:pPr>
            <w:r w:rsidRPr="00901B73">
              <w:rPr>
                <w:color w:val="000000" w:themeColor="text1"/>
              </w:rPr>
              <w:t>Poznámky</w:t>
            </w:r>
          </w:p>
          <w:p w14:paraId="5D27D42C" w14:textId="77777777" w:rsidR="00FD2DA7" w:rsidRPr="00901B73" w:rsidRDefault="00FD2DA7" w:rsidP="00733135">
            <w:pPr>
              <w:jc w:val="left"/>
              <w:rPr>
                <w:color w:val="000000" w:themeColor="text1"/>
              </w:rPr>
            </w:pPr>
            <w:r w:rsidRPr="00901B73">
              <w:rPr>
                <w:rFonts w:ascii="Tahoma" w:hAnsi="Tahoma"/>
                <w:i/>
                <w:color w:val="000000" w:themeColor="text1"/>
                <w:sz w:val="14"/>
              </w:rPr>
              <w:t>(Comments)</w:t>
            </w:r>
          </w:p>
        </w:tc>
      </w:tr>
      <w:tr w:rsidR="00FD2DA7" w:rsidRPr="00901B73" w14:paraId="5D27D434" w14:textId="77777777" w:rsidTr="00733135">
        <w:trPr>
          <w:cantSplit/>
          <w:trHeight w:val="454"/>
          <w:jc w:val="center"/>
        </w:trPr>
        <w:tc>
          <w:tcPr>
            <w:tcW w:w="340" w:type="dxa"/>
            <w:vMerge w:val="restart"/>
            <w:shd w:val="clear" w:color="auto" w:fill="auto"/>
            <w:textDirection w:val="btLr"/>
            <w:vAlign w:val="center"/>
          </w:tcPr>
          <w:p w14:paraId="5D27D42E" w14:textId="77777777" w:rsidR="00FD2DA7" w:rsidRPr="00901B73" w:rsidRDefault="00FD2DA7" w:rsidP="00733135">
            <w:pPr>
              <w:ind w:left="113" w:right="113"/>
              <w:jc w:val="center"/>
              <w:rPr>
                <w:color w:val="000000" w:themeColor="text1"/>
              </w:rPr>
            </w:pPr>
            <w:r w:rsidRPr="00901B73">
              <w:rPr>
                <w:color w:val="000000" w:themeColor="text1"/>
              </w:rPr>
              <w:t>Normativní část</w:t>
            </w:r>
          </w:p>
        </w:tc>
        <w:tc>
          <w:tcPr>
            <w:tcW w:w="397" w:type="dxa"/>
            <w:tcBorders>
              <w:top w:val="single" w:sz="2" w:space="0" w:color="auto"/>
            </w:tcBorders>
            <w:shd w:val="clear" w:color="auto" w:fill="auto"/>
          </w:tcPr>
          <w:p w14:paraId="5D27D42F" w14:textId="77777777" w:rsidR="00FD2DA7" w:rsidRPr="00901B73" w:rsidRDefault="00FD2DA7" w:rsidP="0073313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shd w:val="clear" w:color="auto" w:fill="auto"/>
          </w:tcPr>
          <w:p w14:paraId="5D27D430" w14:textId="77777777" w:rsidR="00FD2DA7" w:rsidRPr="00901B73" w:rsidRDefault="00FD2DA7" w:rsidP="00733135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Radiokomunikační služba</w:t>
            </w:r>
          </w:p>
          <w:p w14:paraId="5D27D431" w14:textId="77777777" w:rsidR="00FD2DA7" w:rsidRPr="00901B73" w:rsidRDefault="00FD2DA7" w:rsidP="00733135">
            <w:pPr>
              <w:spacing w:before="6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rFonts w:ascii="Tahoma" w:hAnsi="Tahoma"/>
                <w:i/>
                <w:color w:val="000000" w:themeColor="text1"/>
                <w:sz w:val="14"/>
              </w:rPr>
              <w:t>(Radiocommunication Service)</w:t>
            </w:r>
          </w:p>
        </w:tc>
        <w:tc>
          <w:tcPr>
            <w:tcW w:w="3799" w:type="dxa"/>
            <w:tcBorders>
              <w:top w:val="single" w:sz="2" w:space="0" w:color="auto"/>
            </w:tcBorders>
            <w:shd w:val="clear" w:color="auto" w:fill="auto"/>
          </w:tcPr>
          <w:p w14:paraId="5D27D432" w14:textId="42AE203A" w:rsidR="00FD2DA7" w:rsidRPr="00901B73" w:rsidRDefault="005B098D" w:rsidP="005B098D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>PEVNÁ RADIOKOMUNIKAČNÍ SLUŽBA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</w:tcPr>
          <w:p w14:paraId="5D27D433" w14:textId="77777777" w:rsidR="00FD2DA7" w:rsidRPr="00901B73" w:rsidRDefault="00FD2DA7" w:rsidP="009B6A9A">
            <w:pPr>
              <w:jc w:val="left"/>
              <w:rPr>
                <w:rFonts w:cs="Arial"/>
                <w:color w:val="000000" w:themeColor="text1"/>
                <w:sz w:val="20"/>
              </w:rPr>
            </w:pPr>
          </w:p>
        </w:tc>
      </w:tr>
      <w:tr w:rsidR="00FD2DA7" w:rsidRPr="00901B73" w14:paraId="5D27D43B" w14:textId="77777777" w:rsidTr="00733135">
        <w:trPr>
          <w:cantSplit/>
          <w:trHeight w:val="454"/>
          <w:jc w:val="center"/>
        </w:trPr>
        <w:tc>
          <w:tcPr>
            <w:tcW w:w="340" w:type="dxa"/>
            <w:vMerge/>
            <w:shd w:val="clear" w:color="auto" w:fill="auto"/>
          </w:tcPr>
          <w:p w14:paraId="5D27D435" w14:textId="77777777" w:rsidR="00FD2DA7" w:rsidRPr="00901B73" w:rsidRDefault="00FD2DA7" w:rsidP="00733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shd w:val="clear" w:color="auto" w:fill="auto"/>
          </w:tcPr>
          <w:p w14:paraId="5D27D436" w14:textId="77777777" w:rsidR="00FD2DA7" w:rsidRPr="00901B73" w:rsidRDefault="00FD2DA7" w:rsidP="0073313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5D27D437" w14:textId="77777777" w:rsidR="00FD2DA7" w:rsidRPr="00901B73" w:rsidRDefault="00FD2DA7" w:rsidP="00733135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Zamýšlené použití/Použití</w:t>
            </w:r>
          </w:p>
          <w:p w14:paraId="5D27D438" w14:textId="77777777" w:rsidR="00FD2DA7" w:rsidRPr="00901B73" w:rsidRDefault="00FD2DA7" w:rsidP="00733135">
            <w:pPr>
              <w:spacing w:before="6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rFonts w:ascii="Tahoma" w:hAnsi="Tahoma"/>
                <w:i/>
                <w:color w:val="000000" w:themeColor="text1"/>
                <w:sz w:val="14"/>
              </w:rPr>
              <w:t>(Application)</w:t>
            </w:r>
          </w:p>
        </w:tc>
        <w:tc>
          <w:tcPr>
            <w:tcW w:w="3799" w:type="dxa"/>
            <w:shd w:val="clear" w:color="auto" w:fill="auto"/>
          </w:tcPr>
          <w:p w14:paraId="5D27D439" w14:textId="489A1A47" w:rsidR="00FD2DA7" w:rsidRPr="00901B73" w:rsidRDefault="00F11518" w:rsidP="00F11518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 xml:space="preserve">Rádiový dvoubodový spoj </w:t>
            </w:r>
          </w:p>
        </w:tc>
        <w:tc>
          <w:tcPr>
            <w:tcW w:w="2268" w:type="dxa"/>
            <w:shd w:val="clear" w:color="auto" w:fill="auto"/>
          </w:tcPr>
          <w:p w14:paraId="5D27D43A" w14:textId="0406F747" w:rsidR="00FD2DA7" w:rsidRPr="00901B73" w:rsidRDefault="00FD2DA7" w:rsidP="009B6A9A">
            <w:pPr>
              <w:jc w:val="left"/>
              <w:rPr>
                <w:rFonts w:cs="Arial"/>
                <w:color w:val="000000" w:themeColor="text1"/>
                <w:sz w:val="20"/>
              </w:rPr>
            </w:pPr>
          </w:p>
        </w:tc>
      </w:tr>
      <w:tr w:rsidR="00FD2DA7" w:rsidRPr="00901B73" w14:paraId="5D27D442" w14:textId="77777777" w:rsidTr="00733135">
        <w:trPr>
          <w:cantSplit/>
          <w:trHeight w:val="454"/>
          <w:jc w:val="center"/>
        </w:trPr>
        <w:tc>
          <w:tcPr>
            <w:tcW w:w="340" w:type="dxa"/>
            <w:vMerge/>
            <w:shd w:val="clear" w:color="auto" w:fill="auto"/>
          </w:tcPr>
          <w:p w14:paraId="5D27D43C" w14:textId="77777777" w:rsidR="00FD2DA7" w:rsidRPr="00901B73" w:rsidRDefault="00FD2DA7" w:rsidP="00733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shd w:val="clear" w:color="auto" w:fill="auto"/>
          </w:tcPr>
          <w:p w14:paraId="5D27D43D" w14:textId="77777777" w:rsidR="00FD2DA7" w:rsidRPr="00901B73" w:rsidRDefault="00FD2DA7" w:rsidP="0073313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D27D43E" w14:textId="77777777" w:rsidR="00FD2DA7" w:rsidRPr="00901B73" w:rsidRDefault="00FD2DA7" w:rsidP="00733135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Frekvenční pásmo</w:t>
            </w:r>
          </w:p>
          <w:p w14:paraId="5D27D43F" w14:textId="77777777" w:rsidR="00FD2DA7" w:rsidRPr="00901B73" w:rsidRDefault="00FD2DA7" w:rsidP="00733135">
            <w:pPr>
              <w:spacing w:before="6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rFonts w:ascii="Tahoma" w:hAnsi="Tahoma"/>
                <w:i/>
                <w:color w:val="000000" w:themeColor="text1"/>
                <w:sz w:val="14"/>
              </w:rPr>
              <w:t>(Frequency band)</w:t>
            </w:r>
          </w:p>
        </w:tc>
        <w:tc>
          <w:tcPr>
            <w:tcW w:w="3799" w:type="dxa"/>
            <w:shd w:val="clear" w:color="auto" w:fill="auto"/>
          </w:tcPr>
          <w:p w14:paraId="5D27D440" w14:textId="5B9B5059" w:rsidR="00FD2DA7" w:rsidRPr="00901B73" w:rsidRDefault="00272A68" w:rsidP="00272A68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>5925–6168 MHz</w:t>
            </w:r>
            <w:r w:rsidRPr="00901B73">
              <w:rPr>
                <w:color w:val="000000" w:themeColor="text1"/>
                <w:sz w:val="20"/>
              </w:rPr>
              <w:br/>
              <w:t>6182–6425 MHz</w:t>
            </w:r>
          </w:p>
        </w:tc>
        <w:tc>
          <w:tcPr>
            <w:tcW w:w="2268" w:type="dxa"/>
            <w:shd w:val="clear" w:color="auto" w:fill="auto"/>
          </w:tcPr>
          <w:p w14:paraId="5D27D441" w14:textId="72C5261A" w:rsidR="00FD2DA7" w:rsidRPr="00901B73" w:rsidRDefault="00272A68" w:rsidP="009B6A9A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>Dolní pásmo</w:t>
            </w:r>
            <w:r w:rsidRPr="00901B73">
              <w:rPr>
                <w:color w:val="000000" w:themeColor="text1"/>
                <w:sz w:val="20"/>
              </w:rPr>
              <w:br/>
              <w:t>Horní pásmo</w:t>
            </w:r>
          </w:p>
        </w:tc>
      </w:tr>
      <w:tr w:rsidR="00FD2DA7" w:rsidRPr="00901B73" w14:paraId="5D27D449" w14:textId="77777777" w:rsidTr="00733135">
        <w:trPr>
          <w:cantSplit/>
          <w:trHeight w:val="454"/>
          <w:jc w:val="center"/>
        </w:trPr>
        <w:tc>
          <w:tcPr>
            <w:tcW w:w="340" w:type="dxa"/>
            <w:vMerge/>
            <w:shd w:val="clear" w:color="auto" w:fill="auto"/>
          </w:tcPr>
          <w:p w14:paraId="5D27D443" w14:textId="77777777" w:rsidR="00FD2DA7" w:rsidRPr="00901B73" w:rsidRDefault="00FD2DA7" w:rsidP="00733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shd w:val="clear" w:color="auto" w:fill="auto"/>
          </w:tcPr>
          <w:p w14:paraId="5D27D444" w14:textId="77777777" w:rsidR="00FD2DA7" w:rsidRPr="00901B73" w:rsidRDefault="00FD2DA7" w:rsidP="0073313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5D27D445" w14:textId="77777777" w:rsidR="00FD2DA7" w:rsidRPr="00901B73" w:rsidRDefault="00FD2DA7" w:rsidP="00733135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Obsazení kanálů</w:t>
            </w:r>
          </w:p>
          <w:p w14:paraId="5D27D446" w14:textId="77777777" w:rsidR="00FD2DA7" w:rsidRPr="00901B73" w:rsidRDefault="00FD2DA7" w:rsidP="00733135">
            <w:pPr>
              <w:spacing w:before="6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rFonts w:ascii="Tahoma" w:hAnsi="Tahoma"/>
                <w:i/>
                <w:color w:val="000000" w:themeColor="text1"/>
                <w:sz w:val="14"/>
              </w:rPr>
              <w:t>(Channelling)</w:t>
            </w:r>
          </w:p>
        </w:tc>
        <w:tc>
          <w:tcPr>
            <w:tcW w:w="3799" w:type="dxa"/>
            <w:shd w:val="clear" w:color="auto" w:fill="auto"/>
          </w:tcPr>
          <w:p w14:paraId="5D27D447" w14:textId="0ED58D98" w:rsidR="00FD2DA7" w:rsidRPr="00901B73" w:rsidRDefault="00272A68" w:rsidP="00272A68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>29,65 Odstup kanálů 59,30 MHz</w:t>
            </w:r>
          </w:p>
        </w:tc>
        <w:tc>
          <w:tcPr>
            <w:tcW w:w="2268" w:type="dxa"/>
            <w:shd w:val="clear" w:color="auto" w:fill="auto"/>
          </w:tcPr>
          <w:p w14:paraId="5D27D448" w14:textId="4DBCE32A" w:rsidR="00FD2DA7" w:rsidRPr="00901B73" w:rsidRDefault="00272A68" w:rsidP="00457ECD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>Pro šířku pásma kanálů 59,30 MHz musí být realizována dvojí polarizace ve společném kanálu (CCDP).</w:t>
            </w:r>
            <w:r w:rsidRPr="00901B73">
              <w:rPr>
                <w:color w:val="000000" w:themeColor="text1"/>
                <w:sz w:val="20"/>
              </w:rPr>
              <w:br/>
              <w:t>Podle CEPT ERC/REC 14–01 nebo ITU-R F.383–10 a CEPT ERC/REC 74–01</w:t>
            </w:r>
          </w:p>
        </w:tc>
      </w:tr>
      <w:tr w:rsidR="00FD2DA7" w:rsidRPr="00901B73" w14:paraId="5D27D450" w14:textId="77777777" w:rsidTr="00733135">
        <w:trPr>
          <w:cantSplit/>
          <w:trHeight w:val="454"/>
          <w:jc w:val="center"/>
        </w:trPr>
        <w:tc>
          <w:tcPr>
            <w:tcW w:w="340" w:type="dxa"/>
            <w:vMerge/>
            <w:shd w:val="clear" w:color="auto" w:fill="auto"/>
          </w:tcPr>
          <w:p w14:paraId="5D27D44A" w14:textId="77777777" w:rsidR="00FD2DA7" w:rsidRPr="00901B73" w:rsidRDefault="00FD2DA7" w:rsidP="00733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shd w:val="clear" w:color="auto" w:fill="auto"/>
          </w:tcPr>
          <w:p w14:paraId="5D27D44B" w14:textId="77777777" w:rsidR="00FD2DA7" w:rsidRPr="00901B73" w:rsidRDefault="00FD2DA7" w:rsidP="0073313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5D27D44C" w14:textId="77777777" w:rsidR="00FD2DA7" w:rsidRPr="00901B73" w:rsidRDefault="00FD2DA7" w:rsidP="00733135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Modulace/Šířka obsazeného pásma</w:t>
            </w:r>
          </w:p>
          <w:p w14:paraId="5D27D44D" w14:textId="77777777" w:rsidR="00FD2DA7" w:rsidRPr="00901B73" w:rsidRDefault="00FD2DA7" w:rsidP="00733135">
            <w:pPr>
              <w:spacing w:before="6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rFonts w:ascii="Tahoma" w:hAnsi="Tahoma"/>
                <w:i/>
                <w:color w:val="000000" w:themeColor="text1"/>
                <w:sz w:val="14"/>
              </w:rPr>
              <w:t>(Modulation/Occupied bandwidth)</w:t>
            </w:r>
          </w:p>
        </w:tc>
        <w:tc>
          <w:tcPr>
            <w:tcW w:w="3799" w:type="dxa"/>
            <w:shd w:val="clear" w:color="auto" w:fill="auto"/>
          </w:tcPr>
          <w:p w14:paraId="5D27D44E" w14:textId="1BAB0A61" w:rsidR="00FD2DA7" w:rsidRPr="00901B73" w:rsidRDefault="00272A68" w:rsidP="00733135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>Režim ACCP a CCDP</w:t>
            </w:r>
          </w:p>
        </w:tc>
        <w:tc>
          <w:tcPr>
            <w:tcW w:w="2268" w:type="dxa"/>
            <w:shd w:val="clear" w:color="auto" w:fill="auto"/>
          </w:tcPr>
          <w:p w14:paraId="5D27D44F" w14:textId="77777777" w:rsidR="00FD2DA7" w:rsidRPr="00901B73" w:rsidRDefault="00FD2DA7" w:rsidP="009B6A9A">
            <w:pPr>
              <w:jc w:val="left"/>
              <w:rPr>
                <w:rFonts w:cs="Arial"/>
                <w:color w:val="000000" w:themeColor="text1"/>
                <w:sz w:val="20"/>
              </w:rPr>
            </w:pPr>
          </w:p>
        </w:tc>
      </w:tr>
      <w:tr w:rsidR="00FD2DA7" w:rsidRPr="00901B73" w14:paraId="5D27D457" w14:textId="77777777" w:rsidTr="00733135">
        <w:trPr>
          <w:cantSplit/>
          <w:trHeight w:val="454"/>
          <w:jc w:val="center"/>
        </w:trPr>
        <w:tc>
          <w:tcPr>
            <w:tcW w:w="340" w:type="dxa"/>
            <w:vMerge/>
            <w:shd w:val="clear" w:color="auto" w:fill="auto"/>
          </w:tcPr>
          <w:p w14:paraId="5D27D451" w14:textId="77777777" w:rsidR="00FD2DA7" w:rsidRPr="00901B73" w:rsidRDefault="00FD2DA7" w:rsidP="00733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shd w:val="clear" w:color="auto" w:fill="auto"/>
          </w:tcPr>
          <w:p w14:paraId="5D27D452" w14:textId="77777777" w:rsidR="00FD2DA7" w:rsidRPr="00901B73" w:rsidRDefault="00FD2DA7" w:rsidP="0073313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5D27D453" w14:textId="77777777" w:rsidR="00FD2DA7" w:rsidRPr="00901B73" w:rsidRDefault="00FD2DA7" w:rsidP="00733135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Směr vysílání / odstup</w:t>
            </w:r>
          </w:p>
          <w:p w14:paraId="5D27D454" w14:textId="77777777" w:rsidR="00FD2DA7" w:rsidRPr="00901B73" w:rsidRDefault="00FD2DA7" w:rsidP="00733135">
            <w:pPr>
              <w:spacing w:before="6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rFonts w:ascii="Tahoma" w:hAnsi="Tahoma"/>
                <w:i/>
                <w:color w:val="000000" w:themeColor="text1"/>
                <w:sz w:val="14"/>
              </w:rPr>
              <w:t>(Direction/Separation)</w:t>
            </w:r>
          </w:p>
        </w:tc>
        <w:tc>
          <w:tcPr>
            <w:tcW w:w="3799" w:type="dxa"/>
            <w:shd w:val="clear" w:color="auto" w:fill="auto"/>
          </w:tcPr>
          <w:p w14:paraId="5D27D455" w14:textId="235C57F9" w:rsidR="00FD2DA7" w:rsidRPr="00901B73" w:rsidRDefault="00272A68" w:rsidP="00733135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>252,04 MHz</w:t>
            </w:r>
          </w:p>
        </w:tc>
        <w:tc>
          <w:tcPr>
            <w:tcW w:w="2268" w:type="dxa"/>
            <w:shd w:val="clear" w:color="auto" w:fill="auto"/>
          </w:tcPr>
          <w:p w14:paraId="5D27D456" w14:textId="2D65ADF3" w:rsidR="00FD2DA7" w:rsidRPr="00901B73" w:rsidRDefault="00272A68" w:rsidP="009B6A9A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>Duplexní odstup</w:t>
            </w:r>
          </w:p>
        </w:tc>
      </w:tr>
      <w:tr w:rsidR="00FD2DA7" w:rsidRPr="00901B73" w14:paraId="5D27D45E" w14:textId="77777777" w:rsidTr="00733135">
        <w:trPr>
          <w:cantSplit/>
          <w:trHeight w:val="454"/>
          <w:jc w:val="center"/>
        </w:trPr>
        <w:tc>
          <w:tcPr>
            <w:tcW w:w="340" w:type="dxa"/>
            <w:vMerge/>
            <w:shd w:val="clear" w:color="auto" w:fill="auto"/>
          </w:tcPr>
          <w:p w14:paraId="5D27D458" w14:textId="77777777" w:rsidR="00FD2DA7" w:rsidRPr="00901B73" w:rsidRDefault="00FD2DA7" w:rsidP="00733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shd w:val="clear" w:color="auto" w:fill="auto"/>
          </w:tcPr>
          <w:p w14:paraId="5D27D459" w14:textId="77777777" w:rsidR="00FD2DA7" w:rsidRPr="00901B73" w:rsidRDefault="00FD2DA7" w:rsidP="0073313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5D27D45A" w14:textId="77777777" w:rsidR="00FD2DA7" w:rsidRPr="00901B73" w:rsidRDefault="00FD2DA7" w:rsidP="00733135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Vysílací výkon / měrný výkon</w:t>
            </w:r>
          </w:p>
          <w:p w14:paraId="5D27D45B" w14:textId="77777777" w:rsidR="00FD2DA7" w:rsidRPr="00901B73" w:rsidRDefault="00FD2DA7" w:rsidP="00733135">
            <w:pPr>
              <w:spacing w:before="6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rFonts w:ascii="Tahoma" w:hAnsi="Tahoma"/>
                <w:i/>
                <w:color w:val="000000" w:themeColor="text1"/>
                <w:sz w:val="14"/>
              </w:rPr>
              <w:t>(Transmit power/Power density)</w:t>
            </w:r>
          </w:p>
        </w:tc>
        <w:tc>
          <w:tcPr>
            <w:tcW w:w="3799" w:type="dxa"/>
            <w:shd w:val="clear" w:color="auto" w:fill="auto"/>
          </w:tcPr>
          <w:p w14:paraId="5D27D45C" w14:textId="5FA40F08" w:rsidR="00FD2DA7" w:rsidRPr="00901B73" w:rsidRDefault="00B81BBD" w:rsidP="00627039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>Max. 316 KW (55 dBm) EIRP</w:t>
            </w:r>
          </w:p>
        </w:tc>
        <w:tc>
          <w:tcPr>
            <w:tcW w:w="2268" w:type="dxa"/>
            <w:shd w:val="clear" w:color="auto" w:fill="auto"/>
          </w:tcPr>
          <w:p w14:paraId="5D27D45D" w14:textId="64755955" w:rsidR="00FD2DA7" w:rsidRPr="00901B73" w:rsidRDefault="00B81BBD" w:rsidP="00B81BBD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sz w:val="20"/>
              </w:rPr>
              <w:t>Specifická hodnota je stanovena na základě vyčleněné frekvence.</w:t>
            </w:r>
          </w:p>
        </w:tc>
      </w:tr>
      <w:tr w:rsidR="00FD2DA7" w:rsidRPr="00901B73" w14:paraId="5D27D465" w14:textId="77777777" w:rsidTr="00733135">
        <w:trPr>
          <w:cantSplit/>
          <w:trHeight w:val="454"/>
          <w:jc w:val="center"/>
        </w:trPr>
        <w:tc>
          <w:tcPr>
            <w:tcW w:w="340" w:type="dxa"/>
            <w:vMerge/>
            <w:shd w:val="clear" w:color="auto" w:fill="auto"/>
          </w:tcPr>
          <w:p w14:paraId="5D27D45F" w14:textId="77777777" w:rsidR="00FD2DA7" w:rsidRPr="00901B73" w:rsidRDefault="00FD2DA7" w:rsidP="00733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shd w:val="clear" w:color="auto" w:fill="auto"/>
          </w:tcPr>
          <w:p w14:paraId="5D27D460" w14:textId="77777777" w:rsidR="00FD2DA7" w:rsidRPr="00901B73" w:rsidRDefault="00FD2DA7" w:rsidP="0073313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5D27D461" w14:textId="77777777" w:rsidR="00FD2DA7" w:rsidRPr="00901B73" w:rsidRDefault="00FD2DA7" w:rsidP="00733135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Přístup ke kanálům a pravidla obsazování</w:t>
            </w:r>
          </w:p>
          <w:p w14:paraId="5D27D462" w14:textId="77777777" w:rsidR="00FD2DA7" w:rsidRPr="00901B73" w:rsidRDefault="00FD2DA7" w:rsidP="00733135">
            <w:pPr>
              <w:spacing w:before="6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rFonts w:ascii="Tahoma" w:hAnsi="Tahoma"/>
                <w:i/>
                <w:color w:val="000000" w:themeColor="text1"/>
                <w:sz w:val="14"/>
              </w:rPr>
              <w:t>(Channel access and occupation rules)</w:t>
            </w:r>
          </w:p>
        </w:tc>
        <w:tc>
          <w:tcPr>
            <w:tcW w:w="3799" w:type="dxa"/>
            <w:shd w:val="clear" w:color="auto" w:fill="auto"/>
          </w:tcPr>
          <w:p w14:paraId="5D27D463" w14:textId="77777777" w:rsidR="00FD2DA7" w:rsidRPr="00901B73" w:rsidRDefault="00FD2DA7" w:rsidP="00733135">
            <w:pPr>
              <w:jc w:val="left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D27D464" w14:textId="0104D5B4" w:rsidR="00FD2DA7" w:rsidRPr="00901B73" w:rsidRDefault="00FD2DA7" w:rsidP="002B1465">
            <w:pPr>
              <w:jc w:val="left"/>
              <w:rPr>
                <w:rFonts w:cs="Arial"/>
                <w:strike/>
                <w:color w:val="000000" w:themeColor="text1"/>
                <w:sz w:val="20"/>
              </w:rPr>
            </w:pPr>
          </w:p>
        </w:tc>
      </w:tr>
      <w:tr w:rsidR="00FD2DA7" w:rsidRPr="00901B73" w14:paraId="5D27D46C" w14:textId="77777777" w:rsidTr="00733135">
        <w:trPr>
          <w:cantSplit/>
          <w:trHeight w:val="454"/>
          <w:jc w:val="center"/>
        </w:trPr>
        <w:tc>
          <w:tcPr>
            <w:tcW w:w="340" w:type="dxa"/>
            <w:vMerge/>
            <w:shd w:val="clear" w:color="auto" w:fill="auto"/>
          </w:tcPr>
          <w:p w14:paraId="5D27D466" w14:textId="77777777" w:rsidR="00FD2DA7" w:rsidRPr="00901B73" w:rsidRDefault="00FD2DA7" w:rsidP="00733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shd w:val="clear" w:color="auto" w:fill="auto"/>
          </w:tcPr>
          <w:p w14:paraId="5D27D467" w14:textId="77777777" w:rsidR="00FD2DA7" w:rsidRPr="00901B73" w:rsidRDefault="00FD2DA7" w:rsidP="0073313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5D27D468" w14:textId="77777777" w:rsidR="00FD2DA7" w:rsidRPr="00901B73" w:rsidRDefault="00FD2DA7" w:rsidP="00733135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Schvalovací režim</w:t>
            </w:r>
          </w:p>
          <w:p w14:paraId="5D27D469" w14:textId="77777777" w:rsidR="00FD2DA7" w:rsidRPr="00901B73" w:rsidRDefault="00FD2DA7" w:rsidP="00733135">
            <w:pPr>
              <w:spacing w:before="6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rFonts w:ascii="Tahoma" w:hAnsi="Tahoma"/>
                <w:i/>
                <w:color w:val="000000" w:themeColor="text1"/>
                <w:sz w:val="14"/>
              </w:rPr>
              <w:t>(Authorisation regime)</w:t>
            </w:r>
          </w:p>
        </w:tc>
        <w:tc>
          <w:tcPr>
            <w:tcW w:w="3799" w:type="dxa"/>
            <w:shd w:val="clear" w:color="auto" w:fill="auto"/>
          </w:tcPr>
          <w:p w14:paraId="5D27D46A" w14:textId="4CDDCB92" w:rsidR="00FD2DA7" w:rsidRPr="00901B73" w:rsidRDefault="00B81BBD" w:rsidP="00733135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>Individuální vyčlenění</w:t>
            </w:r>
          </w:p>
        </w:tc>
        <w:tc>
          <w:tcPr>
            <w:tcW w:w="2268" w:type="dxa"/>
            <w:shd w:val="clear" w:color="auto" w:fill="auto"/>
          </w:tcPr>
          <w:p w14:paraId="5D27D46B" w14:textId="77777777" w:rsidR="00FD2DA7" w:rsidRPr="00901B73" w:rsidRDefault="00FD2DA7" w:rsidP="009B6A9A">
            <w:pPr>
              <w:jc w:val="left"/>
              <w:rPr>
                <w:rFonts w:cs="Arial"/>
                <w:color w:val="000000" w:themeColor="text1"/>
                <w:sz w:val="20"/>
              </w:rPr>
            </w:pPr>
          </w:p>
        </w:tc>
      </w:tr>
      <w:tr w:rsidR="00FD2DA7" w:rsidRPr="00901B73" w14:paraId="5D27D473" w14:textId="77777777" w:rsidTr="00733135">
        <w:trPr>
          <w:cantSplit/>
          <w:trHeight w:val="454"/>
          <w:jc w:val="center"/>
        </w:trPr>
        <w:tc>
          <w:tcPr>
            <w:tcW w:w="340" w:type="dxa"/>
            <w:vMerge/>
            <w:shd w:val="clear" w:color="auto" w:fill="auto"/>
          </w:tcPr>
          <w:p w14:paraId="5D27D46D" w14:textId="77777777" w:rsidR="00FD2DA7" w:rsidRPr="00901B73" w:rsidRDefault="00FD2DA7" w:rsidP="00733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shd w:val="clear" w:color="auto" w:fill="auto"/>
          </w:tcPr>
          <w:p w14:paraId="5D27D46E" w14:textId="77777777" w:rsidR="00FD2DA7" w:rsidRPr="00901B73" w:rsidRDefault="00FD2DA7" w:rsidP="0073313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5D27D46F" w14:textId="77777777" w:rsidR="00FD2DA7" w:rsidRPr="00901B73" w:rsidRDefault="00FD2DA7" w:rsidP="00733135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Další základní požadavky</w:t>
            </w:r>
          </w:p>
          <w:p w14:paraId="5D27D470" w14:textId="77777777" w:rsidR="00FD2DA7" w:rsidRPr="00901B73" w:rsidRDefault="00FD2DA7" w:rsidP="00733135">
            <w:pPr>
              <w:spacing w:before="6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rFonts w:ascii="Tahoma" w:hAnsi="Tahoma"/>
                <w:i/>
                <w:color w:val="000000" w:themeColor="text1"/>
                <w:sz w:val="14"/>
              </w:rPr>
              <w:t>(Additional essential requirements)</w:t>
            </w:r>
          </w:p>
        </w:tc>
        <w:tc>
          <w:tcPr>
            <w:tcW w:w="3799" w:type="dxa"/>
            <w:shd w:val="clear" w:color="auto" w:fill="auto"/>
          </w:tcPr>
          <w:p w14:paraId="333A8934" w14:textId="1A161E5B" w:rsidR="004F4D76" w:rsidRPr="00901B73" w:rsidRDefault="004F4D76" w:rsidP="00733135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>Rozšířená aplikace:</w:t>
            </w:r>
          </w:p>
          <w:p w14:paraId="5D9745D3" w14:textId="5EEC4889" w:rsidR="004F4D76" w:rsidRPr="00901B73" w:rsidRDefault="004F4D76" w:rsidP="00733135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>Šířka pásma kanálu: 59,30 MHz</w:t>
            </w:r>
          </w:p>
          <w:p w14:paraId="43ECA1F0" w14:textId="77777777" w:rsidR="004F4D76" w:rsidRPr="00901B73" w:rsidRDefault="004F4D76" w:rsidP="00733135">
            <w:pPr>
              <w:jc w:val="left"/>
              <w:rPr>
                <w:rFonts w:cs="Arial"/>
                <w:color w:val="000000" w:themeColor="text1"/>
                <w:sz w:val="20"/>
              </w:rPr>
            </w:pPr>
          </w:p>
          <w:p w14:paraId="0D327DA0" w14:textId="77777777" w:rsidR="00FD2DA7" w:rsidRPr="00901B73" w:rsidRDefault="004F1EC3" w:rsidP="004F1EC3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>Omezující podmínky použití:</w:t>
            </w:r>
          </w:p>
          <w:p w14:paraId="5D27D471" w14:textId="2C980DF0" w:rsidR="004F1EC3" w:rsidRPr="00901B73" w:rsidRDefault="004F1EC3" w:rsidP="004F1EC3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 xml:space="preserve">Přenosová kapacita nejméně 622 Mbit/s a použití horizontální a vertikální polarizace </w:t>
            </w:r>
          </w:p>
        </w:tc>
        <w:tc>
          <w:tcPr>
            <w:tcW w:w="2268" w:type="dxa"/>
            <w:shd w:val="clear" w:color="auto" w:fill="auto"/>
          </w:tcPr>
          <w:p w14:paraId="3691C010" w14:textId="35D5CF9F" w:rsidR="004F4D76" w:rsidRPr="00901B73" w:rsidRDefault="004F4D76" w:rsidP="004F4D76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>CEPT/ERC/REC 14-01</w:t>
            </w:r>
          </w:p>
          <w:p w14:paraId="1F47AFF1" w14:textId="0C72261E" w:rsidR="00FD2DA7" w:rsidRPr="00901B73" w:rsidRDefault="00D51F96" w:rsidP="004F1EC3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>Číslo 10/2010</w:t>
            </w:r>
          </w:p>
          <w:p w14:paraId="127EEBF8" w14:textId="77777777" w:rsidR="004F1EC3" w:rsidRPr="00901B73" w:rsidRDefault="004F1EC3" w:rsidP="004F1EC3">
            <w:pPr>
              <w:jc w:val="left"/>
              <w:rPr>
                <w:rFonts w:cs="Arial"/>
                <w:color w:val="000000" w:themeColor="text1"/>
                <w:sz w:val="20"/>
              </w:rPr>
            </w:pPr>
          </w:p>
          <w:p w14:paraId="5D27D472" w14:textId="7C66A3D9" w:rsidR="004F1EC3" w:rsidRPr="00901B73" w:rsidRDefault="004F1EC3" w:rsidP="008D5EA0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>Číslo 10/2010</w:t>
            </w:r>
          </w:p>
        </w:tc>
      </w:tr>
      <w:tr w:rsidR="00FD2DA7" w:rsidRPr="00901B73" w14:paraId="5D27D47A" w14:textId="77777777" w:rsidTr="00733135">
        <w:trPr>
          <w:cantSplit/>
          <w:trHeight w:val="454"/>
          <w:jc w:val="center"/>
        </w:trPr>
        <w:tc>
          <w:tcPr>
            <w:tcW w:w="3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27D474" w14:textId="77777777" w:rsidR="00FD2DA7" w:rsidRPr="00901B73" w:rsidRDefault="00FD2DA7" w:rsidP="00733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D27D475" w14:textId="77777777" w:rsidR="00FD2DA7" w:rsidRPr="00901B73" w:rsidRDefault="00FD2DA7" w:rsidP="0073313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D27D476" w14:textId="77777777" w:rsidR="00FD2DA7" w:rsidRPr="00901B73" w:rsidRDefault="00FD2DA7" w:rsidP="00733135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Předpoklady pro plánování frekvencí</w:t>
            </w:r>
          </w:p>
          <w:p w14:paraId="5D27D477" w14:textId="77777777" w:rsidR="00FD2DA7" w:rsidRPr="00901B73" w:rsidRDefault="00FD2DA7" w:rsidP="00733135">
            <w:pPr>
              <w:spacing w:before="6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rFonts w:ascii="Tahoma" w:hAnsi="Tahoma"/>
                <w:i/>
                <w:color w:val="000000" w:themeColor="text1"/>
                <w:sz w:val="14"/>
              </w:rPr>
              <w:t>(Frequency planning assumptions)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14:paraId="53227688" w14:textId="779CCB6C" w:rsidR="006F6EDD" w:rsidRPr="00901B73" w:rsidRDefault="006F6EDD" w:rsidP="006F6EDD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 xml:space="preserve">Třída účinnosti využití spektra ≥ 5x(y) </w:t>
            </w:r>
          </w:p>
          <w:p w14:paraId="5534E213" w14:textId="77777777" w:rsidR="00DC7FAB" w:rsidRPr="00901B73" w:rsidRDefault="00DC7FAB" w:rsidP="006F6EDD">
            <w:pPr>
              <w:jc w:val="left"/>
              <w:rPr>
                <w:rFonts w:cs="Arial"/>
                <w:color w:val="000000" w:themeColor="text1"/>
                <w:sz w:val="20"/>
              </w:rPr>
            </w:pPr>
          </w:p>
          <w:p w14:paraId="5D27D478" w14:textId="28BC1947" w:rsidR="00FD2DA7" w:rsidRPr="00901B73" w:rsidRDefault="006F6EDD" w:rsidP="006F6EDD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>Antény třídy 3 a 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E5599C" w14:textId="2BC2A0D1" w:rsidR="006F6EDD" w:rsidRPr="00901B73" w:rsidRDefault="002B1465" w:rsidP="006F6EDD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>EN 302 217-2</w:t>
            </w:r>
          </w:p>
          <w:p w14:paraId="64A04E76" w14:textId="77777777" w:rsidR="00DC7FAB" w:rsidRPr="00901B73" w:rsidRDefault="00DC7FAB" w:rsidP="006F6EDD">
            <w:pPr>
              <w:jc w:val="left"/>
              <w:rPr>
                <w:rFonts w:cs="Arial"/>
                <w:color w:val="000000" w:themeColor="text1"/>
                <w:sz w:val="20"/>
              </w:rPr>
            </w:pPr>
          </w:p>
          <w:p w14:paraId="5D27D479" w14:textId="431E225B" w:rsidR="00FD2DA7" w:rsidRPr="00901B73" w:rsidRDefault="002B1465" w:rsidP="006F6EDD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 xml:space="preserve">EN 302 217-4 </w:t>
            </w:r>
          </w:p>
        </w:tc>
      </w:tr>
      <w:tr w:rsidR="00FD2DA7" w:rsidRPr="00901B73" w14:paraId="5D27D481" w14:textId="77777777" w:rsidTr="00733135">
        <w:trPr>
          <w:cantSplit/>
          <w:trHeight w:val="454"/>
          <w:jc w:val="center"/>
        </w:trPr>
        <w:tc>
          <w:tcPr>
            <w:tcW w:w="340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14:paraId="5D27D47B" w14:textId="77777777" w:rsidR="00FD2DA7" w:rsidRPr="00901B73" w:rsidRDefault="00FD2DA7" w:rsidP="00733135">
            <w:pPr>
              <w:ind w:left="113" w:right="113"/>
              <w:jc w:val="center"/>
              <w:rPr>
                <w:color w:val="000000" w:themeColor="text1"/>
              </w:rPr>
            </w:pPr>
            <w:r w:rsidRPr="00901B73">
              <w:rPr>
                <w:color w:val="000000" w:themeColor="text1"/>
              </w:rPr>
              <w:t>Informativní část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auto"/>
          </w:tcPr>
          <w:p w14:paraId="5D27D47C" w14:textId="77777777" w:rsidR="00FD2DA7" w:rsidRPr="00901B73" w:rsidRDefault="00FD2DA7" w:rsidP="0073313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12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14:paraId="5D27D47D" w14:textId="77777777" w:rsidR="00FD2DA7" w:rsidRPr="00901B73" w:rsidRDefault="00FD2DA7" w:rsidP="00733135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Plánované změny</w:t>
            </w:r>
          </w:p>
          <w:p w14:paraId="5D27D47E" w14:textId="57691D4A" w:rsidR="00FD2DA7" w:rsidRPr="00901B73" w:rsidRDefault="00D16C0D" w:rsidP="00D16C0D">
            <w:pPr>
              <w:spacing w:before="6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rFonts w:ascii="Tahoma" w:hAnsi="Tahoma"/>
                <w:i/>
                <w:color w:val="000000" w:themeColor="text1"/>
                <w:sz w:val="14"/>
              </w:rPr>
              <w:t>(Planned changes)</w:t>
            </w:r>
          </w:p>
        </w:tc>
        <w:tc>
          <w:tcPr>
            <w:tcW w:w="3799" w:type="dxa"/>
            <w:tcBorders>
              <w:top w:val="single" w:sz="8" w:space="0" w:color="auto"/>
            </w:tcBorders>
            <w:shd w:val="clear" w:color="auto" w:fill="auto"/>
          </w:tcPr>
          <w:p w14:paraId="5D27D47F" w14:textId="77777777" w:rsidR="00FD2DA7" w:rsidRPr="00901B73" w:rsidRDefault="00FD2DA7" w:rsidP="00733135">
            <w:pPr>
              <w:jc w:val="left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</w:tcPr>
          <w:p w14:paraId="5D27D480" w14:textId="77777777" w:rsidR="00FD2DA7" w:rsidRPr="00901B73" w:rsidRDefault="00FD2DA7" w:rsidP="009B6A9A">
            <w:pPr>
              <w:jc w:val="left"/>
              <w:rPr>
                <w:rFonts w:cs="Arial"/>
                <w:color w:val="000000" w:themeColor="text1"/>
                <w:sz w:val="20"/>
              </w:rPr>
            </w:pPr>
          </w:p>
        </w:tc>
      </w:tr>
      <w:tr w:rsidR="00FD2DA7" w:rsidRPr="00901B73" w14:paraId="5D27D488" w14:textId="77777777" w:rsidTr="00733135">
        <w:trPr>
          <w:cantSplit/>
          <w:trHeight w:val="454"/>
          <w:jc w:val="center"/>
        </w:trPr>
        <w:tc>
          <w:tcPr>
            <w:tcW w:w="340" w:type="dxa"/>
            <w:vMerge/>
            <w:shd w:val="clear" w:color="auto" w:fill="auto"/>
          </w:tcPr>
          <w:p w14:paraId="5D27D482" w14:textId="77777777" w:rsidR="00FD2DA7" w:rsidRPr="00901B73" w:rsidRDefault="00FD2DA7" w:rsidP="00733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shd w:val="clear" w:color="auto" w:fill="auto"/>
          </w:tcPr>
          <w:p w14:paraId="5D27D483" w14:textId="77777777" w:rsidR="00FD2DA7" w:rsidRPr="00901B73" w:rsidRDefault="00FD2DA7" w:rsidP="0073313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14:paraId="5D27D484" w14:textId="77777777" w:rsidR="00FD2DA7" w:rsidRPr="00901B73" w:rsidRDefault="00FD2DA7" w:rsidP="00733135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Odkazy</w:t>
            </w:r>
          </w:p>
          <w:p w14:paraId="5D27D485" w14:textId="77777777" w:rsidR="00FD2DA7" w:rsidRPr="00901B73" w:rsidRDefault="00FD2DA7" w:rsidP="00733135">
            <w:pPr>
              <w:spacing w:before="6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rFonts w:ascii="Tahoma" w:hAnsi="Tahoma"/>
                <w:i/>
                <w:color w:val="000000" w:themeColor="text1"/>
                <w:sz w:val="14"/>
              </w:rPr>
              <w:t>(References)</w:t>
            </w:r>
          </w:p>
        </w:tc>
        <w:tc>
          <w:tcPr>
            <w:tcW w:w="3799" w:type="dxa"/>
            <w:shd w:val="clear" w:color="auto" w:fill="auto"/>
          </w:tcPr>
          <w:p w14:paraId="0ADB1DB0" w14:textId="77777777" w:rsidR="00FD2DA7" w:rsidRPr="00901B73" w:rsidRDefault="00E87A8D" w:rsidP="00733135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 xml:space="preserve">CEPT ERC/14-01; </w:t>
            </w:r>
            <w:r w:rsidRPr="00901B73">
              <w:rPr>
                <w:color w:val="000000" w:themeColor="text1"/>
                <w:sz w:val="20"/>
              </w:rPr>
              <w:br/>
              <w:t>CEPT ERC/REC 74-01; ITU-R F.383-10</w:t>
            </w:r>
          </w:p>
          <w:p w14:paraId="5D27D486" w14:textId="48AE2C1A" w:rsidR="002923BE" w:rsidRPr="00901B73" w:rsidRDefault="002923BE" w:rsidP="002923BE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 xml:space="preserve">EN 302 217-1; EN 302 217-2; </w:t>
            </w:r>
            <w:r w:rsidRPr="00901B73">
              <w:rPr>
                <w:color w:val="000000" w:themeColor="text1"/>
                <w:sz w:val="20"/>
              </w:rPr>
              <w:br/>
              <w:t xml:space="preserve">EN 302 217-4 </w:t>
            </w:r>
          </w:p>
        </w:tc>
        <w:tc>
          <w:tcPr>
            <w:tcW w:w="2268" w:type="dxa"/>
            <w:shd w:val="clear" w:color="auto" w:fill="auto"/>
          </w:tcPr>
          <w:p w14:paraId="5D27D487" w14:textId="06522F1F" w:rsidR="00FD2DA7" w:rsidRPr="00901B73" w:rsidRDefault="00FD2DA7" w:rsidP="009B6A9A">
            <w:pPr>
              <w:jc w:val="left"/>
              <w:rPr>
                <w:rFonts w:cs="Arial"/>
                <w:color w:val="000000" w:themeColor="text1"/>
                <w:sz w:val="20"/>
              </w:rPr>
            </w:pPr>
          </w:p>
        </w:tc>
      </w:tr>
      <w:tr w:rsidR="00FD2DA7" w:rsidRPr="00901B73" w14:paraId="5D27D48F" w14:textId="77777777" w:rsidTr="00733135">
        <w:trPr>
          <w:cantSplit/>
          <w:trHeight w:val="454"/>
          <w:jc w:val="center"/>
        </w:trPr>
        <w:tc>
          <w:tcPr>
            <w:tcW w:w="340" w:type="dxa"/>
            <w:vMerge/>
            <w:shd w:val="clear" w:color="auto" w:fill="auto"/>
          </w:tcPr>
          <w:p w14:paraId="5D27D489" w14:textId="77777777" w:rsidR="00FD2DA7" w:rsidRPr="00901B73" w:rsidRDefault="00FD2DA7" w:rsidP="00733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shd w:val="clear" w:color="auto" w:fill="auto"/>
          </w:tcPr>
          <w:p w14:paraId="5D27D48A" w14:textId="77777777" w:rsidR="00FD2DA7" w:rsidRPr="00901B73" w:rsidRDefault="00FD2DA7" w:rsidP="0073313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14:paraId="5D27D48B" w14:textId="77777777" w:rsidR="00FD2DA7" w:rsidRPr="00901B73" w:rsidRDefault="00FD2DA7" w:rsidP="00733135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Číslo oznámení</w:t>
            </w:r>
          </w:p>
          <w:p w14:paraId="5D27D48C" w14:textId="77777777" w:rsidR="00FD2DA7" w:rsidRPr="00901B73" w:rsidRDefault="00FD2DA7" w:rsidP="00733135">
            <w:pPr>
              <w:spacing w:before="6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rFonts w:ascii="Tahoma" w:hAnsi="Tahoma"/>
                <w:i/>
                <w:color w:val="000000" w:themeColor="text1"/>
                <w:sz w:val="14"/>
              </w:rPr>
              <w:t>(Notification number)</w:t>
            </w:r>
          </w:p>
        </w:tc>
        <w:tc>
          <w:tcPr>
            <w:tcW w:w="3799" w:type="dxa"/>
            <w:shd w:val="clear" w:color="auto" w:fill="auto"/>
          </w:tcPr>
          <w:p w14:paraId="5D27D48D" w14:textId="1504AF8A" w:rsidR="00FD2DA7" w:rsidRPr="00901B73" w:rsidRDefault="00F42370" w:rsidP="00733135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901B73">
              <w:rPr>
                <w:color w:val="000000" w:themeColor="text1"/>
                <w:sz w:val="20"/>
              </w:rPr>
              <w:t>2022/0416/D</w:t>
            </w:r>
          </w:p>
        </w:tc>
        <w:tc>
          <w:tcPr>
            <w:tcW w:w="2268" w:type="dxa"/>
            <w:shd w:val="clear" w:color="auto" w:fill="auto"/>
          </w:tcPr>
          <w:p w14:paraId="5D27D48E" w14:textId="77777777" w:rsidR="00FD2DA7" w:rsidRPr="00901B73" w:rsidRDefault="00FD2DA7" w:rsidP="009B6A9A">
            <w:pPr>
              <w:jc w:val="left"/>
              <w:rPr>
                <w:rFonts w:cs="Arial"/>
                <w:color w:val="000000" w:themeColor="text1"/>
                <w:sz w:val="20"/>
              </w:rPr>
            </w:pPr>
          </w:p>
        </w:tc>
      </w:tr>
      <w:tr w:rsidR="00FD2DA7" w:rsidRPr="00901B73" w14:paraId="5D27D496" w14:textId="77777777" w:rsidTr="00733135">
        <w:trPr>
          <w:cantSplit/>
          <w:trHeight w:val="454"/>
          <w:jc w:val="center"/>
        </w:trPr>
        <w:tc>
          <w:tcPr>
            <w:tcW w:w="340" w:type="dxa"/>
            <w:vMerge/>
            <w:shd w:val="clear" w:color="auto" w:fill="auto"/>
          </w:tcPr>
          <w:p w14:paraId="5D27D490" w14:textId="77777777" w:rsidR="00FD2DA7" w:rsidRPr="00901B73" w:rsidRDefault="00FD2DA7" w:rsidP="00733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shd w:val="clear" w:color="auto" w:fill="auto"/>
          </w:tcPr>
          <w:p w14:paraId="5D27D491" w14:textId="77777777" w:rsidR="00FD2DA7" w:rsidRPr="00901B73" w:rsidRDefault="00FD2DA7" w:rsidP="0073313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14:paraId="5D27D492" w14:textId="77777777" w:rsidR="00FD2DA7" w:rsidRPr="00901B73" w:rsidRDefault="00FD2DA7" w:rsidP="00733135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color w:val="000000" w:themeColor="text1"/>
                <w:sz w:val="18"/>
              </w:rPr>
              <w:t>Poznámky</w:t>
            </w:r>
          </w:p>
          <w:p w14:paraId="5D27D493" w14:textId="77777777" w:rsidR="00FD2DA7" w:rsidRPr="00901B73" w:rsidRDefault="00FD2DA7" w:rsidP="00733135">
            <w:pPr>
              <w:spacing w:before="6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01B73">
              <w:rPr>
                <w:rFonts w:ascii="Tahoma" w:hAnsi="Tahoma"/>
                <w:i/>
                <w:color w:val="000000" w:themeColor="text1"/>
                <w:sz w:val="14"/>
              </w:rPr>
              <w:t>(Remarks)</w:t>
            </w:r>
          </w:p>
        </w:tc>
        <w:tc>
          <w:tcPr>
            <w:tcW w:w="3799" w:type="dxa"/>
            <w:shd w:val="clear" w:color="auto" w:fill="auto"/>
          </w:tcPr>
          <w:p w14:paraId="5D27D494" w14:textId="77777777" w:rsidR="00FD2DA7" w:rsidRPr="00901B73" w:rsidRDefault="00FD2DA7" w:rsidP="00733135">
            <w:pPr>
              <w:jc w:val="left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D27D495" w14:textId="77777777" w:rsidR="00FD2DA7" w:rsidRPr="00901B73" w:rsidRDefault="00FD2DA7" w:rsidP="009B6A9A">
            <w:pPr>
              <w:jc w:val="left"/>
              <w:rPr>
                <w:rFonts w:cs="Arial"/>
                <w:color w:val="000000" w:themeColor="text1"/>
                <w:sz w:val="20"/>
              </w:rPr>
            </w:pPr>
          </w:p>
        </w:tc>
      </w:tr>
    </w:tbl>
    <w:p w14:paraId="5D27D4A8" w14:textId="2682C789" w:rsidR="00260C39" w:rsidRPr="00901B73" w:rsidRDefault="00260C39">
      <w:pPr>
        <w:pStyle w:val="Header"/>
        <w:tabs>
          <w:tab w:val="clear" w:pos="4536"/>
          <w:tab w:val="clear" w:pos="9072"/>
        </w:tabs>
        <w:rPr>
          <w:rFonts w:cs="Arial"/>
        </w:rPr>
      </w:pPr>
    </w:p>
    <w:sectPr w:rsidR="00260C39" w:rsidRPr="00901B73" w:rsidSect="0053074E">
      <w:pgSz w:w="11906" w:h="16838" w:code="9"/>
      <w:pgMar w:top="1134" w:right="1134" w:bottom="1134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8E9A" w14:textId="77777777" w:rsidR="00314DC9" w:rsidRDefault="00314DC9">
      <w:r>
        <w:separator/>
      </w:r>
    </w:p>
  </w:endnote>
  <w:endnote w:type="continuationSeparator" w:id="0">
    <w:p w14:paraId="3A05A094" w14:textId="77777777" w:rsidR="00314DC9" w:rsidRDefault="0031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D4B4" w14:textId="690BADDA" w:rsidR="009C3D7A" w:rsidRPr="00823F89" w:rsidRDefault="009C3D7A" w:rsidP="00300659">
    <w:pPr>
      <w:pStyle w:val="Footer"/>
      <w:ind w:right="-1"/>
      <w:rPr>
        <w:rFonts w:ascii="Verdana" w:hAnsi="Verdana"/>
        <w:b w:val="0"/>
        <w:color w:val="000000" w:themeColor="text1"/>
        <w:sz w:val="14"/>
        <w:szCs w:val="14"/>
      </w:rPr>
    </w:pPr>
    <w:r>
      <w:rPr>
        <w:rFonts w:ascii="Verdana" w:hAnsi="Verdana"/>
        <w:b w:val="0"/>
        <w:vanish w:val="0"/>
        <w:sz w:val="14"/>
      </w:rPr>
      <w:tab/>
    </w:r>
    <w:r>
      <w:rPr>
        <w:rFonts w:ascii="Verdana" w:hAnsi="Verdana"/>
        <w:b w:val="0"/>
        <w:vanish w:val="0"/>
        <w:color w:val="000000" w:themeColor="text1"/>
        <w:sz w:val="14"/>
      </w:rPr>
      <w:tab/>
    </w:r>
    <w:r w:rsidRPr="00823F89">
      <w:rPr>
        <w:rFonts w:ascii="Verdana" w:hAnsi="Verdana"/>
        <w:b w:val="0"/>
        <w:vanish w:val="0"/>
        <w:color w:val="000000" w:themeColor="text1"/>
        <w:sz w:val="14"/>
      </w:rPr>
      <w:fldChar w:fldCharType="begin"/>
    </w:r>
    <w:r w:rsidRPr="00823F89">
      <w:rPr>
        <w:rFonts w:ascii="Verdana" w:hAnsi="Verdana"/>
        <w:b w:val="0"/>
        <w:vanish w:val="0"/>
        <w:color w:val="000000" w:themeColor="text1"/>
        <w:sz w:val="14"/>
      </w:rPr>
      <w:instrText xml:space="preserve"> PAGE  \* MERGEFORMAT </w:instrText>
    </w:r>
    <w:r w:rsidRPr="00823F89">
      <w:rPr>
        <w:rFonts w:ascii="Verdana" w:hAnsi="Verdana"/>
        <w:b w:val="0"/>
        <w:vanish w:val="0"/>
        <w:color w:val="000000" w:themeColor="text1"/>
        <w:sz w:val="14"/>
      </w:rPr>
      <w:fldChar w:fldCharType="separate"/>
    </w:r>
    <w:r w:rsidR="00FA177A">
      <w:rPr>
        <w:rFonts w:ascii="Verdana" w:hAnsi="Verdana"/>
        <w:b w:val="0"/>
        <w:vanish w:val="0"/>
        <w:color w:val="000000" w:themeColor="text1"/>
        <w:sz w:val="14"/>
      </w:rPr>
      <w:t>5</w:t>
    </w:r>
    <w:r w:rsidRPr="00823F89">
      <w:rPr>
        <w:rFonts w:ascii="Verdana" w:hAnsi="Verdana"/>
        <w:b w:val="0"/>
        <w:vanish w:val="0"/>
        <w:color w:val="000000" w:themeColor="text1"/>
        <w:sz w:val="14"/>
      </w:rPr>
      <w:fldChar w:fldCharType="end"/>
    </w:r>
    <w:r>
      <w:rPr>
        <w:rFonts w:ascii="Verdana" w:hAnsi="Verdana"/>
        <w:b w:val="0"/>
        <w:vanish w:val="0"/>
        <w:color w:val="000000" w:themeColor="text1"/>
        <w:sz w:val="14"/>
      </w:rPr>
      <w:t xml:space="preserve"> </w:t>
    </w:r>
    <w:r>
      <w:rPr>
        <w:rFonts w:ascii="Verdana" w:hAnsi="Verdana"/>
        <w:b w:val="0"/>
        <w:vanish w:val="0"/>
        <w:color w:val="000000" w:themeColor="text1"/>
        <w:sz w:val="14"/>
      </w:rPr>
      <w:t xml:space="preserve">/ </w:t>
    </w:r>
    <w:r w:rsidRPr="00823F89">
      <w:rPr>
        <w:rFonts w:ascii="Verdana" w:hAnsi="Verdana"/>
        <w:b w:val="0"/>
        <w:vanish w:val="0"/>
        <w:color w:val="000000" w:themeColor="text1"/>
        <w:sz w:val="14"/>
      </w:rPr>
      <w:fldChar w:fldCharType="begin"/>
    </w:r>
    <w:r w:rsidRPr="00823F89">
      <w:rPr>
        <w:rFonts w:ascii="Verdana" w:hAnsi="Verdana"/>
        <w:b w:val="0"/>
        <w:vanish w:val="0"/>
        <w:color w:val="000000" w:themeColor="text1"/>
        <w:sz w:val="14"/>
      </w:rPr>
      <w:instrText xml:space="preserve"> NUMPAGES  \* MERGEFORMAT </w:instrText>
    </w:r>
    <w:r w:rsidRPr="00823F89">
      <w:rPr>
        <w:rFonts w:ascii="Verdana" w:hAnsi="Verdana"/>
        <w:b w:val="0"/>
        <w:vanish w:val="0"/>
        <w:color w:val="000000" w:themeColor="text1"/>
        <w:sz w:val="14"/>
      </w:rPr>
      <w:fldChar w:fldCharType="separate"/>
    </w:r>
    <w:r w:rsidR="00FA177A">
      <w:rPr>
        <w:rFonts w:ascii="Verdana" w:hAnsi="Verdana"/>
        <w:b w:val="0"/>
        <w:vanish w:val="0"/>
        <w:color w:val="000000" w:themeColor="text1"/>
        <w:sz w:val="14"/>
      </w:rPr>
      <w:t>5</w:t>
    </w:r>
    <w:r w:rsidRPr="00823F89">
      <w:rPr>
        <w:rFonts w:ascii="Verdana" w:hAnsi="Verdana"/>
        <w:b w:val="0"/>
        <w:vanish w:val="0"/>
        <w:color w:val="000000" w:themeColor="text1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D4B9" w14:textId="77777777" w:rsidR="009C3D7A" w:rsidRPr="00206B7E" w:rsidRDefault="009C3D7A">
    <w:pPr>
      <w:pStyle w:val="Footer"/>
      <w:rPr>
        <w:rFonts w:ascii="Verdana" w:hAnsi="Verdana"/>
        <w:b w:val="0"/>
        <w:bCs w:val="0"/>
        <w:sz w:val="14"/>
        <w:szCs w:val="14"/>
      </w:rPr>
    </w:pPr>
  </w:p>
  <w:p w14:paraId="5D27D4BA" w14:textId="56105EB9" w:rsidR="009C3D7A" w:rsidRPr="00F42370" w:rsidRDefault="009C3D7A" w:rsidP="001778D0">
    <w:pPr>
      <w:pStyle w:val="NotifizierungNr"/>
      <w:rPr>
        <w:rFonts w:ascii="Verdana" w:hAnsi="Verdana" w:cs="Tahoma"/>
        <w:vanish w:val="0"/>
        <w:color w:val="000000" w:themeColor="text1"/>
        <w:sz w:val="22"/>
        <w:szCs w:val="22"/>
      </w:rPr>
    </w:pPr>
    <w:r>
      <w:rPr>
        <w:rFonts w:ascii="Verdana" w:hAnsi="Verdana"/>
        <w:vanish w:val="0"/>
        <w:color w:val="000000" w:themeColor="text1"/>
        <w:sz w:val="22"/>
      </w:rPr>
      <w:t xml:space="preserve">Oznámení </w:t>
    </w:r>
    <w:r>
      <w:rPr>
        <w:rFonts w:ascii="Verdana" w:hAnsi="Verdana"/>
        <w:vanish w:val="0"/>
        <w:color w:val="000000" w:themeColor="text1"/>
        <w:sz w:val="22"/>
      </w:rPr>
      <w:t>bylo Komisí evidováno pod číslem 2022/0416/D.</w:t>
    </w:r>
  </w:p>
  <w:p w14:paraId="5D27D4BB" w14:textId="77777777" w:rsidR="009C3D7A" w:rsidRPr="00206B7E" w:rsidRDefault="009C3D7A">
    <w:pPr>
      <w:pStyle w:val="Footer"/>
      <w:rPr>
        <w:rFonts w:ascii="Verdana" w:hAnsi="Verdana"/>
        <w:b w:val="0"/>
        <w:bCs w:val="0"/>
        <w:vanish w:val="0"/>
        <w:sz w:val="14"/>
        <w:szCs w:val="14"/>
      </w:rPr>
    </w:pPr>
  </w:p>
  <w:tbl>
    <w:tblPr>
      <w:tblW w:w="9639" w:type="dxa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57" w:type="dxa"/>
        <w:left w:w="142" w:type="dxa"/>
        <w:bottom w:w="57" w:type="dxa"/>
        <w:right w:w="142" w:type="dxa"/>
      </w:tblCellMar>
      <w:tblLook w:val="0000" w:firstRow="0" w:lastRow="0" w:firstColumn="0" w:lastColumn="0" w:noHBand="0" w:noVBand="0"/>
    </w:tblPr>
    <w:tblGrid>
      <w:gridCol w:w="9639"/>
    </w:tblGrid>
    <w:tr w:rsidR="009C3D7A" w14:paraId="5D27D4BD" w14:textId="77777777" w:rsidTr="005D0E3B">
      <w:trPr>
        <w:cantSplit/>
        <w:jc w:val="center"/>
      </w:trPr>
      <w:tc>
        <w:tcPr>
          <w:tcW w:w="8505" w:type="dxa"/>
          <w:vAlign w:val="center"/>
        </w:tcPr>
        <w:p w14:paraId="5D27D4BC" w14:textId="05C148C8" w:rsidR="009C3D7A" w:rsidRPr="00823F89" w:rsidRDefault="005D0E3B" w:rsidP="005D0E3B">
          <w:pPr>
            <w:pStyle w:val="Fuzeile2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</w:rPr>
            <w:t>Oznámeno v souladu se směrnicí Evropského parlamentu a Rady (EU) 2015/1535 ze dne 9. září 2015 o postupu při poskytování informací v oblasti technických předpisů a pravidel pro služby informační společnosti (Úř. věst. L 241, 17.9.2015, s. 1).</w:t>
          </w:r>
        </w:p>
      </w:tc>
    </w:tr>
  </w:tbl>
  <w:p w14:paraId="5D27D4BE" w14:textId="77777777" w:rsidR="009C3D7A" w:rsidRPr="00206B7E" w:rsidRDefault="009C3D7A">
    <w:pPr>
      <w:pStyle w:val="Footer"/>
      <w:rPr>
        <w:rFonts w:ascii="Verdana" w:hAnsi="Verdana"/>
        <w:b w:val="0"/>
        <w:bCs w:val="0"/>
        <w:vanish w:val="0"/>
        <w:sz w:val="14"/>
        <w:szCs w:val="14"/>
      </w:rPr>
    </w:pPr>
  </w:p>
  <w:p w14:paraId="5D27D4BF" w14:textId="77777777" w:rsidR="009C3D7A" w:rsidRPr="00206B7E" w:rsidRDefault="009C3D7A">
    <w:pPr>
      <w:pStyle w:val="Footer"/>
      <w:rPr>
        <w:rFonts w:ascii="Verdana" w:hAnsi="Verdana"/>
        <w:b w:val="0"/>
        <w:bCs w:val="0"/>
        <w:vanish w:val="0"/>
        <w:sz w:val="14"/>
        <w:szCs w:val="14"/>
      </w:rPr>
    </w:pPr>
  </w:p>
  <w:p w14:paraId="5D27D4C0" w14:textId="77777777" w:rsidR="009C3D7A" w:rsidRPr="00206B7E" w:rsidRDefault="009C3D7A">
    <w:pPr>
      <w:pStyle w:val="Footer"/>
      <w:rPr>
        <w:rFonts w:ascii="Verdana" w:hAnsi="Verdana"/>
        <w:b w:val="0"/>
        <w:bCs w:val="0"/>
        <w:vanish w:val="0"/>
        <w:sz w:val="14"/>
        <w:szCs w:val="14"/>
      </w:rPr>
    </w:pPr>
  </w:p>
  <w:p w14:paraId="5D27D4C1" w14:textId="6246D79F" w:rsidR="009C3D7A" w:rsidRPr="00F42370" w:rsidRDefault="009C3D7A" w:rsidP="00300659">
    <w:pPr>
      <w:pStyle w:val="Footer"/>
      <w:ind w:right="-1"/>
      <w:rPr>
        <w:rFonts w:ascii="Verdana" w:hAnsi="Verdana"/>
        <w:b w:val="0"/>
        <w:color w:val="000000" w:themeColor="text1"/>
        <w:sz w:val="14"/>
        <w:szCs w:val="14"/>
      </w:rPr>
    </w:pPr>
    <w:r>
      <w:rPr>
        <w:rFonts w:ascii="Verdana" w:hAnsi="Verdana"/>
        <w:b w:val="0"/>
        <w:vanish w:val="0"/>
        <w:sz w:val="14"/>
      </w:rPr>
      <w:tab/>
    </w:r>
    <w:r>
      <w:rPr>
        <w:rFonts w:ascii="Verdana" w:hAnsi="Verdana"/>
        <w:b w:val="0"/>
        <w:color w:val="000000" w:themeColor="text1"/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D4C9" w14:textId="58516763" w:rsidR="009C3D7A" w:rsidRPr="00823F89" w:rsidRDefault="009C3D7A" w:rsidP="00300659">
    <w:pPr>
      <w:pStyle w:val="Footer"/>
      <w:ind w:right="-1"/>
      <w:rPr>
        <w:rFonts w:ascii="Verdana" w:hAnsi="Verdana"/>
        <w:b w:val="0"/>
        <w:color w:val="000000" w:themeColor="text1"/>
        <w:sz w:val="14"/>
        <w:szCs w:val="14"/>
      </w:rPr>
    </w:pPr>
    <w:r>
      <w:rPr>
        <w:rFonts w:ascii="Verdana" w:hAnsi="Verdana"/>
        <w:b w:val="0"/>
        <w:vanish w:val="0"/>
        <w:sz w:val="14"/>
      </w:rPr>
      <w:tab/>
    </w:r>
    <w:r>
      <w:rPr>
        <w:rFonts w:ascii="Verdana" w:hAnsi="Verdana"/>
        <w:b w:val="0"/>
        <w:vanish w:val="0"/>
        <w:color w:val="000000" w:themeColor="text1"/>
        <w:sz w:val="14"/>
      </w:rPr>
      <w:tab/>
    </w:r>
    <w:r w:rsidRPr="00823F89">
      <w:rPr>
        <w:rFonts w:ascii="Verdana" w:hAnsi="Verdana"/>
        <w:b w:val="0"/>
        <w:vanish w:val="0"/>
        <w:color w:val="000000" w:themeColor="text1"/>
        <w:sz w:val="14"/>
      </w:rPr>
      <w:fldChar w:fldCharType="begin"/>
    </w:r>
    <w:r w:rsidRPr="00823F89">
      <w:rPr>
        <w:rFonts w:ascii="Verdana" w:hAnsi="Verdana"/>
        <w:b w:val="0"/>
        <w:vanish w:val="0"/>
        <w:color w:val="000000" w:themeColor="text1"/>
        <w:sz w:val="14"/>
      </w:rPr>
      <w:instrText xml:space="preserve"> PAGE  \* MERGEFORMAT </w:instrText>
    </w:r>
    <w:r w:rsidRPr="00823F89">
      <w:rPr>
        <w:rFonts w:ascii="Verdana" w:hAnsi="Verdana"/>
        <w:b w:val="0"/>
        <w:vanish w:val="0"/>
        <w:color w:val="000000" w:themeColor="text1"/>
        <w:sz w:val="14"/>
      </w:rPr>
      <w:fldChar w:fldCharType="separate"/>
    </w:r>
    <w:r w:rsidR="00FA177A">
      <w:rPr>
        <w:rFonts w:ascii="Verdana" w:hAnsi="Verdana"/>
        <w:b w:val="0"/>
        <w:vanish w:val="0"/>
        <w:color w:val="000000" w:themeColor="text1"/>
        <w:sz w:val="14"/>
      </w:rPr>
      <w:t>2</w:t>
    </w:r>
    <w:r w:rsidRPr="00823F89">
      <w:rPr>
        <w:rFonts w:ascii="Verdana" w:hAnsi="Verdana"/>
        <w:b w:val="0"/>
        <w:vanish w:val="0"/>
        <w:color w:val="000000" w:themeColor="text1"/>
        <w:sz w:val="14"/>
      </w:rPr>
      <w:fldChar w:fldCharType="end"/>
    </w:r>
    <w:r>
      <w:rPr>
        <w:rFonts w:ascii="Verdana" w:hAnsi="Verdana"/>
        <w:b w:val="0"/>
        <w:vanish w:val="0"/>
        <w:color w:val="000000" w:themeColor="text1"/>
        <w:sz w:val="14"/>
      </w:rPr>
      <w:t xml:space="preserve"> </w:t>
    </w:r>
    <w:r>
      <w:rPr>
        <w:rFonts w:ascii="Verdana" w:hAnsi="Verdana"/>
        <w:b w:val="0"/>
        <w:vanish w:val="0"/>
        <w:color w:val="000000" w:themeColor="text1"/>
        <w:sz w:val="14"/>
      </w:rPr>
      <w:t xml:space="preserve">/ </w:t>
    </w:r>
    <w:r w:rsidRPr="00823F89">
      <w:rPr>
        <w:rFonts w:ascii="Verdana" w:hAnsi="Verdana"/>
        <w:b w:val="0"/>
        <w:vanish w:val="0"/>
        <w:color w:val="000000" w:themeColor="text1"/>
        <w:sz w:val="14"/>
      </w:rPr>
      <w:fldChar w:fldCharType="begin"/>
    </w:r>
    <w:r w:rsidRPr="00823F89">
      <w:rPr>
        <w:rFonts w:ascii="Verdana" w:hAnsi="Verdana"/>
        <w:b w:val="0"/>
        <w:vanish w:val="0"/>
        <w:color w:val="000000" w:themeColor="text1"/>
        <w:sz w:val="14"/>
      </w:rPr>
      <w:instrText xml:space="preserve"> NUMPAGES  \* MERGEFORMAT </w:instrText>
    </w:r>
    <w:r w:rsidRPr="00823F89">
      <w:rPr>
        <w:rFonts w:ascii="Verdana" w:hAnsi="Verdana"/>
        <w:b w:val="0"/>
        <w:vanish w:val="0"/>
        <w:color w:val="000000" w:themeColor="text1"/>
        <w:sz w:val="14"/>
      </w:rPr>
      <w:fldChar w:fldCharType="separate"/>
    </w:r>
    <w:r w:rsidR="00FA177A">
      <w:rPr>
        <w:rFonts w:ascii="Verdana" w:hAnsi="Verdana"/>
        <w:b w:val="0"/>
        <w:vanish w:val="0"/>
        <w:color w:val="000000" w:themeColor="text1"/>
        <w:sz w:val="14"/>
      </w:rPr>
      <w:t>5</w:t>
    </w:r>
    <w:r w:rsidRPr="00823F89">
      <w:rPr>
        <w:rFonts w:ascii="Verdana" w:hAnsi="Verdana"/>
        <w:b w:val="0"/>
        <w:vanish w:val="0"/>
        <w:color w:val="000000" w:themeColor="text1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E045" w14:textId="77777777" w:rsidR="00314DC9" w:rsidRDefault="00314DC9">
      <w:r>
        <w:separator/>
      </w:r>
    </w:p>
  </w:footnote>
  <w:footnote w:type="continuationSeparator" w:id="0">
    <w:p w14:paraId="25EE53E8" w14:textId="77777777" w:rsidR="00314DC9" w:rsidRDefault="00314DC9">
      <w:r>
        <w:continuationSeparator/>
      </w:r>
    </w:p>
  </w:footnote>
  <w:footnote w:id="1">
    <w:p w14:paraId="5D27D4CF" w14:textId="77777777" w:rsidR="009C3D7A" w:rsidRDefault="009C3D7A" w:rsidP="004A212D">
      <w:pPr>
        <w:pStyle w:val="FootnoteText"/>
      </w:pPr>
      <w:r>
        <w:rPr>
          <w:rStyle w:val="FootnoteReference"/>
          <w:szCs w:val="18"/>
        </w:rPr>
        <w:footnoteRef/>
      </w:r>
      <w:r>
        <w:tab/>
      </w:r>
      <w:r>
        <w:rPr>
          <w:color w:val="000000"/>
        </w:rPr>
        <w:t>Radiokomunikační řád je k dispozici v arabštině, čínštině, angličtině, francouzštině, ruštině a španělštině. Ve všech případech sporu nebo pochybností má přednost francouzský text.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Layout w:type="fixed"/>
      <w:tblCellMar>
        <w:top w:w="57" w:type="dxa"/>
        <w:left w:w="0" w:type="dxa"/>
        <w:bottom w:w="57" w:type="dxa"/>
        <w:right w:w="0" w:type="dxa"/>
      </w:tblCellMar>
      <w:tblLook w:val="01E0" w:firstRow="1" w:lastRow="1" w:firstColumn="1" w:lastColumn="1" w:noHBand="0" w:noVBand="0"/>
    </w:tblPr>
    <w:tblGrid>
      <w:gridCol w:w="397"/>
      <w:gridCol w:w="1701"/>
      <w:gridCol w:w="5160"/>
      <w:gridCol w:w="1247"/>
      <w:gridCol w:w="1134"/>
    </w:tblGrid>
    <w:tr w:rsidR="009C3D7A" w:rsidRPr="00733135" w14:paraId="5D27D4B2" w14:textId="77777777" w:rsidTr="00733135">
      <w:trPr>
        <w:cantSplit/>
        <w:trHeight w:val="113"/>
      </w:trPr>
      <w:tc>
        <w:tcPr>
          <w:tcW w:w="397" w:type="dxa"/>
          <w:shd w:val="clear" w:color="auto" w:fill="auto"/>
          <w:vAlign w:val="center"/>
        </w:tcPr>
        <w:p w14:paraId="5D27D4AD" w14:textId="77777777" w:rsidR="009C3D7A" w:rsidRPr="00823F89" w:rsidRDefault="009C3D7A" w:rsidP="00733135">
          <w:pPr>
            <w:pStyle w:val="Header"/>
            <w:jc w:val="center"/>
            <w:rPr>
              <w:rFonts w:ascii="Arial Narrow" w:hAnsi="Arial Narrow"/>
              <w:color w:val="000000" w:themeColor="text1"/>
              <w:sz w:val="16"/>
              <w:szCs w:val="16"/>
            </w:rPr>
          </w:pPr>
          <w:r>
            <w:rPr>
              <w:rFonts w:ascii="Arial Narrow" w:hAnsi="Arial Narrow"/>
              <w:color w:val="000000" w:themeColor="text1"/>
              <w:sz w:val="16"/>
            </w:rPr>
            <w:t>DE</w:t>
          </w:r>
        </w:p>
      </w:tc>
      <w:tc>
        <w:tcPr>
          <w:tcW w:w="1701" w:type="dxa"/>
          <w:shd w:val="clear" w:color="auto" w:fill="auto"/>
          <w:vAlign w:val="center"/>
        </w:tcPr>
        <w:p w14:paraId="5D27D4AE" w14:textId="77777777" w:rsidR="009C3D7A" w:rsidRPr="00823F89" w:rsidRDefault="009C3D7A" w:rsidP="00733135">
          <w:pPr>
            <w:pStyle w:val="Header"/>
            <w:jc w:val="center"/>
            <w:rPr>
              <w:rFonts w:ascii="Arial Narrow" w:hAnsi="Arial Narrow"/>
              <w:color w:val="000000" w:themeColor="text1"/>
              <w:sz w:val="16"/>
              <w:szCs w:val="16"/>
            </w:rPr>
          </w:pPr>
          <w:r>
            <w:rPr>
              <w:rFonts w:ascii="Arial Narrow" w:hAnsi="Arial Narrow"/>
              <w:color w:val="000000" w:themeColor="text1"/>
              <w:sz w:val="16"/>
            </w:rPr>
            <w:t>Popis rozhraní</w:t>
          </w:r>
        </w:p>
      </w:tc>
      <w:tc>
        <w:tcPr>
          <w:tcW w:w="5160" w:type="dxa"/>
          <w:shd w:val="clear" w:color="auto" w:fill="auto"/>
          <w:vAlign w:val="center"/>
        </w:tcPr>
        <w:p w14:paraId="5D27D4AF" w14:textId="6558BD2D" w:rsidR="009C3D7A" w:rsidRPr="00823F89" w:rsidRDefault="008A4D11" w:rsidP="000F4A2F">
          <w:pPr>
            <w:pStyle w:val="Header"/>
            <w:jc w:val="center"/>
            <w:rPr>
              <w:rFonts w:ascii="Arial Narrow" w:hAnsi="Arial Narrow"/>
              <w:color w:val="000000" w:themeColor="text1"/>
              <w:sz w:val="16"/>
              <w:szCs w:val="16"/>
            </w:rPr>
          </w:pPr>
          <w:r>
            <w:rPr>
              <w:rFonts w:ascii="Arial Narrow" w:hAnsi="Arial Narrow"/>
              <w:color w:val="000000" w:themeColor="text1"/>
              <w:sz w:val="16"/>
            </w:rPr>
            <w:t>Rádiové relé v pásmu 6,2 GHz (P-P)</w:t>
          </w:r>
        </w:p>
      </w:tc>
      <w:tc>
        <w:tcPr>
          <w:tcW w:w="1247" w:type="dxa"/>
          <w:shd w:val="clear" w:color="auto" w:fill="auto"/>
          <w:vAlign w:val="center"/>
        </w:tcPr>
        <w:p w14:paraId="5D27D4B0" w14:textId="10FE496A" w:rsidR="009C3D7A" w:rsidRPr="00823F89" w:rsidRDefault="009C3D7A" w:rsidP="003F6241">
          <w:pPr>
            <w:pStyle w:val="Header"/>
            <w:jc w:val="center"/>
            <w:rPr>
              <w:rFonts w:ascii="Arial Narrow" w:hAnsi="Arial Narrow"/>
              <w:color w:val="000000" w:themeColor="text1"/>
              <w:sz w:val="16"/>
              <w:szCs w:val="16"/>
            </w:rPr>
          </w:pPr>
          <w:r>
            <w:rPr>
              <w:rFonts w:ascii="Arial Narrow" w:hAnsi="Arial Narrow"/>
              <w:color w:val="000000" w:themeColor="text1"/>
              <w:sz w:val="16"/>
            </w:rPr>
            <w:t>SSB FE-OE 058</w:t>
          </w:r>
        </w:p>
      </w:tc>
      <w:tc>
        <w:tcPr>
          <w:tcW w:w="1134" w:type="dxa"/>
          <w:shd w:val="clear" w:color="auto" w:fill="auto"/>
          <w:vAlign w:val="center"/>
        </w:tcPr>
        <w:p w14:paraId="5D27D4B1" w14:textId="704F1E79" w:rsidR="009C3D7A" w:rsidRPr="00823F89" w:rsidRDefault="00300659" w:rsidP="00300659">
          <w:pPr>
            <w:pStyle w:val="Header"/>
            <w:jc w:val="center"/>
            <w:rPr>
              <w:rFonts w:ascii="Arial Narrow" w:hAnsi="Arial Narrow"/>
              <w:color w:val="000000" w:themeColor="text1"/>
              <w:sz w:val="16"/>
              <w:szCs w:val="16"/>
            </w:rPr>
          </w:pPr>
          <w:r>
            <w:rPr>
              <w:rFonts w:ascii="Arial Narrow" w:hAnsi="Arial Narrow"/>
              <w:color w:val="000000" w:themeColor="text1"/>
              <w:sz w:val="16"/>
            </w:rPr>
            <w:t>Únor 2022</w:t>
          </w:r>
        </w:p>
      </w:tc>
    </w:tr>
  </w:tbl>
  <w:p w14:paraId="5D27D4B3" w14:textId="42EAC3E1" w:rsidR="009C3D7A" w:rsidRPr="0013052E" w:rsidRDefault="009C3D7A" w:rsidP="00445475">
    <w:pPr>
      <w:pStyle w:val="Head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top w:w="28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9C3D7A" w14:paraId="5D27D4B7" w14:textId="77777777">
      <w:trPr>
        <w:cantSplit/>
        <w:trHeight w:val="1843"/>
        <w:jc w:val="center"/>
      </w:trPr>
      <w:tc>
        <w:tcPr>
          <w:tcW w:w="3969" w:type="dxa"/>
        </w:tcPr>
        <w:p w14:paraId="5D27D4B5" w14:textId="2D2D681D" w:rsidR="009C3D7A" w:rsidRDefault="009C3D7A" w:rsidP="00BB5F61">
          <w:pPr>
            <w:pStyle w:val="Header"/>
            <w:spacing w:before="20"/>
            <w:jc w:val="left"/>
          </w:pPr>
          <w:r>
            <w:t xml:space="preserve">  </w:t>
          </w:r>
          <w:r>
            <w:rPr>
              <w:noProof/>
            </w:rPr>
            <w:drawing>
              <wp:inline distT="0" distB="0" distL="0" distR="0" wp14:anchorId="5D27D4CB" wp14:editId="5D27D4CC">
                <wp:extent cx="2246630" cy="1125855"/>
                <wp:effectExtent l="0" t="0" r="1270" b="0"/>
                <wp:docPr id="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663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5D27D4B6" w14:textId="51C24FFB" w:rsidR="009C3D7A" w:rsidRPr="00823F89" w:rsidRDefault="009C3D7A" w:rsidP="00386B9F">
          <w:pPr>
            <w:pStyle w:val="Header"/>
            <w:suppressAutoHyphens/>
            <w:spacing w:before="500"/>
            <w:jc w:val="center"/>
            <w:rPr>
              <w:rFonts w:ascii="Verdana" w:hAnsi="Verdana" w:cs="Arial"/>
              <w:color w:val="000000" w:themeColor="text1"/>
              <w:w w:val="110"/>
              <w:kern w:val="24"/>
              <w:szCs w:val="22"/>
            </w:rPr>
          </w:pPr>
          <w:r>
            <w:rPr>
              <w:rFonts w:ascii="Verdana" w:hAnsi="Verdana"/>
              <w:color w:val="000000" w:themeColor="text1"/>
            </w:rPr>
            <w:t>Německá spolková agentura pro elektřinu, plyn, telekomunikace, poštu a dráhy</w:t>
          </w:r>
        </w:p>
      </w:tc>
    </w:tr>
  </w:tbl>
  <w:p w14:paraId="5D27D4B8" w14:textId="26832A40" w:rsidR="009C3D7A" w:rsidRDefault="009D06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B3947" wp14:editId="18621850">
              <wp:simplePos x="0" y="0"/>
              <wp:positionH relativeFrom="column">
                <wp:posOffset>774065</wp:posOffset>
              </wp:positionH>
              <wp:positionV relativeFrom="paragraph">
                <wp:posOffset>-1260475</wp:posOffset>
              </wp:positionV>
              <wp:extent cx="1740877" cy="7620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877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E8C48D" w14:textId="77777777" w:rsidR="009D06DE" w:rsidRPr="009F6793" w:rsidRDefault="009D06DE" w:rsidP="009D06DE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Německá spolková</w:t>
                          </w:r>
                          <w:r>
                            <w:rPr>
                              <w:b/>
                            </w:rPr>
                            <w:br/>
                            <w:t>agentura pro sítě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4AFB394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0.95pt;margin-top:-99.25pt;width:137.1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" fillcolor="white [3201]" stroked="f" strokeweight=".5pt">
              <v:textbox>
                <w:txbxContent>
                  <w:p w14:paraId="58E8C48D" w14:textId="77777777" w:rsidR="009D06DE" w:rsidRPr="009F6793" w:rsidRDefault="009D06DE" w:rsidP="009D06DE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 xml:space="preserve">Německá spolková</w:t>
                    </w:r>
                    <w:r>
                      <w:rPr>
                        <w:b/>
                      </w:rPr>
                      <w:br/>
                    </w:r>
                    <w:r>
                      <w:rPr>
                        <w:b/>
                      </w:rPr>
                      <w:t xml:space="preserve">agentura pro sítě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Layout w:type="fixed"/>
      <w:tblCellMar>
        <w:top w:w="57" w:type="dxa"/>
        <w:left w:w="0" w:type="dxa"/>
        <w:bottom w:w="57" w:type="dxa"/>
        <w:right w:w="0" w:type="dxa"/>
      </w:tblCellMar>
      <w:tblLook w:val="01E0" w:firstRow="1" w:lastRow="1" w:firstColumn="1" w:lastColumn="1" w:noHBand="0" w:noVBand="0"/>
    </w:tblPr>
    <w:tblGrid>
      <w:gridCol w:w="397"/>
      <w:gridCol w:w="1701"/>
      <w:gridCol w:w="5160"/>
      <w:gridCol w:w="1247"/>
      <w:gridCol w:w="1134"/>
    </w:tblGrid>
    <w:tr w:rsidR="009C3D7A" w:rsidRPr="00733135" w14:paraId="5D27D4C7" w14:textId="77777777" w:rsidTr="00733135">
      <w:trPr>
        <w:cantSplit/>
        <w:trHeight w:val="113"/>
      </w:trPr>
      <w:tc>
        <w:tcPr>
          <w:tcW w:w="397" w:type="dxa"/>
          <w:shd w:val="clear" w:color="auto" w:fill="auto"/>
          <w:vAlign w:val="center"/>
        </w:tcPr>
        <w:p w14:paraId="5D27D4C2" w14:textId="77777777" w:rsidR="009C3D7A" w:rsidRPr="00823F89" w:rsidRDefault="009C3D7A" w:rsidP="00733135">
          <w:pPr>
            <w:pStyle w:val="Header"/>
            <w:jc w:val="center"/>
            <w:rPr>
              <w:rFonts w:ascii="Arial Narrow" w:hAnsi="Arial Narrow"/>
              <w:color w:val="000000" w:themeColor="text1"/>
              <w:sz w:val="16"/>
              <w:szCs w:val="16"/>
            </w:rPr>
          </w:pPr>
          <w:r>
            <w:rPr>
              <w:rFonts w:ascii="Arial Narrow" w:hAnsi="Arial Narrow"/>
              <w:color w:val="000000" w:themeColor="text1"/>
              <w:sz w:val="16"/>
            </w:rPr>
            <w:t>DE</w:t>
          </w:r>
        </w:p>
      </w:tc>
      <w:tc>
        <w:tcPr>
          <w:tcW w:w="1701" w:type="dxa"/>
          <w:shd w:val="clear" w:color="auto" w:fill="auto"/>
          <w:vAlign w:val="center"/>
        </w:tcPr>
        <w:p w14:paraId="5D27D4C3" w14:textId="77777777" w:rsidR="009C3D7A" w:rsidRPr="00823F89" w:rsidRDefault="009C3D7A" w:rsidP="00733135">
          <w:pPr>
            <w:pStyle w:val="Header"/>
            <w:jc w:val="center"/>
            <w:rPr>
              <w:rFonts w:ascii="Arial Narrow" w:hAnsi="Arial Narrow"/>
              <w:color w:val="000000" w:themeColor="text1"/>
              <w:sz w:val="16"/>
              <w:szCs w:val="16"/>
            </w:rPr>
          </w:pPr>
          <w:r>
            <w:rPr>
              <w:rFonts w:ascii="Arial Narrow" w:hAnsi="Arial Narrow"/>
              <w:color w:val="000000" w:themeColor="text1"/>
              <w:sz w:val="16"/>
            </w:rPr>
            <w:t>Popis rozhraní</w:t>
          </w:r>
        </w:p>
      </w:tc>
      <w:tc>
        <w:tcPr>
          <w:tcW w:w="5160" w:type="dxa"/>
          <w:shd w:val="clear" w:color="auto" w:fill="auto"/>
          <w:vAlign w:val="center"/>
        </w:tcPr>
        <w:p w14:paraId="5D27D4C4" w14:textId="6BC24BC9" w:rsidR="009C3D7A" w:rsidRPr="00823F89" w:rsidRDefault="008A4D11" w:rsidP="000F4A2F">
          <w:pPr>
            <w:pStyle w:val="Header"/>
            <w:jc w:val="center"/>
            <w:rPr>
              <w:rFonts w:ascii="Arial Narrow" w:hAnsi="Arial Narrow"/>
              <w:color w:val="000000" w:themeColor="text1"/>
              <w:sz w:val="16"/>
              <w:szCs w:val="16"/>
            </w:rPr>
          </w:pPr>
          <w:r>
            <w:rPr>
              <w:rFonts w:ascii="Arial Narrow" w:hAnsi="Arial Narrow"/>
              <w:color w:val="000000" w:themeColor="text1"/>
              <w:sz w:val="16"/>
            </w:rPr>
            <w:t>Rádiové relé v pásmu 6,2 GHz (P-P)</w:t>
          </w:r>
        </w:p>
      </w:tc>
      <w:tc>
        <w:tcPr>
          <w:tcW w:w="1247" w:type="dxa"/>
          <w:shd w:val="clear" w:color="auto" w:fill="auto"/>
          <w:vAlign w:val="center"/>
        </w:tcPr>
        <w:p w14:paraId="5D27D4C5" w14:textId="43B8FD08" w:rsidR="009C3D7A" w:rsidRPr="00823F89" w:rsidRDefault="009C3D7A" w:rsidP="003F6241">
          <w:pPr>
            <w:pStyle w:val="Header"/>
            <w:jc w:val="center"/>
            <w:rPr>
              <w:rFonts w:ascii="Arial Narrow" w:hAnsi="Arial Narrow"/>
              <w:color w:val="000000" w:themeColor="text1"/>
              <w:sz w:val="16"/>
              <w:szCs w:val="16"/>
            </w:rPr>
          </w:pPr>
          <w:r>
            <w:rPr>
              <w:rFonts w:ascii="Arial Narrow" w:hAnsi="Arial Narrow"/>
              <w:color w:val="000000" w:themeColor="text1"/>
              <w:sz w:val="16"/>
            </w:rPr>
            <w:t>SSB FE-OE 058</w:t>
          </w:r>
        </w:p>
      </w:tc>
      <w:tc>
        <w:tcPr>
          <w:tcW w:w="1134" w:type="dxa"/>
          <w:shd w:val="clear" w:color="auto" w:fill="auto"/>
          <w:vAlign w:val="center"/>
        </w:tcPr>
        <w:p w14:paraId="5D27D4C6" w14:textId="39C951A7" w:rsidR="009C3D7A" w:rsidRPr="00823F89" w:rsidRDefault="00300659" w:rsidP="000F4A2F">
          <w:pPr>
            <w:pStyle w:val="Header"/>
            <w:jc w:val="center"/>
            <w:rPr>
              <w:rFonts w:ascii="Arial Narrow" w:hAnsi="Arial Narrow"/>
              <w:color w:val="000000" w:themeColor="text1"/>
              <w:sz w:val="16"/>
              <w:szCs w:val="16"/>
            </w:rPr>
          </w:pPr>
          <w:r>
            <w:rPr>
              <w:rFonts w:ascii="Arial Narrow" w:hAnsi="Arial Narrow"/>
              <w:color w:val="000000" w:themeColor="text1"/>
              <w:sz w:val="16"/>
            </w:rPr>
            <w:t>února 2022</w:t>
          </w:r>
        </w:p>
      </w:tc>
    </w:tr>
  </w:tbl>
  <w:p w14:paraId="5D27D4C8" w14:textId="65873C65" w:rsidR="009C3D7A" w:rsidRPr="0013052E" w:rsidRDefault="009C3D7A" w:rsidP="0013052E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AD9"/>
    <w:multiLevelType w:val="hybridMultilevel"/>
    <w:tmpl w:val="CA5849F6"/>
    <w:lvl w:ilvl="0" w:tplc="CDCCC89C">
      <w:start w:val="1"/>
      <w:numFmt w:val="bullet"/>
      <w:pStyle w:val="AufzDokumen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A90"/>
    <w:multiLevelType w:val="hybridMultilevel"/>
    <w:tmpl w:val="BBE2453C"/>
    <w:lvl w:ilvl="0" w:tplc="1E68ED7C">
      <w:start w:val="1"/>
      <w:numFmt w:val="bullet"/>
      <w:lvlText w:val=""/>
      <w:lvlJc w:val="left"/>
      <w:pPr>
        <w:tabs>
          <w:tab w:val="num" w:pos="709"/>
        </w:tabs>
        <w:ind w:left="720" w:hanging="32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12D7"/>
    <w:multiLevelType w:val="hybridMultilevel"/>
    <w:tmpl w:val="D972A784"/>
    <w:lvl w:ilvl="0" w:tplc="E65283B6">
      <w:start w:val="1"/>
      <w:numFmt w:val="bullet"/>
      <w:pStyle w:val="AufzSonstDoku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87EC2"/>
    <w:multiLevelType w:val="hybridMultilevel"/>
    <w:tmpl w:val="70280FA4"/>
    <w:lvl w:ilvl="0" w:tplc="0407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617807E4"/>
    <w:multiLevelType w:val="hybridMultilevel"/>
    <w:tmpl w:val="5F78F1F2"/>
    <w:lvl w:ilvl="0" w:tplc="C6A674F6">
      <w:start w:val="4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DC3E69"/>
    <w:multiLevelType w:val="multilevel"/>
    <w:tmpl w:val="5F20D43A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0F371C7"/>
    <w:multiLevelType w:val="multilevel"/>
    <w:tmpl w:val="5F20D43A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31D6BF7"/>
    <w:multiLevelType w:val="hybridMultilevel"/>
    <w:tmpl w:val="CB96C69C"/>
    <w:lvl w:ilvl="0" w:tplc="F648D50C">
      <w:start w:val="1"/>
      <w:numFmt w:val="bullet"/>
      <w:pStyle w:val="AufzPunk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10EB6"/>
    <w:multiLevelType w:val="hybridMultilevel"/>
    <w:tmpl w:val="4B288EBE"/>
    <w:lvl w:ilvl="0" w:tplc="842AC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2"/>
  </w:num>
  <w:num w:numId="11">
    <w:abstractNumId w:val="7"/>
  </w:num>
  <w:num w:numId="12">
    <w:abstractNumId w:val="3"/>
  </w:num>
  <w:num w:numId="13">
    <w:abstractNumId w:val="0"/>
  </w:num>
  <w:num w:numId="14">
    <w:abstractNumId w:val="1"/>
  </w:num>
  <w:num w:numId="15">
    <w:abstractNumId w:val="6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97"/>
  <w:doNotHyphenateCaps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6F"/>
    <w:rsid w:val="00007ABA"/>
    <w:rsid w:val="00020AE1"/>
    <w:rsid w:val="00021D7B"/>
    <w:rsid w:val="00022406"/>
    <w:rsid w:val="00022D74"/>
    <w:rsid w:val="000308FE"/>
    <w:rsid w:val="00031C1D"/>
    <w:rsid w:val="00044334"/>
    <w:rsid w:val="00050A92"/>
    <w:rsid w:val="00052E9A"/>
    <w:rsid w:val="00057623"/>
    <w:rsid w:val="000620AF"/>
    <w:rsid w:val="0006783B"/>
    <w:rsid w:val="00071881"/>
    <w:rsid w:val="00072236"/>
    <w:rsid w:val="00073A07"/>
    <w:rsid w:val="000764DA"/>
    <w:rsid w:val="00081894"/>
    <w:rsid w:val="000A152B"/>
    <w:rsid w:val="000A6B1E"/>
    <w:rsid w:val="000B29BC"/>
    <w:rsid w:val="000B4360"/>
    <w:rsid w:val="000B5AF4"/>
    <w:rsid w:val="000C2AAE"/>
    <w:rsid w:val="000C4CA0"/>
    <w:rsid w:val="000C5D86"/>
    <w:rsid w:val="000C6F36"/>
    <w:rsid w:val="000D1030"/>
    <w:rsid w:val="000E4F09"/>
    <w:rsid w:val="000F4A2F"/>
    <w:rsid w:val="000F6C9A"/>
    <w:rsid w:val="00111A32"/>
    <w:rsid w:val="00115FE7"/>
    <w:rsid w:val="00126D18"/>
    <w:rsid w:val="00127977"/>
    <w:rsid w:val="0013052E"/>
    <w:rsid w:val="00133CE4"/>
    <w:rsid w:val="00141D5A"/>
    <w:rsid w:val="00150229"/>
    <w:rsid w:val="00153CDE"/>
    <w:rsid w:val="00162073"/>
    <w:rsid w:val="00164BF0"/>
    <w:rsid w:val="001651AB"/>
    <w:rsid w:val="001671D3"/>
    <w:rsid w:val="001778D0"/>
    <w:rsid w:val="001852BF"/>
    <w:rsid w:val="001A3007"/>
    <w:rsid w:val="001A3F63"/>
    <w:rsid w:val="001B2683"/>
    <w:rsid w:val="001B36E0"/>
    <w:rsid w:val="001B69C9"/>
    <w:rsid w:val="001C54E4"/>
    <w:rsid w:val="001D0DBD"/>
    <w:rsid w:val="001D1049"/>
    <w:rsid w:val="001D3270"/>
    <w:rsid w:val="001D5044"/>
    <w:rsid w:val="001D7BDA"/>
    <w:rsid w:val="001E0B6B"/>
    <w:rsid w:val="001E3760"/>
    <w:rsid w:val="001F0496"/>
    <w:rsid w:val="001F1A97"/>
    <w:rsid w:val="0020117C"/>
    <w:rsid w:val="002042FB"/>
    <w:rsid w:val="002059A7"/>
    <w:rsid w:val="00206B7E"/>
    <w:rsid w:val="00221F77"/>
    <w:rsid w:val="00234456"/>
    <w:rsid w:val="00235C2E"/>
    <w:rsid w:val="0024253A"/>
    <w:rsid w:val="00243A64"/>
    <w:rsid w:val="00251893"/>
    <w:rsid w:val="00253E8E"/>
    <w:rsid w:val="00254813"/>
    <w:rsid w:val="00254DA1"/>
    <w:rsid w:val="002576F0"/>
    <w:rsid w:val="002577A0"/>
    <w:rsid w:val="00260C39"/>
    <w:rsid w:val="002708EC"/>
    <w:rsid w:val="00272A68"/>
    <w:rsid w:val="00273549"/>
    <w:rsid w:val="00274E8B"/>
    <w:rsid w:val="00277B66"/>
    <w:rsid w:val="00283BA1"/>
    <w:rsid w:val="002923BE"/>
    <w:rsid w:val="00293B41"/>
    <w:rsid w:val="0029404A"/>
    <w:rsid w:val="002941E5"/>
    <w:rsid w:val="002B0C2B"/>
    <w:rsid w:val="002B1465"/>
    <w:rsid w:val="002B4688"/>
    <w:rsid w:val="002C0240"/>
    <w:rsid w:val="002C0F8E"/>
    <w:rsid w:val="002C732C"/>
    <w:rsid w:val="002D7D87"/>
    <w:rsid w:val="002E3536"/>
    <w:rsid w:val="002E7B1D"/>
    <w:rsid w:val="00300659"/>
    <w:rsid w:val="00306065"/>
    <w:rsid w:val="00313156"/>
    <w:rsid w:val="00314DC9"/>
    <w:rsid w:val="00331634"/>
    <w:rsid w:val="00335953"/>
    <w:rsid w:val="00336A2D"/>
    <w:rsid w:val="00346081"/>
    <w:rsid w:val="0035141B"/>
    <w:rsid w:val="00363A44"/>
    <w:rsid w:val="00364BC2"/>
    <w:rsid w:val="0037662B"/>
    <w:rsid w:val="0037774B"/>
    <w:rsid w:val="00381B7A"/>
    <w:rsid w:val="0038577C"/>
    <w:rsid w:val="00386B9F"/>
    <w:rsid w:val="00391B26"/>
    <w:rsid w:val="003A12FA"/>
    <w:rsid w:val="003B2E13"/>
    <w:rsid w:val="003C0E56"/>
    <w:rsid w:val="003C38F2"/>
    <w:rsid w:val="003C54C5"/>
    <w:rsid w:val="003C7CBE"/>
    <w:rsid w:val="003E5965"/>
    <w:rsid w:val="003E72C7"/>
    <w:rsid w:val="003F5625"/>
    <w:rsid w:val="003F6241"/>
    <w:rsid w:val="004036CB"/>
    <w:rsid w:val="00404C8C"/>
    <w:rsid w:val="00420F40"/>
    <w:rsid w:val="00435C3B"/>
    <w:rsid w:val="00444FEB"/>
    <w:rsid w:val="004451DC"/>
    <w:rsid w:val="00445475"/>
    <w:rsid w:val="004459C5"/>
    <w:rsid w:val="00447506"/>
    <w:rsid w:val="004511DD"/>
    <w:rsid w:val="00455AEA"/>
    <w:rsid w:val="004576DD"/>
    <w:rsid w:val="00457ECD"/>
    <w:rsid w:val="00474396"/>
    <w:rsid w:val="00484F2D"/>
    <w:rsid w:val="00491AC1"/>
    <w:rsid w:val="00496B3C"/>
    <w:rsid w:val="00496FAA"/>
    <w:rsid w:val="004A0A0B"/>
    <w:rsid w:val="004A212D"/>
    <w:rsid w:val="004B1CA4"/>
    <w:rsid w:val="004B2043"/>
    <w:rsid w:val="004D130D"/>
    <w:rsid w:val="004D3D05"/>
    <w:rsid w:val="004D540F"/>
    <w:rsid w:val="004D6FFE"/>
    <w:rsid w:val="004E235B"/>
    <w:rsid w:val="004E5B45"/>
    <w:rsid w:val="004F1EC3"/>
    <w:rsid w:val="004F1EF4"/>
    <w:rsid w:val="004F4D76"/>
    <w:rsid w:val="004F6BEE"/>
    <w:rsid w:val="0051062F"/>
    <w:rsid w:val="00515625"/>
    <w:rsid w:val="00525A89"/>
    <w:rsid w:val="0053074E"/>
    <w:rsid w:val="00530926"/>
    <w:rsid w:val="005311E0"/>
    <w:rsid w:val="00532280"/>
    <w:rsid w:val="005340EA"/>
    <w:rsid w:val="005413D3"/>
    <w:rsid w:val="00551317"/>
    <w:rsid w:val="005525FD"/>
    <w:rsid w:val="00564C37"/>
    <w:rsid w:val="00571FA8"/>
    <w:rsid w:val="005843DA"/>
    <w:rsid w:val="00586393"/>
    <w:rsid w:val="0059521D"/>
    <w:rsid w:val="005A214F"/>
    <w:rsid w:val="005A29DA"/>
    <w:rsid w:val="005A4233"/>
    <w:rsid w:val="005B098D"/>
    <w:rsid w:val="005B3478"/>
    <w:rsid w:val="005B513C"/>
    <w:rsid w:val="005B6205"/>
    <w:rsid w:val="005C09FD"/>
    <w:rsid w:val="005C2459"/>
    <w:rsid w:val="005C4406"/>
    <w:rsid w:val="005D0E3B"/>
    <w:rsid w:val="005E06AD"/>
    <w:rsid w:val="005F149A"/>
    <w:rsid w:val="005F75ED"/>
    <w:rsid w:val="00602EF8"/>
    <w:rsid w:val="006123DD"/>
    <w:rsid w:val="006156B9"/>
    <w:rsid w:val="006168AB"/>
    <w:rsid w:val="00627039"/>
    <w:rsid w:val="006327DA"/>
    <w:rsid w:val="00656A0D"/>
    <w:rsid w:val="00661AC1"/>
    <w:rsid w:val="00663106"/>
    <w:rsid w:val="00665EC0"/>
    <w:rsid w:val="006664ED"/>
    <w:rsid w:val="006670FB"/>
    <w:rsid w:val="0067482D"/>
    <w:rsid w:val="00677CD0"/>
    <w:rsid w:val="00681445"/>
    <w:rsid w:val="00692A69"/>
    <w:rsid w:val="00694981"/>
    <w:rsid w:val="006972BC"/>
    <w:rsid w:val="006A6DCC"/>
    <w:rsid w:val="006B5B95"/>
    <w:rsid w:val="006C44CC"/>
    <w:rsid w:val="006D383E"/>
    <w:rsid w:val="006D6BFF"/>
    <w:rsid w:val="006D7C76"/>
    <w:rsid w:val="006D7FA8"/>
    <w:rsid w:val="006E1DAD"/>
    <w:rsid w:val="006E33A6"/>
    <w:rsid w:val="006E5F3A"/>
    <w:rsid w:val="006F0908"/>
    <w:rsid w:val="006F6EDD"/>
    <w:rsid w:val="0070027B"/>
    <w:rsid w:val="00701BE3"/>
    <w:rsid w:val="007074BB"/>
    <w:rsid w:val="00707FD3"/>
    <w:rsid w:val="00720A3F"/>
    <w:rsid w:val="00731948"/>
    <w:rsid w:val="00731E34"/>
    <w:rsid w:val="007320D5"/>
    <w:rsid w:val="00733135"/>
    <w:rsid w:val="0073481E"/>
    <w:rsid w:val="007454E0"/>
    <w:rsid w:val="00751E6F"/>
    <w:rsid w:val="007615D0"/>
    <w:rsid w:val="0076261E"/>
    <w:rsid w:val="00767778"/>
    <w:rsid w:val="0077281B"/>
    <w:rsid w:val="00772B2F"/>
    <w:rsid w:val="00777190"/>
    <w:rsid w:val="00784731"/>
    <w:rsid w:val="00787F9B"/>
    <w:rsid w:val="007979DE"/>
    <w:rsid w:val="007A7600"/>
    <w:rsid w:val="007B0108"/>
    <w:rsid w:val="007B163D"/>
    <w:rsid w:val="007D42D2"/>
    <w:rsid w:val="007D7F5E"/>
    <w:rsid w:val="007E7706"/>
    <w:rsid w:val="007F67F0"/>
    <w:rsid w:val="00823F89"/>
    <w:rsid w:val="00833377"/>
    <w:rsid w:val="00833ED6"/>
    <w:rsid w:val="00841CDC"/>
    <w:rsid w:val="00844484"/>
    <w:rsid w:val="00844F5D"/>
    <w:rsid w:val="008479A4"/>
    <w:rsid w:val="008543D8"/>
    <w:rsid w:val="00874EC9"/>
    <w:rsid w:val="00880ABE"/>
    <w:rsid w:val="00882122"/>
    <w:rsid w:val="00885299"/>
    <w:rsid w:val="0089380B"/>
    <w:rsid w:val="0089445D"/>
    <w:rsid w:val="008952C3"/>
    <w:rsid w:val="00896574"/>
    <w:rsid w:val="008A188D"/>
    <w:rsid w:val="008A2903"/>
    <w:rsid w:val="008A4D11"/>
    <w:rsid w:val="008A4F55"/>
    <w:rsid w:val="008A5965"/>
    <w:rsid w:val="008D1EAC"/>
    <w:rsid w:val="008D5EA0"/>
    <w:rsid w:val="008D79F8"/>
    <w:rsid w:val="008E3918"/>
    <w:rsid w:val="008F3BF6"/>
    <w:rsid w:val="008F75CC"/>
    <w:rsid w:val="00901B73"/>
    <w:rsid w:val="00903BFC"/>
    <w:rsid w:val="00907FFB"/>
    <w:rsid w:val="009224C9"/>
    <w:rsid w:val="0093089E"/>
    <w:rsid w:val="009343D0"/>
    <w:rsid w:val="00936CF0"/>
    <w:rsid w:val="009402BF"/>
    <w:rsid w:val="009414CE"/>
    <w:rsid w:val="00943FEA"/>
    <w:rsid w:val="009453C2"/>
    <w:rsid w:val="00945A87"/>
    <w:rsid w:val="00946662"/>
    <w:rsid w:val="00965555"/>
    <w:rsid w:val="00976F73"/>
    <w:rsid w:val="009B23F4"/>
    <w:rsid w:val="009B689B"/>
    <w:rsid w:val="009B6A9A"/>
    <w:rsid w:val="009C3D7A"/>
    <w:rsid w:val="009C41EF"/>
    <w:rsid w:val="009D06DE"/>
    <w:rsid w:val="009D0752"/>
    <w:rsid w:val="009D29B2"/>
    <w:rsid w:val="009E13A5"/>
    <w:rsid w:val="009F3A41"/>
    <w:rsid w:val="009F4FE4"/>
    <w:rsid w:val="00A00A97"/>
    <w:rsid w:val="00A01AF5"/>
    <w:rsid w:val="00A02A4D"/>
    <w:rsid w:val="00A1083A"/>
    <w:rsid w:val="00A14FBA"/>
    <w:rsid w:val="00A25EC4"/>
    <w:rsid w:val="00A32928"/>
    <w:rsid w:val="00A3511E"/>
    <w:rsid w:val="00A40F00"/>
    <w:rsid w:val="00A517D3"/>
    <w:rsid w:val="00A5286E"/>
    <w:rsid w:val="00A55CAF"/>
    <w:rsid w:val="00A561A5"/>
    <w:rsid w:val="00A60899"/>
    <w:rsid w:val="00A62B80"/>
    <w:rsid w:val="00A67646"/>
    <w:rsid w:val="00A705C9"/>
    <w:rsid w:val="00A71AE6"/>
    <w:rsid w:val="00A744F1"/>
    <w:rsid w:val="00A75F21"/>
    <w:rsid w:val="00A80A10"/>
    <w:rsid w:val="00AA3C1C"/>
    <w:rsid w:val="00AA64CB"/>
    <w:rsid w:val="00AB1AA0"/>
    <w:rsid w:val="00AB47A2"/>
    <w:rsid w:val="00AB5E22"/>
    <w:rsid w:val="00AB60C7"/>
    <w:rsid w:val="00AB63D2"/>
    <w:rsid w:val="00AB77F4"/>
    <w:rsid w:val="00AC0B1F"/>
    <w:rsid w:val="00AC0F70"/>
    <w:rsid w:val="00AC159C"/>
    <w:rsid w:val="00AD5627"/>
    <w:rsid w:val="00AE531F"/>
    <w:rsid w:val="00AF4BC1"/>
    <w:rsid w:val="00B03779"/>
    <w:rsid w:val="00B07D5E"/>
    <w:rsid w:val="00B210A9"/>
    <w:rsid w:val="00B21221"/>
    <w:rsid w:val="00B27BF2"/>
    <w:rsid w:val="00B3095D"/>
    <w:rsid w:val="00B316A0"/>
    <w:rsid w:val="00B3175D"/>
    <w:rsid w:val="00B34B8D"/>
    <w:rsid w:val="00B3581B"/>
    <w:rsid w:val="00B4128C"/>
    <w:rsid w:val="00B41D5B"/>
    <w:rsid w:val="00B5001A"/>
    <w:rsid w:val="00B73187"/>
    <w:rsid w:val="00B80892"/>
    <w:rsid w:val="00B8128B"/>
    <w:rsid w:val="00B81BBD"/>
    <w:rsid w:val="00B854D9"/>
    <w:rsid w:val="00B87DBA"/>
    <w:rsid w:val="00B92E22"/>
    <w:rsid w:val="00BB1EC3"/>
    <w:rsid w:val="00BB2BA8"/>
    <w:rsid w:val="00BB5F61"/>
    <w:rsid w:val="00BC6BFF"/>
    <w:rsid w:val="00BD34B2"/>
    <w:rsid w:val="00BD64E5"/>
    <w:rsid w:val="00BE7E8B"/>
    <w:rsid w:val="00BF32D0"/>
    <w:rsid w:val="00C004EA"/>
    <w:rsid w:val="00C053BF"/>
    <w:rsid w:val="00C0669A"/>
    <w:rsid w:val="00C1089E"/>
    <w:rsid w:val="00C12261"/>
    <w:rsid w:val="00C33649"/>
    <w:rsid w:val="00C3416A"/>
    <w:rsid w:val="00C3586F"/>
    <w:rsid w:val="00C423A7"/>
    <w:rsid w:val="00C55182"/>
    <w:rsid w:val="00C55DF3"/>
    <w:rsid w:val="00C713E5"/>
    <w:rsid w:val="00C717F4"/>
    <w:rsid w:val="00C71C91"/>
    <w:rsid w:val="00C82459"/>
    <w:rsid w:val="00C872AA"/>
    <w:rsid w:val="00C92C9A"/>
    <w:rsid w:val="00CB215A"/>
    <w:rsid w:val="00CB3D46"/>
    <w:rsid w:val="00CB55BF"/>
    <w:rsid w:val="00CC0984"/>
    <w:rsid w:val="00CC11BC"/>
    <w:rsid w:val="00CC2F52"/>
    <w:rsid w:val="00CE6375"/>
    <w:rsid w:val="00CE6429"/>
    <w:rsid w:val="00D01B97"/>
    <w:rsid w:val="00D03DCA"/>
    <w:rsid w:val="00D14F57"/>
    <w:rsid w:val="00D1554A"/>
    <w:rsid w:val="00D16C0D"/>
    <w:rsid w:val="00D17AB7"/>
    <w:rsid w:val="00D22A1C"/>
    <w:rsid w:val="00D26A2B"/>
    <w:rsid w:val="00D30822"/>
    <w:rsid w:val="00D32095"/>
    <w:rsid w:val="00D36D4E"/>
    <w:rsid w:val="00D45990"/>
    <w:rsid w:val="00D46DF8"/>
    <w:rsid w:val="00D50BF1"/>
    <w:rsid w:val="00D51177"/>
    <w:rsid w:val="00D51F96"/>
    <w:rsid w:val="00D77E00"/>
    <w:rsid w:val="00D96BCE"/>
    <w:rsid w:val="00DB4DA1"/>
    <w:rsid w:val="00DB5D7B"/>
    <w:rsid w:val="00DC6A8E"/>
    <w:rsid w:val="00DC7FAB"/>
    <w:rsid w:val="00DD759C"/>
    <w:rsid w:val="00DF32B7"/>
    <w:rsid w:val="00DF763B"/>
    <w:rsid w:val="00E01F39"/>
    <w:rsid w:val="00E06CA8"/>
    <w:rsid w:val="00E073BA"/>
    <w:rsid w:val="00E116C6"/>
    <w:rsid w:val="00E14299"/>
    <w:rsid w:val="00E16AA5"/>
    <w:rsid w:val="00E17E83"/>
    <w:rsid w:val="00E200F0"/>
    <w:rsid w:val="00E30575"/>
    <w:rsid w:val="00E31DD2"/>
    <w:rsid w:val="00E31FF6"/>
    <w:rsid w:val="00E330CB"/>
    <w:rsid w:val="00E35583"/>
    <w:rsid w:val="00E35A6B"/>
    <w:rsid w:val="00E47F27"/>
    <w:rsid w:val="00E50DFB"/>
    <w:rsid w:val="00E524CB"/>
    <w:rsid w:val="00E5791B"/>
    <w:rsid w:val="00E60CB3"/>
    <w:rsid w:val="00E60EF8"/>
    <w:rsid w:val="00E70E11"/>
    <w:rsid w:val="00E80824"/>
    <w:rsid w:val="00E84013"/>
    <w:rsid w:val="00E87A8D"/>
    <w:rsid w:val="00E907ED"/>
    <w:rsid w:val="00E939BB"/>
    <w:rsid w:val="00EA5A4B"/>
    <w:rsid w:val="00EB62B7"/>
    <w:rsid w:val="00EC1F02"/>
    <w:rsid w:val="00EC4534"/>
    <w:rsid w:val="00ED35D8"/>
    <w:rsid w:val="00EE1543"/>
    <w:rsid w:val="00EF03E3"/>
    <w:rsid w:val="00EF23F1"/>
    <w:rsid w:val="00EF2590"/>
    <w:rsid w:val="00F03C7E"/>
    <w:rsid w:val="00F11518"/>
    <w:rsid w:val="00F22B65"/>
    <w:rsid w:val="00F36617"/>
    <w:rsid w:val="00F42370"/>
    <w:rsid w:val="00F4429F"/>
    <w:rsid w:val="00F44DE1"/>
    <w:rsid w:val="00F503BD"/>
    <w:rsid w:val="00F533FE"/>
    <w:rsid w:val="00F66DF8"/>
    <w:rsid w:val="00F76E98"/>
    <w:rsid w:val="00F779BA"/>
    <w:rsid w:val="00F855F4"/>
    <w:rsid w:val="00F86533"/>
    <w:rsid w:val="00F8689D"/>
    <w:rsid w:val="00F927C3"/>
    <w:rsid w:val="00FA177A"/>
    <w:rsid w:val="00FA1AC6"/>
    <w:rsid w:val="00FB2D03"/>
    <w:rsid w:val="00FC18F0"/>
    <w:rsid w:val="00FC718A"/>
    <w:rsid w:val="00FD0614"/>
    <w:rsid w:val="00FD2DA7"/>
    <w:rsid w:val="00FD3035"/>
    <w:rsid w:val="00FE1C09"/>
    <w:rsid w:val="00FE1F9D"/>
    <w:rsid w:val="00FE1FAC"/>
    <w:rsid w:val="00FE565F"/>
    <w:rsid w:val="00FF24C8"/>
    <w:rsid w:val="00FF3CA3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7D3DB"/>
  <w15:docId w15:val="{F2F3774A-A866-46E2-8866-9241C3FF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8EC"/>
    <w:pPr>
      <w:keepNext/>
      <w:keepLines/>
      <w:tabs>
        <w:tab w:val="left" w:pos="851"/>
      </w:tabs>
      <w:overflowPunct/>
      <w:autoSpaceDE/>
      <w:autoSpaceDN/>
      <w:adjustRightInd/>
      <w:spacing w:after="240"/>
      <w:textAlignment w:val="auto"/>
      <w:outlineLvl w:val="0"/>
    </w:pPr>
    <w:rPr>
      <w:b/>
      <w:kern w:val="28"/>
    </w:rPr>
  </w:style>
  <w:style w:type="paragraph" w:styleId="Heading2">
    <w:name w:val="heading 2"/>
    <w:basedOn w:val="Heading1"/>
    <w:next w:val="Normal"/>
    <w:qFormat/>
    <w:pPr>
      <w:numPr>
        <w:ilvl w:val="1"/>
        <w:numId w:val="3"/>
      </w:numPr>
      <w:tabs>
        <w:tab w:val="clear" w:pos="576"/>
      </w:tabs>
      <w:ind w:left="1418" w:hanging="1418"/>
      <w:outlineLvl w:val="1"/>
    </w:pPr>
    <w:rPr>
      <w:color w:val="000000"/>
    </w:rPr>
  </w:style>
  <w:style w:type="paragraph" w:styleId="Heading3">
    <w:name w:val="heading 3"/>
    <w:basedOn w:val="Heading2"/>
    <w:next w:val="Normal"/>
    <w:qFormat/>
    <w:pPr>
      <w:numPr>
        <w:ilvl w:val="2"/>
        <w:numId w:val="4"/>
      </w:numPr>
      <w:tabs>
        <w:tab w:val="clear" w:pos="720"/>
      </w:tabs>
      <w:ind w:left="1418" w:hanging="1418"/>
      <w:outlineLvl w:val="2"/>
    </w:pPr>
  </w:style>
  <w:style w:type="paragraph" w:styleId="Heading4">
    <w:name w:val="heading 4"/>
    <w:basedOn w:val="Heading3"/>
    <w:next w:val="Normal"/>
    <w:qFormat/>
    <w:pPr>
      <w:numPr>
        <w:ilvl w:val="3"/>
        <w:numId w:val="5"/>
      </w:numPr>
      <w:tabs>
        <w:tab w:val="clear" w:pos="864"/>
      </w:tabs>
      <w:ind w:left="1418" w:hanging="1418"/>
      <w:outlineLvl w:val="3"/>
    </w:pPr>
  </w:style>
  <w:style w:type="paragraph" w:styleId="Heading5">
    <w:name w:val="heading 5"/>
    <w:basedOn w:val="Heading4"/>
    <w:next w:val="Normal"/>
    <w:qFormat/>
    <w:pPr>
      <w:numPr>
        <w:ilvl w:val="4"/>
        <w:numId w:val="6"/>
      </w:numPr>
      <w:tabs>
        <w:tab w:val="clear" w:pos="1008"/>
      </w:tabs>
      <w:ind w:left="1418" w:hanging="1418"/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  <w:numId w:val="7"/>
      </w:numPr>
      <w:tabs>
        <w:tab w:val="clear" w:pos="1152"/>
      </w:tabs>
      <w:ind w:left="1418" w:hanging="1418"/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  <w:numId w:val="8"/>
      </w:numPr>
      <w:tabs>
        <w:tab w:val="clear" w:pos="1800"/>
      </w:tabs>
      <w:ind w:left="0" w:firstLine="1418"/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  <w:numId w:val="9"/>
      </w:numPr>
      <w:tabs>
        <w:tab w:val="clear" w:pos="1440"/>
        <w:tab w:val="left" w:pos="1418"/>
      </w:tabs>
      <w:ind w:left="1418" w:hanging="1418"/>
      <w:outlineLvl w:val="7"/>
    </w:pPr>
  </w:style>
  <w:style w:type="paragraph" w:styleId="Heading9">
    <w:name w:val="heading 9"/>
    <w:basedOn w:val="Normal"/>
    <w:next w:val="Normal"/>
    <w:qFormat/>
    <w:pPr>
      <w:keepNext/>
      <w:keepLines/>
      <w:overflowPunct/>
      <w:autoSpaceDE/>
      <w:autoSpaceDN/>
      <w:adjustRightInd/>
      <w:spacing w:after="240"/>
      <w:textAlignment w:val="auto"/>
      <w:outlineLvl w:val="8"/>
    </w:pPr>
    <w:rPr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820"/>
        <w:tab w:val="right" w:pos="9639"/>
      </w:tabs>
    </w:pPr>
    <w:rPr>
      <w:rFonts w:cs="Arial"/>
      <w:b/>
      <w:bCs/>
      <w:vanish/>
      <w:sz w:val="16"/>
    </w:rPr>
  </w:style>
  <w:style w:type="paragraph" w:styleId="TOC2">
    <w:name w:val="toc 2"/>
    <w:basedOn w:val="Normal"/>
    <w:next w:val="Normal"/>
    <w:autoRedefine/>
    <w:semiHidden/>
    <w:pPr>
      <w:keepNext/>
      <w:keepLines/>
      <w:tabs>
        <w:tab w:val="left" w:pos="1418"/>
        <w:tab w:val="right" w:leader="dot" w:pos="9639"/>
      </w:tabs>
      <w:spacing w:before="120"/>
      <w:ind w:left="1418" w:right="566" w:hanging="1418"/>
    </w:pPr>
    <w:rPr>
      <w:rFonts w:cs="Arial"/>
      <w:noProof/>
      <w:szCs w:val="24"/>
    </w:rPr>
  </w:style>
  <w:style w:type="character" w:styleId="Hyperlink">
    <w:name w:val="Hyperlink"/>
    <w:rsid w:val="00AD5627"/>
    <w:rPr>
      <w:color w:val="0000FF"/>
      <w:u w:val="none"/>
    </w:rPr>
  </w:style>
  <w:style w:type="paragraph" w:customStyle="1" w:styleId="Fuzeile2">
    <w:name w:val="Fußzeile2"/>
    <w:basedOn w:val="Footer"/>
    <w:rPr>
      <w:b w:val="0"/>
      <w:bCs w:val="0"/>
      <w:vanish w:val="0"/>
    </w:rPr>
  </w:style>
  <w:style w:type="paragraph" w:customStyle="1" w:styleId="Fuzeile3">
    <w:name w:val="Fußzeile3"/>
    <w:basedOn w:val="Footer"/>
    <w:pPr>
      <w:jc w:val="center"/>
    </w:pPr>
    <w:rPr>
      <w:vanish w:val="0"/>
      <w:sz w:val="26"/>
    </w:rPr>
  </w:style>
  <w:style w:type="paragraph" w:styleId="TOC1">
    <w:name w:val="toc 1"/>
    <w:basedOn w:val="Normal"/>
    <w:next w:val="Normal"/>
    <w:semiHidden/>
    <w:pPr>
      <w:keepNext/>
      <w:keepLines/>
      <w:tabs>
        <w:tab w:val="left" w:pos="1418"/>
        <w:tab w:val="right" w:leader="dot" w:pos="9638"/>
      </w:tabs>
      <w:overflowPunct/>
      <w:autoSpaceDE/>
      <w:autoSpaceDN/>
      <w:adjustRightInd/>
      <w:spacing w:before="240"/>
      <w:ind w:left="1418" w:right="707" w:hanging="1417"/>
      <w:textAlignment w:val="auto"/>
    </w:pPr>
    <w:rPr>
      <w:noProof/>
    </w:rPr>
  </w:style>
  <w:style w:type="paragraph" w:styleId="TOC3">
    <w:name w:val="toc 3"/>
    <w:basedOn w:val="TOC2"/>
    <w:next w:val="Normal"/>
    <w:semiHidden/>
    <w:pPr>
      <w:spacing w:before="0"/>
    </w:pPr>
  </w:style>
  <w:style w:type="paragraph" w:styleId="TOC4">
    <w:name w:val="toc 4"/>
    <w:basedOn w:val="TOC3"/>
    <w:next w:val="Normal"/>
    <w:semiHidden/>
  </w:style>
  <w:style w:type="paragraph" w:styleId="TOC5">
    <w:name w:val="toc 5"/>
    <w:basedOn w:val="TOC4"/>
    <w:next w:val="Normal"/>
    <w:semiHidden/>
  </w:style>
  <w:style w:type="paragraph" w:styleId="TOC6">
    <w:name w:val="toc 6"/>
    <w:basedOn w:val="TOC5"/>
    <w:next w:val="Normal"/>
    <w:semiHidden/>
  </w:style>
  <w:style w:type="paragraph" w:styleId="TOC9">
    <w:name w:val="toc 9"/>
    <w:basedOn w:val="Normal"/>
    <w:next w:val="Normal"/>
    <w:autoRedefine/>
    <w:semiHidden/>
    <w:pPr>
      <w:keepNext/>
      <w:keepLines/>
      <w:tabs>
        <w:tab w:val="left" w:pos="1418"/>
        <w:tab w:val="right" w:leader="dot" w:pos="9639"/>
      </w:tabs>
      <w:overflowPunct/>
      <w:autoSpaceDE/>
      <w:autoSpaceDN/>
      <w:adjustRightInd/>
      <w:spacing w:before="240"/>
      <w:ind w:left="1418" w:right="567" w:hanging="1418"/>
      <w:textAlignment w:val="auto"/>
      <w:outlineLvl w:val="8"/>
    </w:pPr>
    <w:rPr>
      <w:noProof/>
      <w:szCs w:val="24"/>
    </w:rPr>
  </w:style>
  <w:style w:type="paragraph" w:customStyle="1" w:styleId="BeschriftungTabelle">
    <w:name w:val="Beschriftung_Tabelle"/>
    <w:basedOn w:val="Caption"/>
    <w:pPr>
      <w:keepNext/>
      <w:keepLines/>
      <w:spacing w:after="0"/>
      <w:jc w:val="center"/>
    </w:pPr>
    <w:rPr>
      <w:sz w:val="18"/>
    </w:rPr>
  </w:style>
  <w:style w:type="paragraph" w:customStyle="1" w:styleId="BeschriftungBild">
    <w:name w:val="Beschriftung_Bild"/>
    <w:basedOn w:val="BeschriftungTabelle"/>
  </w:style>
  <w:style w:type="paragraph" w:customStyle="1" w:styleId="Bild">
    <w:name w:val="Bild"/>
    <w:basedOn w:val="Normal"/>
    <w:next w:val="BeschriftungBild"/>
    <w:pPr>
      <w:keepNext/>
      <w:keepLines/>
      <w:overflowPunct/>
      <w:autoSpaceDE/>
      <w:autoSpaceDN/>
      <w:adjustRightInd/>
      <w:jc w:val="center"/>
      <w:textAlignment w:val="auto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customStyle="1" w:styleId="HyperlinkSSB">
    <w:name w:val="Hyperlink_SSB"/>
    <w:basedOn w:val="Normal"/>
    <w:pPr>
      <w:keepNext/>
      <w:keepLines/>
      <w:tabs>
        <w:tab w:val="left" w:pos="426"/>
        <w:tab w:val="left" w:pos="851"/>
        <w:tab w:val="left" w:leader="dot" w:pos="7088"/>
      </w:tabs>
    </w:pPr>
    <w:rPr>
      <w:b/>
      <w:bCs/>
      <w:u w:val="single"/>
    </w:rPr>
  </w:style>
  <w:style w:type="paragraph" w:styleId="BodyText">
    <w:name w:val="Body Text"/>
    <w:basedOn w:val="Normal"/>
    <w:pPr>
      <w:jc w:val="center"/>
    </w:pPr>
    <w:rPr>
      <w:i/>
    </w:rPr>
  </w:style>
  <w:style w:type="paragraph" w:customStyle="1" w:styleId="AufzPunkt">
    <w:name w:val="AufzPunkt"/>
    <w:basedOn w:val="Normal"/>
    <w:pPr>
      <w:numPr>
        <w:numId w:val="11"/>
      </w:numPr>
      <w:spacing w:after="120"/>
      <w:ind w:left="568" w:hanging="284"/>
    </w:pPr>
  </w:style>
  <w:style w:type="paragraph" w:customStyle="1" w:styleId="Hinweistext">
    <w:name w:val="Hinweistext"/>
    <w:basedOn w:val="Normal"/>
    <w:pPr>
      <w:tabs>
        <w:tab w:val="left" w:pos="992"/>
      </w:tabs>
      <w:suppressAutoHyphens/>
      <w:ind w:left="992" w:hanging="992"/>
    </w:pPr>
    <w:rPr>
      <w:color w:val="0000FF"/>
      <w:sz w:val="18"/>
    </w:rPr>
  </w:style>
  <w:style w:type="paragraph" w:customStyle="1" w:styleId="AufzDokumente">
    <w:name w:val="AufzDokumente"/>
    <w:basedOn w:val="Normal"/>
    <w:autoRedefine/>
    <w:rsid w:val="00DF32B7"/>
    <w:pPr>
      <w:numPr>
        <w:numId w:val="13"/>
      </w:numPr>
      <w:tabs>
        <w:tab w:val="clear" w:pos="720"/>
      </w:tabs>
      <w:spacing w:after="120"/>
      <w:ind w:left="426" w:hanging="426"/>
      <w:jc w:val="left"/>
    </w:pPr>
    <w:rPr>
      <w:color w:val="000000" w:themeColor="text1"/>
    </w:rPr>
  </w:style>
  <w:style w:type="paragraph" w:customStyle="1" w:styleId="AufzSonstDoku">
    <w:name w:val="AufzSonstDoku"/>
    <w:basedOn w:val="Normal"/>
    <w:pPr>
      <w:numPr>
        <w:numId w:val="10"/>
      </w:numPr>
      <w:tabs>
        <w:tab w:val="clear" w:pos="720"/>
        <w:tab w:val="num" w:pos="284"/>
      </w:tabs>
      <w:spacing w:after="120"/>
      <w:ind w:left="284" w:hanging="284"/>
    </w:p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260C39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ifizierungNr">
    <w:name w:val="Notifizierung_Nr"/>
    <w:basedOn w:val="Fuzeile3"/>
    <w:rsid w:val="001778D0"/>
    <w:rPr>
      <w:b w:val="0"/>
      <w:bCs w:val="0"/>
      <w:vanish/>
    </w:rPr>
  </w:style>
  <w:style w:type="paragraph" w:styleId="BalloonText">
    <w:name w:val="Balloon Text"/>
    <w:basedOn w:val="Normal"/>
    <w:semiHidden/>
    <w:rsid w:val="001C54E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06B7E"/>
    <w:pPr>
      <w:ind w:left="142" w:hanging="142"/>
    </w:pPr>
    <w:rPr>
      <w:sz w:val="16"/>
    </w:rPr>
  </w:style>
  <w:style w:type="character" w:styleId="FootnoteReference">
    <w:name w:val="footnote reference"/>
    <w:semiHidden/>
    <w:rsid w:val="00206B7E"/>
    <w:rPr>
      <w:rFonts w:ascii="Tahoma" w:hAnsi="Tahoma"/>
      <w:sz w:val="18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F4A2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Theme="minorEastAsia" w:hAnsi="Times New Roman"/>
      <w:sz w:val="24"/>
      <w:szCs w:val="24"/>
    </w:rPr>
  </w:style>
  <w:style w:type="paragraph" w:styleId="Revision">
    <w:name w:val="Revision"/>
    <w:hidden/>
    <w:uiPriority w:val="99"/>
    <w:semiHidden/>
    <w:rsid w:val="00C92C9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sp-portal.intranet.intern.adns/orge/421/Documents/Dokumentvorlagen/www.bundesnetzagentur.de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sb@bnetza.de?subject=Popis%20rozhran&#237;..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E868F0985F24DA2F60A801C8ECF25" ma:contentTypeVersion="1" ma:contentTypeDescription="Ein neues Dokument erstellen." ma:contentTypeScope="" ma:versionID="78bdecbeea2ab5a124998467e97a69c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c6e23c278689328c8d8f644e9394df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Kurzbezeichnung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8E1C1-69D4-4175-B92A-BAC015E1A9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DCF1B0-C7EA-46D0-A9F1-7FF6F1AD1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545A0BF-98F4-4838-9191-7CA318D502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1126</Words>
  <Characters>6240</Characters>
  <Application>Microsoft Office Word</Application>
  <DocSecurity>0</DocSecurity>
  <Lines>312</Lines>
  <Paragraphs>141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SSB FE-OE 058</vt:lpstr>
    </vt:vector>
  </TitlesOfParts>
  <Manager>Oliver Gecke</Manager>
  <Company>Bundesnetzagentur</Company>
  <LinksUpToDate>false</LinksUpToDate>
  <CharactersWithSpaces>7225</CharactersWithSpaces>
  <SharedDoc>false</SharedDoc>
  <HLinks>
    <vt:vector size="12" baseType="variant">
      <vt:variant>
        <vt:i4>2424942</vt:i4>
      </vt:variant>
      <vt:variant>
        <vt:i4>3</vt:i4>
      </vt:variant>
      <vt:variant>
        <vt:i4>0</vt:i4>
      </vt:variant>
      <vt:variant>
        <vt:i4>5</vt:i4>
      </vt:variant>
      <vt:variant>
        <vt:lpwstr>http://sp-portal.intranet.intern.adns/orge/421/Documents/Dokumentvorlagen/www.bundesnetzagentur.de</vt:lpwstr>
      </vt:variant>
      <vt:variant>
        <vt:lpwstr/>
      </vt:variant>
      <vt:variant>
        <vt:i4>1966135</vt:i4>
      </vt:variant>
      <vt:variant>
        <vt:i4>0</vt:i4>
      </vt:variant>
      <vt:variant>
        <vt:i4>0</vt:i4>
      </vt:variant>
      <vt:variant>
        <vt:i4>5</vt:i4>
      </vt:variant>
      <vt:variant>
        <vt:lpwstr>mailto:ssb@bnetza.de?subject=Schnitstellenbeschreibung%20...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SSB FE-OE 058</dc:title>
  <dc:subject>Schnittstellenbeschreibung für Richtfunkanlagen im 6,2 GHz-Bereich (L6) (Punkt-zu-Punkt)</dc:subject>
  <dc:creator>Bundesnetzagentur</dc:creator>
  <cp:keywords>class='Internal'</cp:keywords>
  <dc:description/>
  <cp:lastModifiedBy>Ragnhild Efraimsson</cp:lastModifiedBy>
  <cp:revision>2</cp:revision>
  <cp:lastPrinted>2020-01-16T11:50:00Z</cp:lastPrinted>
  <dcterms:created xsi:type="dcterms:W3CDTF">2022-12-13T09:53:00Z</dcterms:created>
  <dcterms:modified xsi:type="dcterms:W3CDTF">2022-12-13T09:53:00Z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teilung">
    <vt:lpwstr>4</vt:lpwstr>
  </property>
  <property fmtid="{D5CDD505-2E9C-101B-9397-08002B2CF9AE}" pid="3" name="Bearbeiter">
    <vt:lpwstr>421-1b</vt:lpwstr>
  </property>
  <property fmtid="{D5CDD505-2E9C-101B-9397-08002B2CF9AE}" pid="4" name="Erstellt von">
    <vt:lpwstr>421-1b</vt:lpwstr>
  </property>
  <property fmtid="{D5CDD505-2E9C-101B-9397-08002B2CF9AE}" pid="5" name="Herausgeber">
    <vt:lpwstr>421-1b</vt:lpwstr>
  </property>
  <property fmtid="{D5CDD505-2E9C-101B-9397-08002B2CF9AE}" pid="6" name="Status">
    <vt:lpwstr>Release</vt:lpwstr>
  </property>
  <property fmtid="{D5CDD505-2E9C-101B-9397-08002B2CF9AE}" pid="7" name="Version">
    <vt:lpwstr>3.0.18.0208</vt:lpwstr>
  </property>
  <property fmtid="{D5CDD505-2E9C-101B-9397-08002B2CF9AE}" pid="8" name="Ausgabedatum">
    <vt:filetime>2011-01-20T23:00:00Z</vt:filetime>
  </property>
  <property fmtid="{D5CDD505-2E9C-101B-9397-08002B2CF9AE}" pid="9" name="ContentTypeId">
    <vt:lpwstr>0x01010010EE868F0985F24DA2F60A801C8ECF25</vt:lpwstr>
  </property>
</Properties>
</file>