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7133A" w14:textId="77777777" w:rsidR="0000330D" w:rsidRDefault="0000330D" w:rsidP="000033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/>
          <w:sz w:val="20"/>
        </w:rPr>
        <w:t> </w:t>
      </w:r>
    </w:p>
    <w:p w14:paraId="6CA9779A" w14:textId="77777777" w:rsidR="00E6020A" w:rsidRPr="008542C3" w:rsidRDefault="00E6020A" w:rsidP="000033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</w:rPr>
      </w:pPr>
      <w:r>
        <w:rPr>
          <w:rStyle w:val="normaltextrun"/>
          <w:rFonts w:ascii="Palatino Linotype" w:hAnsi="Palatino Linotype"/>
          <w:b/>
          <w:color w:val="000000"/>
        </w:rPr>
        <w:t>Przepisy dotyczące automatycznych systemów ważenia stosowanych przy wyładunku ryb</w:t>
      </w:r>
    </w:p>
    <w:p w14:paraId="3C5E3F7D" w14:textId="77777777" w:rsidR="00E6020A" w:rsidRPr="008542C3" w:rsidRDefault="0000330D" w:rsidP="000033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alatino Linotype" w:hAnsi="Palatino Linotype" w:cs="Segoe UI"/>
          <w:color w:val="000000"/>
        </w:rPr>
      </w:pPr>
      <w:r>
        <w:rPr>
          <w:rStyle w:val="bcx9"/>
          <w:rFonts w:ascii="Calibri" w:hAnsi="Calibri"/>
          <w:b/>
          <w:sz w:val="22"/>
        </w:rPr>
        <w:t> </w:t>
      </w:r>
      <w:r>
        <w:rPr>
          <w:rFonts w:ascii="Calibri" w:hAnsi="Calibri"/>
          <w:b/>
          <w:sz w:val="22"/>
        </w:rPr>
        <w:br/>
      </w:r>
      <w:r>
        <w:rPr>
          <w:rStyle w:val="normaltextrun"/>
          <w:rFonts w:ascii="Palatino Linotype" w:hAnsi="Palatino Linotype"/>
        </w:rPr>
        <w:t xml:space="preserve">przyjęte przez Norweski Urząd Metrologiczny </w:t>
      </w:r>
      <w:r>
        <w:rPr>
          <w:rStyle w:val="normaltextrun"/>
          <w:rFonts w:ascii="Palatino Linotype" w:hAnsi="Palatino Linotype"/>
          <w:color w:val="000000"/>
        </w:rPr>
        <w:t xml:space="preserve">[...] </w:t>
      </w:r>
      <w:r>
        <w:rPr>
          <w:rStyle w:val="normaltextrun"/>
          <w:rFonts w:ascii="Palatino Linotype" w:hAnsi="Palatino Linotype"/>
        </w:rPr>
        <w:t xml:space="preserve"> zgodnie </w:t>
      </w:r>
      <w:r>
        <w:rPr>
          <w:rStyle w:val="normaltextrun"/>
          <w:rFonts w:ascii="Palatino Linotype" w:hAnsi="Palatino Linotype"/>
          <w:color w:val="000000"/>
        </w:rPr>
        <w:t xml:space="preserve">§ 7 i § 10 ustawy nr 4 z dnia 26 stycznia 2007 r. o jednostkach miary, pomiarach i czasie standardowym, oraz § 4-5arozporządzenia </w:t>
      </w:r>
      <w:r>
        <w:rPr>
          <w:rStyle w:val="normaltextrun"/>
          <w:rFonts w:ascii="Palatino Linotype" w:hAnsi="Palatino Linotype"/>
        </w:rPr>
        <w:t xml:space="preserve"> nr 1723 z dnia 20 grudnia 2007 r. w sprawie jednostek miary i pomiarów.</w:t>
      </w:r>
      <w:r>
        <w:rPr>
          <w:rStyle w:val="normaltextrun"/>
          <w:rFonts w:ascii="Palatino Linotype" w:hAnsi="Palatino Linotype"/>
          <w:color w:val="000000"/>
        </w:rPr>
        <w:t xml:space="preserve"> </w:t>
      </w:r>
    </w:p>
    <w:p w14:paraId="06B671A9" w14:textId="77777777" w:rsidR="00E6020A" w:rsidRPr="005F7B8C" w:rsidRDefault="00E6020A" w:rsidP="0000330D">
      <w:pPr>
        <w:pStyle w:val="paragraph"/>
        <w:spacing w:before="0" w:beforeAutospacing="0" w:after="0" w:afterAutospacing="0"/>
        <w:textAlignment w:val="baseline"/>
        <w:rPr>
          <w:rStyle w:val="fontstyle31"/>
        </w:rPr>
      </w:pPr>
    </w:p>
    <w:p w14:paraId="20330C4E" w14:textId="77777777" w:rsidR="00003D0E" w:rsidRPr="008542C3" w:rsidRDefault="00003D0E" w:rsidP="000033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alatino Linotype" w:hAnsi="Palatino Linotype" w:cs="Segoe UI"/>
          <w:b/>
        </w:rPr>
      </w:pPr>
      <w:r>
        <w:rPr>
          <w:rFonts w:ascii="ArialMT" w:hAnsi="ArialMT"/>
          <w:color w:val="333333"/>
        </w:rPr>
        <w:br/>
      </w:r>
      <w:r>
        <w:rPr>
          <w:rStyle w:val="normaltextrun"/>
          <w:rFonts w:ascii="Palatino Linotype" w:hAnsi="Palatino Linotype"/>
          <w:b/>
        </w:rPr>
        <w:t>Rozdział 1 – Przepisy wstępne</w:t>
      </w:r>
    </w:p>
    <w:p w14:paraId="616BD0BE" w14:textId="77777777" w:rsidR="00371CFB" w:rsidRPr="008542C3" w:rsidRDefault="00371CFB" w:rsidP="00371CFB">
      <w:pPr>
        <w:pStyle w:val="paragraph"/>
        <w:spacing w:after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</w:rPr>
      </w:pPr>
      <w:r>
        <w:rPr>
          <w:rStyle w:val="normaltextrun"/>
          <w:rFonts w:ascii="Palatino Linotype" w:hAnsi="Palatino Linotype"/>
          <w:b/>
          <w:color w:val="000000"/>
        </w:rPr>
        <w:t>§ 1. Zakres</w:t>
      </w:r>
    </w:p>
    <w:p w14:paraId="00340303" w14:textId="77777777" w:rsidR="00371CFB" w:rsidRPr="008542C3" w:rsidRDefault="00371CFB" w:rsidP="004D03F8">
      <w:pPr>
        <w:pStyle w:val="paragraph"/>
        <w:spacing w:after="0"/>
        <w:ind w:firstLine="708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t>Przepisy określają wymogi dotyczące automatycznych systemów ważenia stosowanych przy wyładunku ryb.</w:t>
      </w:r>
    </w:p>
    <w:p w14:paraId="66643279" w14:textId="77777777" w:rsidR="00371CFB" w:rsidRPr="008542C3" w:rsidRDefault="00371CFB" w:rsidP="004D03F8">
      <w:pPr>
        <w:pStyle w:val="paragraph"/>
        <w:spacing w:after="0"/>
        <w:ind w:firstLine="708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t>Wymogi dotyczące automatycznego systemu ważenia oraz wymogi dotyczące danych z ważenia i danych o zdarzeniach w systemie ważenia, które mają być przechowywane i przekazywane do Dyrekcji ds. Rybołówstwa, wynikają z przepisów z dnia 6 maja 2014 r. nr 607 w kwitu wyładunkowego i rozliczeniowego (przepisy dotyczące wyładunku).</w:t>
      </w:r>
    </w:p>
    <w:p w14:paraId="2CF1487E" w14:textId="77777777" w:rsidR="00371CFB" w:rsidRPr="008542C3" w:rsidRDefault="00371CFB" w:rsidP="004D03F8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t>Jeżeli udzielono odstępstwa na art. 6a przepisów dotyczących wyładunku, wymogi określone w art. 5-7 przepisów nie mają zastosowania w tym przypadku.</w:t>
      </w:r>
    </w:p>
    <w:p w14:paraId="3F76C74A" w14:textId="77777777" w:rsidR="00371CFB" w:rsidRPr="005F7B8C" w:rsidRDefault="00371CFB" w:rsidP="00371C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</w:rPr>
      </w:pPr>
    </w:p>
    <w:p w14:paraId="4AC84098" w14:textId="77777777" w:rsidR="0000330D" w:rsidRPr="008542C3" w:rsidRDefault="00371CFB" w:rsidP="00371C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</w:rPr>
      </w:pPr>
      <w:r>
        <w:rPr>
          <w:rStyle w:val="normaltextrun"/>
          <w:rFonts w:ascii="Palatino Linotype" w:hAnsi="Palatino Linotype"/>
          <w:b/>
          <w:color w:val="000000"/>
        </w:rPr>
        <w:t>§ 2. Definicje.</w:t>
      </w:r>
    </w:p>
    <w:p w14:paraId="7F62D178" w14:textId="77777777" w:rsidR="004D03F8" w:rsidRPr="008542C3" w:rsidRDefault="004D03F8" w:rsidP="004D03F8">
      <w:pPr>
        <w:pStyle w:val="paragraph"/>
        <w:spacing w:after="0"/>
        <w:ind w:firstLine="708"/>
        <w:textAlignment w:val="baseline"/>
        <w:rPr>
          <w:rStyle w:val="eop"/>
          <w:rFonts w:ascii="Palatino Linotype" w:hAnsi="Palatino Linotype" w:cs="Segoe UI"/>
          <w:color w:val="000000"/>
        </w:rPr>
      </w:pPr>
      <w:r>
        <w:rPr>
          <w:rStyle w:val="eop"/>
          <w:rFonts w:ascii="Palatino Linotype" w:hAnsi="Palatino Linotype"/>
          <w:color w:val="000000"/>
        </w:rPr>
        <w:t>Ryby oznaczają dzikie zasoby morskie i ich produkty, z wyjątkiem łososiowatych anadromicznych.</w:t>
      </w:r>
    </w:p>
    <w:p w14:paraId="0D0AE906" w14:textId="77777777" w:rsidR="004D03F8" w:rsidRPr="008542C3" w:rsidRDefault="004D03F8" w:rsidP="004D03F8">
      <w:pPr>
        <w:pStyle w:val="paragraph"/>
        <w:spacing w:after="0"/>
        <w:ind w:firstLine="708"/>
        <w:textAlignment w:val="baseline"/>
        <w:rPr>
          <w:rStyle w:val="eop"/>
          <w:rFonts w:ascii="Palatino Linotype" w:hAnsi="Palatino Linotype" w:cs="Segoe UI"/>
          <w:color w:val="000000"/>
        </w:rPr>
      </w:pPr>
      <w:r>
        <w:rPr>
          <w:rStyle w:val="eop"/>
          <w:rFonts w:ascii="Palatino Linotype" w:hAnsi="Palatino Linotype"/>
          <w:color w:val="000000"/>
        </w:rPr>
        <w:t>Przez wyładunek rozumie się wszystkie przypadki, w których ryby są wyładowywane ze statków rybackich, w tym przeładunek i rozładunek ryb ze statków przewożących przeładowywane ryby, a także wyładowywanie ryb z luków/klatek/worków/. W ramach wyładunku uwzględnia się natychmiastowe patroszenie ryb dennych.</w:t>
      </w:r>
    </w:p>
    <w:p w14:paraId="769A4B8A" w14:textId="77777777" w:rsidR="004D03F8" w:rsidRPr="008542C3" w:rsidRDefault="004D03F8" w:rsidP="004D03F8">
      <w:pPr>
        <w:pStyle w:val="paragraph"/>
        <w:spacing w:after="0"/>
        <w:ind w:firstLine="708"/>
        <w:textAlignment w:val="baseline"/>
        <w:rPr>
          <w:rStyle w:val="eop"/>
          <w:rFonts w:ascii="Palatino Linotype" w:hAnsi="Palatino Linotype" w:cs="Segoe UI"/>
          <w:color w:val="000000"/>
        </w:rPr>
      </w:pPr>
      <w:r>
        <w:rPr>
          <w:rStyle w:val="eop"/>
          <w:rFonts w:ascii="Palatino Linotype" w:hAnsi="Palatino Linotype"/>
          <w:color w:val="000000"/>
        </w:rPr>
        <w:t>Przez automatyczny system ważenia rozumie się system składający się z jednej lub większej liczby wag i innych elementów niezbędnych do zapewnienia automatycznego przechowywania i przekazywania danych dotyczących ważenia i danych dotyczących zdarzeń w systemie ważenia, które mogą mieć wpływ na wynik ważenia.</w:t>
      </w:r>
    </w:p>
    <w:p w14:paraId="1850EE76" w14:textId="77777777" w:rsidR="004D03F8" w:rsidRPr="008542C3" w:rsidRDefault="004D03F8" w:rsidP="0088015B">
      <w:pPr>
        <w:pStyle w:val="paragraph"/>
        <w:spacing w:after="0"/>
        <w:textAlignment w:val="baseline"/>
        <w:rPr>
          <w:rStyle w:val="eop"/>
          <w:rFonts w:ascii="Palatino Linotype" w:hAnsi="Palatino Linotype" w:cs="Segoe UI"/>
          <w:color w:val="000000"/>
        </w:rPr>
      </w:pPr>
      <w:r>
        <w:rPr>
          <w:rStyle w:val="eop"/>
          <w:rFonts w:ascii="Palatino Linotype" w:hAnsi="Palatino Linotype"/>
          <w:color w:val="000000"/>
        </w:rPr>
        <w:t xml:space="preserve"> </w:t>
      </w:r>
      <w:r>
        <w:rPr>
          <w:rStyle w:val="eop"/>
          <w:rFonts w:ascii="Palatino Linotype" w:hAnsi="Palatino Linotype"/>
          <w:color w:val="000000"/>
        </w:rPr>
        <w:tab/>
        <w:t>Przez automatyczne oznacza się, że proces odbywa się bez interwencji operatora.</w:t>
      </w:r>
    </w:p>
    <w:p w14:paraId="3D149541" w14:textId="77777777" w:rsidR="004D03F8" w:rsidRPr="008542C3" w:rsidRDefault="004D03F8" w:rsidP="004D03F8">
      <w:pPr>
        <w:pStyle w:val="paragraph"/>
        <w:spacing w:after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</w:rPr>
      </w:pPr>
      <w:r>
        <w:rPr>
          <w:rStyle w:val="normaltextrun"/>
          <w:rFonts w:ascii="Palatino Linotype" w:hAnsi="Palatino Linotype"/>
          <w:b/>
          <w:color w:val="000000"/>
        </w:rPr>
        <w:lastRenderedPageBreak/>
        <w:t>§ 3. Kto jest odpowiedzialny</w:t>
      </w:r>
    </w:p>
    <w:p w14:paraId="59AEAA97" w14:textId="77777777" w:rsidR="004D03F8" w:rsidRPr="008542C3" w:rsidRDefault="004D03F8" w:rsidP="004D03F8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t>Użytkownik automatycznego systemu ważenia jest odpowiedzialny za zapewnienie przestrzegania wymogów określonych w rozdziale 2 niniejszych przepisów. Użytkownik jest również odpowiedzialny za zapewnienie dostępności dokumentacji technicznej niezbędnej do oceny, czy wymagania zostały spełnione.</w:t>
      </w:r>
    </w:p>
    <w:p w14:paraId="1CD343BD" w14:textId="77777777" w:rsidR="004D03F8" w:rsidRPr="005F7B8C" w:rsidRDefault="004D03F8" w:rsidP="000033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</w:rPr>
      </w:pPr>
    </w:p>
    <w:p w14:paraId="6FDA7E2D" w14:textId="77777777" w:rsidR="004D03F8" w:rsidRPr="008542C3" w:rsidRDefault="004D03F8" w:rsidP="00665E58">
      <w:pPr>
        <w:pStyle w:val="paragraph"/>
        <w:spacing w:after="0"/>
        <w:textAlignment w:val="baseline"/>
        <w:rPr>
          <w:rStyle w:val="eop"/>
          <w:rFonts w:ascii="Palatino Linotype" w:hAnsi="Palatino Linotype" w:cs="Segoe UI"/>
          <w:color w:val="000000"/>
        </w:rPr>
      </w:pPr>
      <w:r>
        <w:rPr>
          <w:rStyle w:val="eop"/>
          <w:rFonts w:ascii="Palatino Linotype" w:hAnsi="Palatino Linotype"/>
          <w:b/>
          <w:color w:val="000000"/>
        </w:rPr>
        <w:t xml:space="preserve">§ 4. Wymagania dla producentów itp. </w:t>
      </w:r>
    </w:p>
    <w:p w14:paraId="2C27805B" w14:textId="77777777" w:rsidR="0000330D" w:rsidRPr="008542C3" w:rsidRDefault="004D03F8" w:rsidP="00665E58">
      <w:pPr>
        <w:pStyle w:val="paragraph"/>
        <w:spacing w:before="0" w:beforeAutospacing="0" w:after="0" w:afterAutospacing="0"/>
        <w:ind w:firstLine="708"/>
        <w:textAlignment w:val="baseline"/>
        <w:rPr>
          <w:rStyle w:val="eop"/>
          <w:rFonts w:ascii="Palatino Linotype" w:hAnsi="Palatino Linotype" w:cs="Segoe UI"/>
          <w:color w:val="000000"/>
        </w:rPr>
      </w:pPr>
      <w:r>
        <w:rPr>
          <w:rStyle w:val="eop"/>
          <w:rFonts w:ascii="Palatino Linotype" w:hAnsi="Palatino Linotype"/>
          <w:color w:val="000000"/>
        </w:rPr>
        <w:t>Każdy producent wag wykorzystywanych podczas wyładunku ryb, dostępnych na rynku, powiadamia Norweski Urząd Metrologiczny o tożsamości kupującego, jak również o rodzaju wagi, miejscu użytkowania i celu użytkowania. </w:t>
      </w:r>
    </w:p>
    <w:p w14:paraId="0273EE37" w14:textId="77777777" w:rsidR="00665E58" w:rsidRPr="005F7B8C" w:rsidRDefault="00665E58" w:rsidP="00665E58">
      <w:pPr>
        <w:pStyle w:val="paragraph"/>
        <w:spacing w:before="0" w:beforeAutospacing="0" w:after="0" w:afterAutospacing="0"/>
        <w:textAlignment w:val="baseline"/>
        <w:rPr>
          <w:rStyle w:val="eop"/>
          <w:rFonts w:ascii="Palatino Linotype" w:hAnsi="Palatino Linotype" w:cs="Segoe UI"/>
          <w:color w:val="000000"/>
        </w:rPr>
      </w:pPr>
    </w:p>
    <w:p w14:paraId="34866E93" w14:textId="77777777" w:rsidR="00665E58" w:rsidRPr="008542C3" w:rsidRDefault="00665E58" w:rsidP="00665E58">
      <w:pPr>
        <w:pStyle w:val="paragraph"/>
        <w:spacing w:after="0"/>
        <w:textAlignment w:val="baseline"/>
        <w:rPr>
          <w:rStyle w:val="eop"/>
          <w:rFonts w:ascii="Palatino Linotype" w:hAnsi="Palatino Linotype" w:cs="Segoe UI"/>
          <w:color w:val="000000"/>
        </w:rPr>
      </w:pPr>
      <w:r>
        <w:rPr>
          <w:rStyle w:val="eop"/>
          <w:rFonts w:ascii="Palatino Linotype" w:hAnsi="Palatino Linotype"/>
          <w:b/>
          <w:color w:val="000000"/>
        </w:rPr>
        <w:t>Rozdział 2 - Wymagania dotyczące automatycznych systemów ważenia</w:t>
      </w:r>
      <w:r>
        <w:rPr>
          <w:rStyle w:val="eop"/>
          <w:rFonts w:ascii="Palatino Linotype" w:hAnsi="Palatino Linotype"/>
          <w:color w:val="000000"/>
        </w:rPr>
        <w:t xml:space="preserve"> </w:t>
      </w:r>
    </w:p>
    <w:p w14:paraId="244CD8E5" w14:textId="77777777" w:rsidR="00665E58" w:rsidRPr="008542C3" w:rsidRDefault="00665E58" w:rsidP="00665E58">
      <w:pPr>
        <w:pStyle w:val="paragraph"/>
        <w:spacing w:after="0"/>
        <w:textAlignment w:val="baseline"/>
        <w:rPr>
          <w:rStyle w:val="eop"/>
          <w:rFonts w:ascii="Palatino Linotype" w:hAnsi="Palatino Linotype" w:cs="Segoe UI"/>
          <w:b/>
          <w:color w:val="000000"/>
        </w:rPr>
      </w:pPr>
      <w:r>
        <w:rPr>
          <w:rStyle w:val="eop"/>
          <w:rFonts w:ascii="Palatino Linotype" w:hAnsi="Palatino Linotype"/>
          <w:b/>
          <w:color w:val="000000"/>
        </w:rPr>
        <w:t>§ 5. Przechowywanie i przekazywanie danych</w:t>
      </w:r>
    </w:p>
    <w:p w14:paraId="33298B5B" w14:textId="77777777" w:rsidR="00665E58" w:rsidRPr="008542C3" w:rsidRDefault="00665E58" w:rsidP="00665E58">
      <w:pPr>
        <w:pStyle w:val="paragraph"/>
        <w:spacing w:after="0"/>
        <w:ind w:firstLine="708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Palatino Linotype" w:hAnsi="Palatino Linotype"/>
          <w:color w:val="000000"/>
        </w:rPr>
        <w:t>System ważenia zapewnia automatyczne przechowywanie i przesyłanie danych dotyczących ważenia, a także automatyczne przechowywanie i przekazywanie danych dotyczących zdarzeń w układzie ważenia, które mogą mieć wpływ na wynik ważenia.</w:t>
      </w:r>
    </w:p>
    <w:p w14:paraId="5BD3E472" w14:textId="77777777" w:rsidR="005022D1" w:rsidRPr="008542C3" w:rsidRDefault="005022D1" w:rsidP="008801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</w:rPr>
      </w:pPr>
      <w:r>
        <w:rPr>
          <w:rStyle w:val="normaltextrun"/>
          <w:rFonts w:ascii="Palatino Linotype" w:hAnsi="Palatino Linotype"/>
          <w:b/>
          <w:color w:val="000000"/>
        </w:rPr>
        <w:t>§ 6. Obsługa błędów</w:t>
      </w:r>
    </w:p>
    <w:p w14:paraId="6AEFC0B4" w14:textId="77777777" w:rsidR="0088015B" w:rsidRPr="005F7B8C" w:rsidRDefault="0088015B" w:rsidP="0088015B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</w:rPr>
      </w:pPr>
    </w:p>
    <w:p w14:paraId="0AC0AAB0" w14:textId="77777777" w:rsidR="005022D1" w:rsidRPr="008542C3" w:rsidRDefault="005022D1" w:rsidP="005022D1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t>System ważenia posiada funkcje przechowywania i przekazywania informacji o błędach występujących podczas używania wagi. System ważenia musi również posiadać zintegrowaną funkcję umożliwiającą zgłaszanie, poprawianie i przedkładanie nowej wersji w przypadku błędów i pominięć w przesyłanych danych. Zmiana już zarejestrowanych danych nie może być możliwa.</w:t>
      </w:r>
    </w:p>
    <w:p w14:paraId="1C60C7A1" w14:textId="77777777" w:rsidR="005022D1" w:rsidRPr="008542C3" w:rsidRDefault="005022D1" w:rsidP="005022D1">
      <w:pPr>
        <w:pStyle w:val="paragraph"/>
        <w:spacing w:after="0"/>
        <w:jc w:val="both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  <w:b/>
          <w:color w:val="000000"/>
        </w:rPr>
        <w:t>§ 7. Jakość danych, integralność i dostępność danych</w:t>
      </w:r>
    </w:p>
    <w:p w14:paraId="47D72CFA" w14:textId="77777777" w:rsidR="005022D1" w:rsidRPr="008542C3" w:rsidRDefault="005022D1" w:rsidP="005022D1">
      <w:pPr>
        <w:pStyle w:val="paragraph"/>
        <w:spacing w:after="0"/>
        <w:ind w:firstLine="708"/>
        <w:jc w:val="both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t>System ważenia musi zapewniać wysoką jakość danych i integralność danych. Elementy i oprogramowanie systemu ważenia, które mają kluczowe znaczenie dla przechowywania danych ważących i zdarzeń w systemie ważenia, są zaprojektowane w taki sposób, aby były zabezpieczone przed naruszeniem i niezamierzonym niewłaściwym użyciem. Zastosowane środki bezpieczeństwa muszą umożliwiać udowodnienie, czy interwencja miała miejsce. Wszystkie incydenty i informacje o zakończonych ważeniach muszą być przechowywane wraz z bezpiecznym znacznikiem czasu.</w:t>
      </w:r>
    </w:p>
    <w:p w14:paraId="24E54338" w14:textId="77777777" w:rsidR="005022D1" w:rsidRPr="008542C3" w:rsidRDefault="005022D1" w:rsidP="005022D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lastRenderedPageBreak/>
        <w:t>Przechowywane dane ważenia i dane o zdarzeniach wagowych muszą być zabezpieczone, aby dane nie zostały utracone.</w:t>
      </w:r>
    </w:p>
    <w:p w14:paraId="0A50915D" w14:textId="77777777" w:rsidR="005022D1" w:rsidRPr="008542C3" w:rsidRDefault="0000330D" w:rsidP="005022D1">
      <w:pPr>
        <w:pStyle w:val="paragraph"/>
        <w:spacing w:before="0" w:beforeAutospacing="0" w:after="0" w:afterAutospacing="0"/>
        <w:textAlignment w:val="baseline"/>
        <w:rPr>
          <w:rStyle w:val="eop"/>
          <w:rFonts w:ascii="Palatino Linotype" w:hAnsi="Palatino Linotype" w:cs="Segoe UI"/>
          <w:color w:val="000000"/>
        </w:rPr>
      </w:pPr>
      <w:r>
        <w:rPr>
          <w:rStyle w:val="eop"/>
          <w:rFonts w:ascii="Palatino Linotype" w:hAnsi="Palatino Linotype"/>
          <w:color w:val="000000"/>
        </w:rPr>
        <w:t> </w:t>
      </w:r>
    </w:p>
    <w:p w14:paraId="4FE56457" w14:textId="77777777" w:rsidR="005022D1" w:rsidRPr="008542C3" w:rsidRDefault="005022D1" w:rsidP="005022D1">
      <w:pPr>
        <w:pStyle w:val="paragraph"/>
        <w:spacing w:before="0" w:beforeAutospacing="0" w:after="0" w:afterAutospacing="0"/>
        <w:textAlignment w:val="baseline"/>
        <w:rPr>
          <w:rFonts w:ascii="Palatino Linotype" w:hAnsi="Palatino Linotype" w:cs="Segoe UI"/>
          <w:b/>
        </w:rPr>
      </w:pPr>
      <w:r>
        <w:rPr>
          <w:rFonts w:ascii="Palatino Linotype" w:hAnsi="Palatino Linotype"/>
          <w:b/>
        </w:rPr>
        <w:t>§ 8. Wymogi dotyczące wag w systemie ważenia</w:t>
      </w:r>
    </w:p>
    <w:p w14:paraId="2E47495B" w14:textId="77777777" w:rsidR="005022D1" w:rsidRPr="008542C3" w:rsidRDefault="005022D1" w:rsidP="005022D1">
      <w:pPr>
        <w:pStyle w:val="paragraph"/>
        <w:spacing w:after="0"/>
        <w:ind w:firstLine="705"/>
        <w:textAlignment w:val="baseline"/>
        <w:rPr>
          <w:rFonts w:ascii="Palatino Linotype" w:hAnsi="Palatino Linotype" w:cs="Segoe UI"/>
        </w:rPr>
      </w:pPr>
      <w:r>
        <w:rPr>
          <w:rFonts w:ascii="Palatino Linotype" w:hAnsi="Palatino Linotype"/>
        </w:rPr>
        <w:t xml:space="preserve">Waga stosowana przy wyładunku ryb musi być być wyposażona w główny wyświetlaczu, tak aby fizycznie możliwy był odczyt m.in. ważonych ilości itp. oraz obsługa w sposób ciągły i bezpośredni, a jednocześnie monitorowanie aktywności na wadze lub wokół niej. </w:t>
      </w:r>
    </w:p>
    <w:p w14:paraId="7FD5E32C" w14:textId="77777777" w:rsidR="005022D1" w:rsidRPr="008542C3" w:rsidRDefault="005022D1" w:rsidP="005022D1">
      <w:pPr>
        <w:pStyle w:val="paragraph"/>
        <w:spacing w:after="0"/>
        <w:ind w:firstLine="705"/>
        <w:textAlignment w:val="baseline"/>
        <w:rPr>
          <w:rFonts w:ascii="Palatino Linotype" w:hAnsi="Palatino Linotype" w:cs="Segoe UI"/>
        </w:rPr>
      </w:pPr>
      <w:r>
        <w:rPr>
          <w:rFonts w:ascii="Palatino Linotype" w:hAnsi="Palatino Linotype"/>
        </w:rPr>
        <w:t>Ważona ilość wyładowanych ryb musi być możliwa do odczytu w sposób ciągły. Użytkownik musi mieć możliwość natychmiastowego powrotu do trybu odczytu z innych opcji menu.</w:t>
      </w:r>
    </w:p>
    <w:p w14:paraId="4B791B40" w14:textId="77777777" w:rsidR="00E77317" w:rsidRPr="008542C3" w:rsidRDefault="005022D1" w:rsidP="005022D1">
      <w:pPr>
        <w:pStyle w:val="paragraph"/>
        <w:spacing w:before="0" w:beforeAutospacing="0" w:after="0" w:afterAutospacing="0"/>
        <w:ind w:firstLine="705"/>
        <w:textAlignment w:val="baseline"/>
        <w:rPr>
          <w:rFonts w:ascii="Palatino Linotype" w:hAnsi="Palatino Linotype" w:cs="Segoe UI"/>
        </w:rPr>
      </w:pPr>
      <w:r>
        <w:rPr>
          <w:rFonts w:ascii="Palatino Linotype" w:hAnsi="Palatino Linotype"/>
        </w:rPr>
        <w:t>Wagi są wyposażone w mechanizmy zabezpieczające, określone w dokumencie badania typu. W przypadku stosowania plomb fizycznych muszą one nosić niepowtarzalne znaki identyfikacyjny.</w:t>
      </w:r>
    </w:p>
    <w:p w14:paraId="0017414B" w14:textId="77777777" w:rsidR="005022D1" w:rsidRPr="008542C3" w:rsidRDefault="005022D1" w:rsidP="005022D1">
      <w:pPr>
        <w:pStyle w:val="paragraph"/>
        <w:spacing w:after="0"/>
        <w:textAlignment w:val="baseline"/>
        <w:rPr>
          <w:rStyle w:val="normaltextrun"/>
          <w:rFonts w:ascii="Palatino Linotype" w:hAnsi="Palatino Linotype" w:cs="Segoe UI"/>
          <w:b/>
          <w:bCs/>
          <w:color w:val="000000"/>
        </w:rPr>
      </w:pPr>
      <w:r>
        <w:rPr>
          <w:rStyle w:val="normaltextrun"/>
          <w:rFonts w:ascii="Palatino Linotype" w:hAnsi="Palatino Linotype"/>
          <w:b/>
          <w:color w:val="000000"/>
        </w:rPr>
        <w:t>§ 9. Dodatkowe wymagania dotyczące automatycznych wag</w:t>
      </w:r>
    </w:p>
    <w:p w14:paraId="173081F6" w14:textId="77777777" w:rsidR="005022D1" w:rsidRPr="008542C3" w:rsidRDefault="005022D1" w:rsidP="005022D1">
      <w:pPr>
        <w:pStyle w:val="paragraph"/>
        <w:spacing w:after="0"/>
        <w:ind w:firstLine="708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t>Automatyczna waga musi być wyposażona w co najmniej jeden wyświetlacz dodatkowy, który wskazuje wynik ważenia z głównego wyświetlacza. Wyświetlacz dodatkowy nie powinien mieć funkcji, które mogą wpływać na wynik ważenia. Wyświetlacz dodatkowy musi mieć taką samą rozdzielczość jak główny wyświetlacz.</w:t>
      </w:r>
    </w:p>
    <w:p w14:paraId="3AF6782F" w14:textId="77777777" w:rsidR="005022D1" w:rsidRPr="008542C3" w:rsidRDefault="005022D1" w:rsidP="005022D1">
      <w:pPr>
        <w:pStyle w:val="paragraph"/>
        <w:spacing w:after="0"/>
        <w:ind w:firstLine="708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t>Waga automatyczna musi być wyposażona w więcej niż jeden licznik, przy czym jeden musi być licznikiem całkowitej liczby ważeń, który działa w sposób ciągły i nie może zostać zresetowany.</w:t>
      </w:r>
    </w:p>
    <w:p w14:paraId="1C6D84F4" w14:textId="77777777" w:rsidR="005022D1" w:rsidRPr="008542C3" w:rsidRDefault="005022D1" w:rsidP="005022D1">
      <w:pPr>
        <w:pStyle w:val="paragraph"/>
        <w:spacing w:after="0"/>
        <w:ind w:firstLine="708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t>Waga automatyczna musi mieć funkcję wykrywania błędów możliwych do wykrycia. W przypadku wykrycia takiego błędu podawanie ryb na wagę zostaje automatycznie zatrzymane.</w:t>
      </w:r>
      <w:r>
        <w:rPr>
          <w:rStyle w:val="normaltextrun"/>
          <w:rFonts w:ascii="Palatino Linotype" w:hAnsi="Palatino Linotype"/>
          <w:color w:val="000000"/>
        </w:rPr>
        <w:tab/>
        <w:t xml:space="preserve"> </w:t>
      </w:r>
    </w:p>
    <w:p w14:paraId="309238CB" w14:textId="77777777" w:rsidR="005022D1" w:rsidRPr="008542C3" w:rsidRDefault="0088015B" w:rsidP="005022D1">
      <w:pPr>
        <w:pStyle w:val="paragraph"/>
        <w:spacing w:after="0"/>
        <w:ind w:firstLine="708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</w:rPr>
        <w:t>Wagi przenośnikowe pracujące w trybie ciągłym</w:t>
      </w:r>
      <w:r>
        <w:t xml:space="preserve"> </w:t>
      </w:r>
      <w:r>
        <w:rPr>
          <w:rStyle w:val="normaltextrun"/>
          <w:rFonts w:ascii="Palatino Linotype" w:hAnsi="Palatino Linotype"/>
          <w:color w:val="000000"/>
        </w:rPr>
        <w:t xml:space="preserve"> muszą być resetowane przy rozruchu oraz co 30 minut. W razie niewykonania resetu podawanie ryb na wagę zostaje automatycznie zatrzymane.  </w:t>
      </w:r>
    </w:p>
    <w:p w14:paraId="74998767" w14:textId="77777777" w:rsidR="005022D1" w:rsidRPr="008542C3" w:rsidRDefault="0088015B" w:rsidP="0088015B">
      <w:pPr>
        <w:pStyle w:val="paragraph"/>
        <w:spacing w:after="0"/>
        <w:ind w:firstLine="708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</w:rPr>
        <w:t xml:space="preserve"> Wagi przenośnikowe pracujące w trybie ciągłym</w:t>
      </w:r>
      <w:r>
        <w:t xml:space="preserve"> </w:t>
      </w:r>
      <w:r>
        <w:rPr>
          <w:rStyle w:val="normaltextrun"/>
          <w:rFonts w:ascii="Palatino Linotype" w:hAnsi="Palatino Linotype"/>
          <w:color w:val="000000"/>
        </w:rPr>
        <w:t xml:space="preserve">, sumujące wagę pojemników muszą być wyposażone w przełącznik wymuszający obciążenie do uruchomienia pasa. </w:t>
      </w:r>
    </w:p>
    <w:p w14:paraId="40EC7B72" w14:textId="77777777" w:rsidR="005022D1" w:rsidRPr="008542C3" w:rsidRDefault="0088015B" w:rsidP="0088015B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lastRenderedPageBreak/>
        <w:t>Przełącznik, o którym mowa powyżej, oraz szafka elektryczna wagi automatycznej muszą być zaplombowane. Plomby są opatrzone niepowtarzalnym znakiem identyfikacyjnym.</w:t>
      </w:r>
    </w:p>
    <w:p w14:paraId="4B489629" w14:textId="77777777" w:rsidR="005022D1" w:rsidRPr="005F7B8C" w:rsidRDefault="005022D1" w:rsidP="0000330D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Palatino Linotype" w:hAnsi="Palatino Linotype" w:cs="Segoe UI"/>
          <w:bCs/>
          <w:color w:val="000000"/>
        </w:rPr>
      </w:pPr>
    </w:p>
    <w:p w14:paraId="3AB58341" w14:textId="77777777" w:rsidR="0088015B" w:rsidRPr="008542C3" w:rsidRDefault="0088015B" w:rsidP="0088015B">
      <w:pPr>
        <w:pStyle w:val="paragraph"/>
        <w:spacing w:after="0"/>
        <w:textAlignment w:val="baseline"/>
        <w:rPr>
          <w:rStyle w:val="normaltextrun"/>
          <w:rFonts w:ascii="Palatino Linotype" w:hAnsi="Palatino Linotype" w:cs="Segoe UI"/>
          <w:b/>
          <w:color w:val="000000"/>
        </w:rPr>
      </w:pPr>
      <w:r>
        <w:rPr>
          <w:rStyle w:val="normaltextrun"/>
          <w:rFonts w:ascii="Palatino Linotype" w:hAnsi="Palatino Linotype"/>
          <w:b/>
          <w:color w:val="000000"/>
        </w:rPr>
        <w:t>Rozdział 3 Przepisy końcowe</w:t>
      </w:r>
    </w:p>
    <w:p w14:paraId="60791EB7" w14:textId="77777777" w:rsidR="0088015B" w:rsidRPr="008542C3" w:rsidRDefault="0088015B" w:rsidP="0088015B">
      <w:pPr>
        <w:pStyle w:val="paragraph"/>
        <w:spacing w:after="0"/>
        <w:textAlignment w:val="baseline"/>
        <w:rPr>
          <w:rStyle w:val="normaltextrun"/>
          <w:rFonts w:ascii="Palatino Linotype" w:hAnsi="Palatino Linotype" w:cs="Segoe UI"/>
          <w:b/>
          <w:color w:val="000000"/>
        </w:rPr>
      </w:pPr>
      <w:r>
        <w:rPr>
          <w:rStyle w:val="normaltextrun"/>
          <w:rFonts w:ascii="Palatino Linotype" w:hAnsi="Palatino Linotype"/>
          <w:b/>
          <w:color w:val="000000"/>
        </w:rPr>
        <w:t>§ 10. Kara za naruszenie przepisów</w:t>
      </w:r>
    </w:p>
    <w:p w14:paraId="219C44F9" w14:textId="04168816" w:rsidR="00BC3B46" w:rsidRDefault="0088015B" w:rsidP="0088015B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Palatino Linotype" w:hAnsi="Palatino Linotype"/>
          <w:color w:val="000000"/>
        </w:rPr>
      </w:pPr>
      <w:r>
        <w:rPr>
          <w:rStyle w:val="normaltextrun"/>
          <w:rFonts w:ascii="Palatino Linotype" w:hAnsi="Palatino Linotype"/>
          <w:color w:val="000000"/>
        </w:rPr>
        <w:t>Naruszenie niniejszych przepisów podlega karze grzywny, której wymiar określa rozdział 7 przepisów o jednostkach miary i pomiarach.</w:t>
      </w:r>
    </w:p>
    <w:p w14:paraId="6F6F6DC2" w14:textId="77777777" w:rsidR="005F7B8C" w:rsidRPr="008542C3" w:rsidRDefault="005F7B8C" w:rsidP="0088015B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rFonts w:ascii="Palatino Linotype" w:hAnsi="Palatino Linotype" w:cs="Segoe UI"/>
          <w:color w:val="000000"/>
        </w:rPr>
      </w:pPr>
    </w:p>
    <w:p w14:paraId="030ECCEB" w14:textId="77777777" w:rsidR="0000330D" w:rsidRPr="008542C3" w:rsidRDefault="0000330D" w:rsidP="009D6B2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Palatino Linotype" w:hAnsi="Palatino Linotype"/>
          <w:b/>
          <w:color w:val="000000"/>
        </w:rPr>
        <w:t xml:space="preserve">§ 11. </w:t>
      </w:r>
      <w:r>
        <w:rPr>
          <w:rFonts w:ascii="Palatino Linotype" w:hAnsi="Palatino Linotype"/>
          <w:b/>
          <w:color w:val="000000"/>
        </w:rPr>
        <w:t>Wejście w życie</w:t>
      </w:r>
      <w:r>
        <w:rPr>
          <w:rFonts w:ascii="Palatino Linotype" w:hAnsi="Palatino Linotype"/>
          <w:color w:val="000000"/>
        </w:rPr>
        <w:t xml:space="preserve"> Niniejsze przepisy wchodzą w życie (...)</w:t>
      </w:r>
      <w:r>
        <w:rPr>
          <w:rFonts w:ascii="Palatino Linotype" w:hAnsi="Palatino Linotype"/>
          <w:color w:val="000000"/>
        </w:rPr>
        <w:br/>
      </w:r>
    </w:p>
    <w:p w14:paraId="69D7F948" w14:textId="77777777" w:rsidR="00AE7F4A" w:rsidRPr="005F7B8C" w:rsidRDefault="00AE7F4A"/>
    <w:sectPr w:rsidR="00AE7F4A" w:rsidRPr="005F7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30D"/>
    <w:rsid w:val="0000330D"/>
    <w:rsid w:val="00003D0E"/>
    <w:rsid w:val="002A2FC9"/>
    <w:rsid w:val="00371CFB"/>
    <w:rsid w:val="004D03F8"/>
    <w:rsid w:val="005022D1"/>
    <w:rsid w:val="005F7B8C"/>
    <w:rsid w:val="00665E58"/>
    <w:rsid w:val="008542C3"/>
    <w:rsid w:val="0088015B"/>
    <w:rsid w:val="009D6B20"/>
    <w:rsid w:val="00AE7F4A"/>
    <w:rsid w:val="00B21C7A"/>
    <w:rsid w:val="00BC3B46"/>
    <w:rsid w:val="00E6020A"/>
    <w:rsid w:val="00E711F2"/>
    <w:rsid w:val="00E7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E5B0C"/>
  <w15:chartTrackingRefBased/>
  <w15:docId w15:val="{D3FE9ED7-C37D-417D-BB21-99AFA46F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0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eop">
    <w:name w:val="eop"/>
    <w:basedOn w:val="DefaultParagraphFont"/>
    <w:rsid w:val="0000330D"/>
  </w:style>
  <w:style w:type="character" w:customStyle="1" w:styleId="normaltextrun">
    <w:name w:val="normaltextrun"/>
    <w:basedOn w:val="DefaultParagraphFont"/>
    <w:rsid w:val="0000330D"/>
  </w:style>
  <w:style w:type="character" w:customStyle="1" w:styleId="spellingerror">
    <w:name w:val="spellingerror"/>
    <w:basedOn w:val="DefaultParagraphFont"/>
    <w:rsid w:val="0000330D"/>
  </w:style>
  <w:style w:type="character" w:customStyle="1" w:styleId="bcx9">
    <w:name w:val="bcx9"/>
    <w:basedOn w:val="DefaultParagraphFont"/>
    <w:rsid w:val="0000330D"/>
  </w:style>
  <w:style w:type="character" w:customStyle="1" w:styleId="fontstyle01">
    <w:name w:val="fontstyle01"/>
    <w:basedOn w:val="DefaultParagraphFont"/>
    <w:rsid w:val="00003D0E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03D0E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003D0E"/>
    <w:rPr>
      <w:rFonts w:ascii="ArialMT" w:hAnsi="ArialMT" w:hint="default"/>
      <w:b w:val="0"/>
      <w:bCs w:val="0"/>
      <w:i w:val="0"/>
      <w:iCs w:val="0"/>
      <w:color w:val="3333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Justervesenet</Company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Hallenstvedt</dc:creator>
  <cp:keywords/>
  <dc:description/>
  <cp:lastModifiedBy>Dimitris Dimitriadis</cp:lastModifiedBy>
  <cp:revision>4</cp:revision>
  <dcterms:created xsi:type="dcterms:W3CDTF">2021-08-20T09:04:00Z</dcterms:created>
  <dcterms:modified xsi:type="dcterms:W3CDTF">2021-08-30T09:04:00Z</dcterms:modified>
</cp:coreProperties>
</file>