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F48" w:rsidRPr="002F389D" w:rsidRDefault="004F1F48" w:rsidP="004F1F48">
      <w:pPr>
        <w:jc w:val="center"/>
        <w:rPr>
          <w:rFonts w:ascii="Courier New" w:hAnsi="Courier New"/>
          <w:sz w:val="20"/>
          <w:szCs w:val="20"/>
        </w:rPr>
      </w:pPr>
      <w:bookmarkStart w:id="0" w:name="_GoBack"/>
      <w:r w:rsidRPr="002F389D">
        <w:rPr>
          <w:rFonts w:ascii="Courier New" w:hAnsi="Courier New"/>
          <w:sz w:val="20"/>
          <w:szCs w:val="20"/>
        </w:rPr>
        <w:t>1. ------IND- 2019 0472 SK- DE- ------ 20191004 --- --- IMPACT</w:t>
      </w:r>
    </w:p>
    <w:bookmarkEnd w:id="0"/>
    <w:p w:rsidR="008360EC" w:rsidRPr="00C21B27" w:rsidRDefault="008360EC" w:rsidP="008360EC">
      <w:pPr>
        <w:jc w:val="center"/>
        <w:rPr>
          <w:b/>
          <w:bCs/>
        </w:rPr>
      </w:pPr>
      <w:r>
        <w:rPr>
          <w:b/>
          <w:bCs/>
        </w:rPr>
        <w:t>Zusammenstellung ausgewählter Auswirkungen</w:t>
      </w:r>
    </w:p>
    <w:p w:rsidR="008360EC" w:rsidRPr="00C21B27" w:rsidRDefault="008360EC" w:rsidP="008360EC">
      <w:pPr>
        <w:jc w:val="center"/>
        <w:rPr>
          <w:b/>
          <w:bCs/>
          <w:highlight w:val="lightGray"/>
        </w:rPr>
      </w:pP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9"/>
        <w:gridCol w:w="705"/>
        <w:gridCol w:w="717"/>
        <w:gridCol w:w="569"/>
        <w:gridCol w:w="1417"/>
        <w:gridCol w:w="1560"/>
      </w:tblGrid>
      <w:tr w:rsidR="008360EC" w:rsidRPr="00C21B27" w:rsidTr="00C21B27">
        <w:tc>
          <w:tcPr>
            <w:tcW w:w="9327" w:type="dxa"/>
            <w:gridSpan w:val="6"/>
            <w:tcBorders>
              <w:bottom w:val="single" w:sz="4" w:space="0" w:color="FFFFFF"/>
            </w:tcBorders>
            <w:shd w:val="clear" w:color="auto" w:fill="E2E2E2"/>
          </w:tcPr>
          <w:p w:rsidR="008360EC" w:rsidRPr="00C21B27" w:rsidRDefault="008360EC" w:rsidP="008360EC">
            <w:pPr>
              <w:pStyle w:val="Listenabsatz"/>
              <w:numPr>
                <w:ilvl w:val="0"/>
                <w:numId w:val="1"/>
              </w:numPr>
              <w:ind w:left="426"/>
              <w:rPr>
                <w:b/>
              </w:rPr>
            </w:pPr>
            <w:r>
              <w:rPr>
                <w:b/>
              </w:rPr>
              <w:t>Grundlegende Angaben</w:t>
            </w:r>
          </w:p>
        </w:tc>
      </w:tr>
      <w:tr w:rsidR="008360EC" w:rsidRPr="00C21B27" w:rsidTr="00C21B27">
        <w:tc>
          <w:tcPr>
            <w:tcW w:w="9327" w:type="dxa"/>
            <w:gridSpan w:val="6"/>
            <w:tcBorders>
              <w:bottom w:val="single" w:sz="4" w:space="0" w:color="FFFFFF"/>
            </w:tcBorders>
            <w:shd w:val="clear" w:color="auto" w:fill="E2E2E2"/>
          </w:tcPr>
          <w:p w:rsidR="008360EC" w:rsidRPr="00C21B27" w:rsidRDefault="008360EC" w:rsidP="0035570A">
            <w:pPr>
              <w:pStyle w:val="Listenabsatz"/>
              <w:ind w:left="142"/>
              <w:rPr>
                <w:b/>
              </w:rPr>
            </w:pPr>
            <w:r>
              <w:rPr>
                <w:b/>
              </w:rPr>
              <w:t>Bezeichnung des Dokuments</w:t>
            </w:r>
          </w:p>
        </w:tc>
      </w:tr>
      <w:tr w:rsidR="008360EC" w:rsidRPr="00C21B27" w:rsidTr="00C21B27">
        <w:tc>
          <w:tcPr>
            <w:tcW w:w="9327" w:type="dxa"/>
            <w:gridSpan w:val="6"/>
            <w:tcBorders>
              <w:top w:val="single" w:sz="4" w:space="0" w:color="FFFFFF"/>
            </w:tcBorders>
          </w:tcPr>
          <w:p w:rsidR="00590877" w:rsidRPr="00C21B27" w:rsidRDefault="002720F0" w:rsidP="002720F0">
            <w:pPr>
              <w:jc w:val="both"/>
            </w:pPr>
            <w:r>
              <w:t>Verordnung des Ministeriums für Verkehr und Bauwesen der Slowakischen Republik zur Änderung und Ergänzung der Verordnung des Ministeriums für Verkehr, Bauwesen und Regionalentwicklung der Slowakischen Republik GBl. Nr. 162/2013 zur Festlegung der Liste der Bauproduktgruppen und zur Festlegung von Systemen für die Leistungsbewertung in der Fassung der Verordnung GBl. Nr. 177/2016.</w:t>
            </w:r>
          </w:p>
        </w:tc>
      </w:tr>
      <w:tr w:rsidR="008360EC" w:rsidRPr="00C21B27" w:rsidTr="00C21B27">
        <w:tc>
          <w:tcPr>
            <w:tcW w:w="9327" w:type="dxa"/>
            <w:gridSpan w:val="6"/>
            <w:tcBorders>
              <w:bottom w:val="single" w:sz="4" w:space="0" w:color="FFFFFF"/>
            </w:tcBorders>
            <w:shd w:val="clear" w:color="auto" w:fill="E2E2E2"/>
          </w:tcPr>
          <w:p w:rsidR="008360EC" w:rsidRPr="00C21B27" w:rsidRDefault="008360EC" w:rsidP="0035570A">
            <w:pPr>
              <w:pStyle w:val="Listenabsatz"/>
              <w:ind w:left="142"/>
              <w:rPr>
                <w:b/>
              </w:rPr>
            </w:pPr>
            <w:r>
              <w:rPr>
                <w:b/>
              </w:rPr>
              <w:t>Vorlegende Stelle (und Mitvorleger)</w:t>
            </w:r>
          </w:p>
        </w:tc>
      </w:tr>
      <w:tr w:rsidR="008360EC" w:rsidRPr="00C21B27" w:rsidTr="00C21B27">
        <w:tc>
          <w:tcPr>
            <w:tcW w:w="9327" w:type="dxa"/>
            <w:gridSpan w:val="6"/>
            <w:tcBorders>
              <w:top w:val="single" w:sz="4" w:space="0" w:color="FFFFFF"/>
            </w:tcBorders>
            <w:shd w:val="clear" w:color="auto" w:fill="FFFFFF"/>
          </w:tcPr>
          <w:p w:rsidR="00590877" w:rsidRPr="00C21B27" w:rsidRDefault="008360EC" w:rsidP="0035570A">
            <w:pPr>
              <w:autoSpaceDE w:val="0"/>
              <w:autoSpaceDN w:val="0"/>
              <w:adjustRightInd w:val="0"/>
            </w:pPr>
            <w:r>
              <w:t>Ministerium für Verkehr und Bauwesen der Slowakischen Republik</w:t>
            </w:r>
          </w:p>
        </w:tc>
      </w:tr>
      <w:tr w:rsidR="008360EC" w:rsidRPr="00C21B27" w:rsidTr="00C21B27">
        <w:tc>
          <w:tcPr>
            <w:tcW w:w="4359" w:type="dxa"/>
            <w:vMerge w:val="restart"/>
            <w:tcBorders>
              <w:bottom w:val="single" w:sz="4" w:space="0" w:color="FFFFFF"/>
            </w:tcBorders>
            <w:shd w:val="clear" w:color="auto" w:fill="E2E2E2"/>
            <w:vAlign w:val="center"/>
          </w:tcPr>
          <w:p w:rsidR="008360EC" w:rsidRPr="00C21B27" w:rsidRDefault="008360EC" w:rsidP="0035570A">
            <w:pPr>
              <w:pStyle w:val="Listenabsatz"/>
              <w:ind w:left="142"/>
              <w:rPr>
                <w:b/>
              </w:rPr>
            </w:pPr>
            <w:r>
              <w:rPr>
                <w:b/>
              </w:rPr>
              <w:t>Charakter des vorgelegten Dokuments</w:t>
            </w:r>
          </w:p>
        </w:tc>
        <w:tc>
          <w:tcPr>
            <w:tcW w:w="705" w:type="dxa"/>
            <w:tcBorders>
              <w:right w:val="nil"/>
            </w:tcBorders>
            <w:shd w:val="clear" w:color="auto" w:fill="FFFFFF"/>
          </w:tcPr>
          <w:p w:rsidR="008360EC" w:rsidRPr="00C21B27" w:rsidRDefault="00590877" w:rsidP="0035570A">
            <w:pPr>
              <w:jc w:val="center"/>
            </w:pPr>
            <w:r>
              <w:rPr>
                <w:rFonts w:ascii="Segoe UI Symbol" w:hAnsi="Segoe UI Symbol"/>
              </w:rPr>
              <w:t>☐</w:t>
            </w:r>
          </w:p>
        </w:tc>
        <w:tc>
          <w:tcPr>
            <w:tcW w:w="4263" w:type="dxa"/>
            <w:gridSpan w:val="4"/>
            <w:tcBorders>
              <w:left w:val="nil"/>
            </w:tcBorders>
            <w:shd w:val="clear" w:color="auto" w:fill="FFFFFF"/>
          </w:tcPr>
          <w:p w:rsidR="008360EC" w:rsidRPr="00C21B27" w:rsidRDefault="008360EC" w:rsidP="0035570A"/>
        </w:tc>
      </w:tr>
      <w:tr w:rsidR="008360EC" w:rsidRPr="00C21B27" w:rsidTr="00C21B27">
        <w:tc>
          <w:tcPr>
            <w:tcW w:w="4359" w:type="dxa"/>
            <w:vMerge/>
            <w:tcBorders>
              <w:top w:val="nil"/>
              <w:bottom w:val="single" w:sz="4" w:space="0" w:color="FFFFFF"/>
            </w:tcBorders>
            <w:shd w:val="clear" w:color="auto" w:fill="E2E2E2"/>
          </w:tcPr>
          <w:p w:rsidR="008360EC" w:rsidRPr="00C21B27" w:rsidRDefault="008360EC" w:rsidP="0035570A"/>
        </w:tc>
        <w:tc>
          <w:tcPr>
            <w:tcW w:w="705" w:type="dxa"/>
            <w:tcBorders>
              <w:right w:val="nil"/>
            </w:tcBorders>
            <w:shd w:val="clear" w:color="auto" w:fill="FFFFFF"/>
          </w:tcPr>
          <w:p w:rsidR="008360EC" w:rsidRPr="00C21B27" w:rsidRDefault="00590877" w:rsidP="0035570A">
            <w:pPr>
              <w:jc w:val="center"/>
            </w:pPr>
            <w:r>
              <w:rPr>
                <w:rFonts w:ascii="Segoe UI Symbol" w:hAnsi="Segoe UI Symbol"/>
              </w:rPr>
              <w:t>☒</w:t>
            </w:r>
          </w:p>
        </w:tc>
        <w:tc>
          <w:tcPr>
            <w:tcW w:w="4263" w:type="dxa"/>
            <w:gridSpan w:val="4"/>
            <w:tcBorders>
              <w:left w:val="nil"/>
            </w:tcBorders>
            <w:shd w:val="clear" w:color="auto" w:fill="FFFFFF"/>
          </w:tcPr>
          <w:p w:rsidR="008360EC" w:rsidRPr="00C21B27" w:rsidRDefault="008360EC" w:rsidP="0035570A">
            <w:pPr>
              <w:ind w:left="175" w:hanging="175"/>
            </w:pPr>
            <w:r>
              <w:t>Dokument mit Gesetzescharakter</w:t>
            </w:r>
          </w:p>
        </w:tc>
      </w:tr>
      <w:tr w:rsidR="008360EC" w:rsidRPr="00C21B27" w:rsidTr="00C21B27">
        <w:tc>
          <w:tcPr>
            <w:tcW w:w="4359" w:type="dxa"/>
            <w:vMerge/>
            <w:tcBorders>
              <w:top w:val="nil"/>
            </w:tcBorders>
            <w:shd w:val="clear" w:color="auto" w:fill="E2E2E2"/>
          </w:tcPr>
          <w:p w:rsidR="008360EC" w:rsidRPr="00C21B27" w:rsidRDefault="008360EC" w:rsidP="0035570A"/>
        </w:tc>
        <w:tc>
          <w:tcPr>
            <w:tcW w:w="705" w:type="dxa"/>
            <w:tcBorders>
              <w:right w:val="nil"/>
            </w:tcBorders>
            <w:shd w:val="clear" w:color="auto" w:fill="FFFFFF"/>
          </w:tcPr>
          <w:p w:rsidR="008360EC" w:rsidRPr="00C21B27" w:rsidRDefault="00590877" w:rsidP="0035570A">
            <w:pPr>
              <w:jc w:val="center"/>
            </w:pPr>
            <w:r>
              <w:rPr>
                <w:rFonts w:ascii="Segoe UI Symbol" w:hAnsi="Segoe UI Symbol"/>
              </w:rPr>
              <w:t>☐</w:t>
            </w:r>
          </w:p>
        </w:tc>
        <w:tc>
          <w:tcPr>
            <w:tcW w:w="4263" w:type="dxa"/>
            <w:gridSpan w:val="4"/>
            <w:tcBorders>
              <w:left w:val="nil"/>
            </w:tcBorders>
            <w:shd w:val="clear" w:color="auto" w:fill="FFFFFF"/>
          </w:tcPr>
          <w:p w:rsidR="008360EC" w:rsidRPr="00C21B27" w:rsidRDefault="008360EC" w:rsidP="0035570A">
            <w:r>
              <w:t>Umsetzung von EU-Recht</w:t>
            </w:r>
          </w:p>
        </w:tc>
      </w:tr>
      <w:tr w:rsidR="008360EC" w:rsidRPr="00C21B27" w:rsidTr="00C21B27">
        <w:tc>
          <w:tcPr>
            <w:tcW w:w="9327" w:type="dxa"/>
            <w:gridSpan w:val="6"/>
            <w:tcBorders>
              <w:bottom w:val="single" w:sz="4" w:space="0" w:color="FFFFFF"/>
            </w:tcBorders>
            <w:shd w:val="clear" w:color="auto" w:fill="FFFFFF"/>
          </w:tcPr>
          <w:p w:rsidR="00590877" w:rsidRPr="00C21B27" w:rsidRDefault="0021356F" w:rsidP="0021356F">
            <w:pPr>
              <w:rPr>
                <w:color w:val="000000"/>
              </w:rPr>
            </w:pPr>
            <w:r>
              <w:rPr>
                <w:color w:val="000000"/>
              </w:rPr>
              <w:t xml:space="preserve">Durch den Verordnungsentwurf wird kein Rechtsakt der Europäischen Union umgesetzt. </w:t>
            </w:r>
          </w:p>
        </w:tc>
      </w:tr>
      <w:tr w:rsidR="008360EC" w:rsidRPr="00C21B27" w:rsidTr="00C21B27">
        <w:tc>
          <w:tcPr>
            <w:tcW w:w="5781" w:type="dxa"/>
            <w:gridSpan w:val="3"/>
            <w:tcBorders>
              <w:top w:val="single" w:sz="4" w:space="0" w:color="000000"/>
              <w:bottom w:val="single" w:sz="4" w:space="0" w:color="FFFFFF"/>
            </w:tcBorders>
            <w:shd w:val="clear" w:color="auto" w:fill="E2E2E2"/>
          </w:tcPr>
          <w:p w:rsidR="008360EC" w:rsidRPr="00C21B27" w:rsidRDefault="008360EC" w:rsidP="0035570A">
            <w:pPr>
              <w:pStyle w:val="Listenabsatz"/>
              <w:ind w:left="142"/>
              <w:rPr>
                <w:b/>
              </w:rPr>
            </w:pPr>
            <w:r>
              <w:rPr>
                <w:b/>
              </w:rPr>
              <w:t>Termin des Beginns und Endes des Anhörungsverfahrens</w:t>
            </w:r>
          </w:p>
          <w:p w:rsidR="00590877" w:rsidRPr="00C21B27" w:rsidRDefault="00590877" w:rsidP="0035570A">
            <w:pPr>
              <w:pStyle w:val="Listenabsatz"/>
              <w:ind w:left="142"/>
              <w:rPr>
                <w:b/>
              </w:rPr>
            </w:pPr>
          </w:p>
        </w:tc>
        <w:tc>
          <w:tcPr>
            <w:tcW w:w="3546" w:type="dxa"/>
            <w:gridSpan w:val="3"/>
            <w:tcBorders>
              <w:top w:val="single" w:sz="4" w:space="0" w:color="000000"/>
            </w:tcBorders>
          </w:tcPr>
          <w:p w:rsidR="008360EC" w:rsidRPr="00C21B27" w:rsidRDefault="008360EC" w:rsidP="0035570A">
            <w:pPr>
              <w:autoSpaceDE w:val="0"/>
              <w:autoSpaceDN w:val="0"/>
              <w:adjustRightInd w:val="0"/>
              <w:rPr>
                <w:i/>
                <w:iCs/>
              </w:rPr>
            </w:pPr>
            <w:r>
              <w:rPr>
                <w:i/>
                <w:iCs/>
              </w:rPr>
              <w:t xml:space="preserve">- </w:t>
            </w:r>
          </w:p>
        </w:tc>
      </w:tr>
      <w:tr w:rsidR="008360EC" w:rsidRPr="00C21B27" w:rsidTr="00C21B27">
        <w:tc>
          <w:tcPr>
            <w:tcW w:w="5781" w:type="dxa"/>
            <w:gridSpan w:val="3"/>
            <w:tcBorders>
              <w:bottom w:val="single" w:sz="4" w:space="0" w:color="FFFFFF"/>
            </w:tcBorders>
            <w:shd w:val="clear" w:color="auto" w:fill="E2E2E2"/>
          </w:tcPr>
          <w:p w:rsidR="008360EC" w:rsidRPr="00C21B27" w:rsidRDefault="008360EC" w:rsidP="0035570A">
            <w:pPr>
              <w:pStyle w:val="Listenabsatz"/>
              <w:ind w:left="142"/>
              <w:rPr>
                <w:b/>
              </w:rPr>
            </w:pPr>
            <w:r>
              <w:rPr>
                <w:b/>
              </w:rPr>
              <w:t>Vorgeschlagener Termin der Vorlage zum ressortübergreifenden Anhörungsverfahren*</w:t>
            </w:r>
          </w:p>
          <w:p w:rsidR="00590877" w:rsidRPr="00C21B27" w:rsidRDefault="00590877" w:rsidP="0035570A">
            <w:pPr>
              <w:pStyle w:val="Listenabsatz"/>
              <w:ind w:left="142"/>
              <w:rPr>
                <w:b/>
              </w:rPr>
            </w:pPr>
          </w:p>
        </w:tc>
        <w:tc>
          <w:tcPr>
            <w:tcW w:w="3546" w:type="dxa"/>
            <w:gridSpan w:val="3"/>
          </w:tcPr>
          <w:p w:rsidR="008360EC" w:rsidRPr="00C21B27" w:rsidRDefault="002720F0" w:rsidP="00573ED1">
            <w:pPr>
              <w:autoSpaceDE w:val="0"/>
              <w:autoSpaceDN w:val="0"/>
              <w:adjustRightInd w:val="0"/>
              <w:rPr>
                <w:i/>
                <w:iCs/>
              </w:rPr>
            </w:pPr>
            <w:r>
              <w:rPr>
                <w:i/>
                <w:iCs/>
              </w:rPr>
              <w:t>Mai 2019</w:t>
            </w:r>
          </w:p>
        </w:tc>
      </w:tr>
      <w:tr w:rsidR="008360EC" w:rsidRPr="00C21B27" w:rsidTr="00C21B27">
        <w:tc>
          <w:tcPr>
            <w:tcW w:w="5781" w:type="dxa"/>
            <w:gridSpan w:val="3"/>
            <w:tcBorders>
              <w:bottom w:val="single" w:sz="4" w:space="0" w:color="FFFFFF"/>
            </w:tcBorders>
            <w:shd w:val="clear" w:color="auto" w:fill="E2E2E2"/>
          </w:tcPr>
          <w:p w:rsidR="008360EC" w:rsidRPr="00C21B27" w:rsidRDefault="008360EC" w:rsidP="0035570A">
            <w:pPr>
              <w:pStyle w:val="Listenabsatz"/>
              <w:ind w:left="142"/>
              <w:rPr>
                <w:b/>
              </w:rPr>
            </w:pPr>
            <w:r>
              <w:rPr>
                <w:b/>
              </w:rPr>
              <w:t>Vorgeschlagener Termin der Vorlage zur Erörterung durch die Regierung der Slowakischen Republik*</w:t>
            </w:r>
          </w:p>
          <w:p w:rsidR="00590877" w:rsidRPr="00C21B27" w:rsidRDefault="00590877" w:rsidP="0035570A">
            <w:pPr>
              <w:pStyle w:val="Listenabsatz"/>
              <w:ind w:left="142"/>
              <w:rPr>
                <w:b/>
              </w:rPr>
            </w:pPr>
          </w:p>
        </w:tc>
        <w:tc>
          <w:tcPr>
            <w:tcW w:w="3546" w:type="dxa"/>
            <w:gridSpan w:val="3"/>
          </w:tcPr>
          <w:p w:rsidR="008360EC" w:rsidRPr="00C21B27" w:rsidRDefault="00162E54" w:rsidP="0035570A">
            <w:pPr>
              <w:autoSpaceDE w:val="0"/>
              <w:autoSpaceDN w:val="0"/>
              <w:adjustRightInd w:val="0"/>
              <w:rPr>
                <w:i/>
                <w:iCs/>
              </w:rPr>
            </w:pPr>
            <w:r>
              <w:rPr>
                <w:i/>
                <w:iCs/>
              </w:rPr>
              <w:t>-</w:t>
            </w:r>
          </w:p>
        </w:tc>
      </w:tr>
      <w:tr w:rsidR="008360EC" w:rsidRPr="00C21B27" w:rsidTr="00C21B27">
        <w:tc>
          <w:tcPr>
            <w:tcW w:w="9327" w:type="dxa"/>
            <w:gridSpan w:val="6"/>
            <w:tcBorders>
              <w:left w:val="nil"/>
              <w:right w:val="nil"/>
            </w:tcBorders>
            <w:shd w:val="clear" w:color="auto" w:fill="FFFFFF"/>
          </w:tcPr>
          <w:p w:rsidR="008360EC" w:rsidRPr="00C21B27" w:rsidRDefault="008360EC" w:rsidP="0035570A">
            <w:pPr>
              <w:rPr>
                <w:highlight w:val="lightGray"/>
              </w:rPr>
            </w:pPr>
          </w:p>
        </w:tc>
      </w:tr>
      <w:tr w:rsidR="00162E54" w:rsidRPr="00C21B27" w:rsidTr="00C21B27">
        <w:tc>
          <w:tcPr>
            <w:tcW w:w="9327" w:type="dxa"/>
            <w:gridSpan w:val="6"/>
            <w:tcBorders>
              <w:bottom w:val="single" w:sz="4" w:space="0" w:color="FFFFFF"/>
            </w:tcBorders>
            <w:shd w:val="clear" w:color="auto" w:fill="E2E2E2"/>
          </w:tcPr>
          <w:p w:rsidR="008360EC" w:rsidRPr="00C21B27" w:rsidRDefault="008360EC" w:rsidP="008360EC">
            <w:pPr>
              <w:pStyle w:val="Listenabsatz"/>
              <w:numPr>
                <w:ilvl w:val="0"/>
                <w:numId w:val="1"/>
              </w:numPr>
              <w:ind w:left="426"/>
              <w:rPr>
                <w:b/>
              </w:rPr>
            </w:pPr>
            <w:r>
              <w:rPr>
                <w:b/>
              </w:rPr>
              <w:t>Definition des Sachverhalts</w:t>
            </w:r>
          </w:p>
        </w:tc>
      </w:tr>
      <w:tr w:rsidR="00162E54" w:rsidRPr="00C21B27" w:rsidTr="00C21B27">
        <w:tc>
          <w:tcPr>
            <w:tcW w:w="9327" w:type="dxa"/>
            <w:gridSpan w:val="6"/>
            <w:tcBorders>
              <w:top w:val="single" w:sz="4" w:space="0" w:color="FFFFFF"/>
            </w:tcBorders>
            <w:shd w:val="clear" w:color="auto" w:fill="FFFFFF"/>
          </w:tcPr>
          <w:p w:rsidR="00590877" w:rsidRPr="00C21B27" w:rsidRDefault="00F55B0F" w:rsidP="00164F83">
            <w:pPr>
              <w:jc w:val="both"/>
            </w:pPr>
            <w:r>
              <w:rPr>
                <w:rStyle w:val="Platzhaltertext"/>
                <w:color w:val="auto"/>
              </w:rPr>
              <w:t>Durch die gegenwärtig geltende Verordnung werden der aktuelle Stand und die Anforderungen an manche Bauprodukte bei der Leistungsbewertung der Bauprodukte nicht widergespiegelt. Daher ist eine Neufassung der Verordnung erforderlich.</w:t>
            </w:r>
          </w:p>
        </w:tc>
      </w:tr>
      <w:tr w:rsidR="008360EC" w:rsidRPr="00C21B27" w:rsidTr="00C21B27">
        <w:tc>
          <w:tcPr>
            <w:tcW w:w="9327" w:type="dxa"/>
            <w:gridSpan w:val="6"/>
            <w:tcBorders>
              <w:bottom w:val="nil"/>
            </w:tcBorders>
            <w:shd w:val="clear" w:color="auto" w:fill="E2E2E2"/>
          </w:tcPr>
          <w:p w:rsidR="008360EC" w:rsidRPr="00C21B27" w:rsidRDefault="008360EC" w:rsidP="008360EC">
            <w:pPr>
              <w:pStyle w:val="Listenabsatz"/>
              <w:numPr>
                <w:ilvl w:val="0"/>
                <w:numId w:val="1"/>
              </w:numPr>
              <w:ind w:left="426"/>
              <w:rPr>
                <w:b/>
              </w:rPr>
            </w:pPr>
            <w:r>
              <w:rPr>
                <w:b/>
              </w:rPr>
              <w:t>Ziele und gewünschtes Ergebnis</w:t>
            </w:r>
          </w:p>
        </w:tc>
      </w:tr>
      <w:tr w:rsidR="00162E54" w:rsidRPr="00C21B27" w:rsidTr="00C21B27">
        <w:tc>
          <w:tcPr>
            <w:tcW w:w="9327" w:type="dxa"/>
            <w:gridSpan w:val="6"/>
            <w:tcBorders>
              <w:top w:val="nil"/>
            </w:tcBorders>
            <w:shd w:val="clear" w:color="auto" w:fill="FFFFFF"/>
          </w:tcPr>
          <w:p w:rsidR="004C0110" w:rsidRPr="00C21B27" w:rsidRDefault="00F637BD" w:rsidP="00917EEC">
            <w:pPr>
              <w:jc w:val="both"/>
            </w:pPr>
            <w:r>
              <w:t>Das grundlegende Ziel des Verordnungsentwurf besteht darin, den Anhang 1 des Verordnungsentwurfs mit den verabschiedeten delegierten Rechtsakten der Kommission (EU) gemäß Artikel 60 der Verordnung (EU) Nr. 305/2011 des Europäischen Parlaments und des Rates vom 9. März 2011 zur Festlegung harmonisierter Bedingungen für die Vermarktung von Bauprodukten und zur Aufhebung der Richtlinie 89/106/EWG des Rates in der geltenden Fassung, sowie mit den geltenden technischen Spezifikationen für die Leistungsbewertung in Übereinstimmung zu bringen und neue Gruppen von Bauprodukten zu ergänzen. Dies erfolgt auch im Hinblick auf die Grundanforderungen an Bauwerke im Sinne von Anhang 1 der Verordnung (EU) Nr. 305/2011 des Europäischen Parlaments und des Rates.</w:t>
            </w:r>
          </w:p>
        </w:tc>
      </w:tr>
      <w:tr w:rsidR="008360EC" w:rsidRPr="00C21B27" w:rsidTr="00C21B27">
        <w:tc>
          <w:tcPr>
            <w:tcW w:w="9327" w:type="dxa"/>
            <w:gridSpan w:val="6"/>
            <w:tcBorders>
              <w:bottom w:val="nil"/>
            </w:tcBorders>
            <w:shd w:val="clear" w:color="auto" w:fill="E2E2E2"/>
          </w:tcPr>
          <w:p w:rsidR="008360EC" w:rsidRPr="00C21B27" w:rsidRDefault="008360EC" w:rsidP="008360EC">
            <w:pPr>
              <w:pStyle w:val="Listenabsatz"/>
              <w:numPr>
                <w:ilvl w:val="0"/>
                <w:numId w:val="1"/>
              </w:numPr>
              <w:ind w:left="426"/>
              <w:rPr>
                <w:b/>
              </w:rPr>
            </w:pPr>
            <w:r>
              <w:rPr>
                <w:b/>
              </w:rPr>
              <w:t>Betroffene Wirtschaftsteilnehmer</w:t>
            </w:r>
          </w:p>
        </w:tc>
      </w:tr>
      <w:tr w:rsidR="00162E54" w:rsidRPr="00C21B27" w:rsidTr="00C21B27">
        <w:tc>
          <w:tcPr>
            <w:tcW w:w="9327" w:type="dxa"/>
            <w:gridSpan w:val="6"/>
            <w:tcBorders>
              <w:top w:val="nil"/>
            </w:tcBorders>
            <w:shd w:val="clear" w:color="auto" w:fill="FFFFFF"/>
          </w:tcPr>
          <w:p w:rsidR="00590877" w:rsidRPr="00C21B27" w:rsidRDefault="00471459" w:rsidP="00FF6CF1">
            <w:pPr>
              <w:jc w:val="both"/>
            </w:pPr>
            <w:r>
              <w:t xml:space="preserve">Hersteller von Bauprodukten, ihre Einführer, Verkäufer, bevollmächtigte Vertreter, zugelassene Stellen und </w:t>
            </w:r>
            <w:proofErr w:type="spellStart"/>
            <w:r>
              <w:t>notifizierte</w:t>
            </w:r>
            <w:proofErr w:type="spellEnd"/>
            <w:r>
              <w:t xml:space="preserve"> Personen im Sinne des Gesetzes GBl. Nr. 133/2013 über Bauprodukte und über die Änderung und Ergänzung einiger Gesetze in der jeweils geltenden Fassung und der Verordnung (EU) Nr. 305/2011 zur Festlegung harmonisierter Bedingungen für die Vermarktung von Bauprodukten und zur Aufhebung der Richtlinie 89/106/EWG des Rates in der geltenden Fassung. </w:t>
            </w:r>
          </w:p>
        </w:tc>
      </w:tr>
      <w:tr w:rsidR="008360EC" w:rsidRPr="00C21B27" w:rsidTr="00C21B27">
        <w:tc>
          <w:tcPr>
            <w:tcW w:w="9327" w:type="dxa"/>
            <w:gridSpan w:val="6"/>
            <w:tcBorders>
              <w:bottom w:val="nil"/>
            </w:tcBorders>
            <w:shd w:val="clear" w:color="auto" w:fill="E2E2E2"/>
          </w:tcPr>
          <w:p w:rsidR="008360EC" w:rsidRPr="00C21B27" w:rsidRDefault="008360EC" w:rsidP="008360EC">
            <w:pPr>
              <w:pStyle w:val="Listenabsatz"/>
              <w:numPr>
                <w:ilvl w:val="0"/>
                <w:numId w:val="1"/>
              </w:numPr>
              <w:ind w:left="426"/>
              <w:rPr>
                <w:b/>
              </w:rPr>
            </w:pPr>
            <w:r>
              <w:rPr>
                <w:b/>
              </w:rPr>
              <w:lastRenderedPageBreak/>
              <w:t>Alternative Lösungen</w:t>
            </w:r>
          </w:p>
        </w:tc>
      </w:tr>
      <w:tr w:rsidR="008360EC" w:rsidRPr="00C21B27" w:rsidTr="00C21B27">
        <w:tc>
          <w:tcPr>
            <w:tcW w:w="9327" w:type="dxa"/>
            <w:gridSpan w:val="6"/>
            <w:tcBorders>
              <w:top w:val="nil"/>
            </w:tcBorders>
            <w:shd w:val="clear" w:color="auto" w:fill="FFFFFF"/>
          </w:tcPr>
          <w:p w:rsidR="00115C81" w:rsidRPr="00C21B27" w:rsidRDefault="00115C81" w:rsidP="008E3540">
            <w:pPr>
              <w:autoSpaceDE w:val="0"/>
              <w:autoSpaceDN w:val="0"/>
              <w:adjustRightInd w:val="0"/>
              <w:jc w:val="both"/>
            </w:pPr>
            <w:r>
              <w:t>Eine alternative Lösung ist die Nullvariante, was bedeuten würde, das in der Verordnung keine neuen Gruppen von Bauprodukten ergänzt werden – die betreffenden Produkte werden nicht in Anhang 1 der Verordnung in die Liste der Gruppen von Bauprodukten, wofür die Bewertung und Überprüfung der Leistungsbeständigkeit der vom Hersteller erklärten wesentlichen Leistungsmerkmale der Bauprodukte gilt, aufgenommen und werden keine Bauprodukte gemäß Gesetz GBl. Nr. 133/2013 über Bauprodukte und über die Änderung und Ergänzung einiger Gesetze in der jeweils geltenden Fassung, was eine Einschränkung bei der Vermarktung dieser Produkte zur Folge haben würde.</w:t>
            </w:r>
          </w:p>
          <w:p w:rsidR="00BD7F66" w:rsidRPr="00C21B27" w:rsidRDefault="00115C81" w:rsidP="008E3540">
            <w:pPr>
              <w:autoSpaceDE w:val="0"/>
              <w:autoSpaceDN w:val="0"/>
              <w:adjustRightInd w:val="0"/>
              <w:jc w:val="both"/>
            </w:pPr>
            <w:r>
              <w:t>Im Sinne des Gesetzes GBl. Nr. 133/2013 über Bauprodukte und über die Änderung und Ergänzung einiger Gesetze in der jeweils geltenden Fassung hat das Ministerium für Verkehr und Bauwesen der Slowakischen Republik die Pflicht, eine Liste der Gruppen von Bauprodukten festzulegen, wofür die Leistungsbewertung zusammen mit den jeweiligen Systemen der Leistungsbewertung gilt. Die jetzige Rechtsvorschrift enthält nicht alle Anforderungen an die Produkte. Aus diesem Grunde müssen entsprechende Überarbeitungen und Ergänzungen erfolgen, die für die Leistungsbewertung der Bauprodukte erforderlich sind.</w:t>
            </w:r>
          </w:p>
        </w:tc>
      </w:tr>
      <w:tr w:rsidR="008360EC" w:rsidRPr="00C21B27" w:rsidTr="00C21B27">
        <w:tc>
          <w:tcPr>
            <w:tcW w:w="9327" w:type="dxa"/>
            <w:gridSpan w:val="6"/>
            <w:tcBorders>
              <w:bottom w:val="single" w:sz="4" w:space="0" w:color="FFFFFF"/>
            </w:tcBorders>
            <w:shd w:val="clear" w:color="auto" w:fill="E2E2E2"/>
          </w:tcPr>
          <w:p w:rsidR="008360EC" w:rsidRPr="00C21B27" w:rsidRDefault="008360EC" w:rsidP="008360EC">
            <w:pPr>
              <w:pStyle w:val="Listenabsatz"/>
              <w:numPr>
                <w:ilvl w:val="0"/>
                <w:numId w:val="1"/>
              </w:numPr>
              <w:ind w:left="426"/>
              <w:rPr>
                <w:b/>
              </w:rPr>
            </w:pPr>
            <w:r>
              <w:rPr>
                <w:b/>
              </w:rPr>
              <w:t>Durchführungsvorschriften</w:t>
            </w:r>
          </w:p>
        </w:tc>
      </w:tr>
      <w:tr w:rsidR="008360EC" w:rsidRPr="00C21B27" w:rsidTr="00C21B27">
        <w:tc>
          <w:tcPr>
            <w:tcW w:w="6350" w:type="dxa"/>
            <w:gridSpan w:val="4"/>
            <w:tcBorders>
              <w:top w:val="single" w:sz="4" w:space="0" w:color="FFFFFF"/>
              <w:bottom w:val="nil"/>
              <w:right w:val="nil"/>
            </w:tcBorders>
            <w:shd w:val="clear" w:color="auto" w:fill="FFFFFF"/>
          </w:tcPr>
          <w:p w:rsidR="008360EC" w:rsidRPr="00C21B27" w:rsidRDefault="008360EC" w:rsidP="0035570A">
            <w:pPr>
              <w:rPr>
                <w:i/>
              </w:rPr>
            </w:pPr>
            <w:r>
              <w:rPr>
                <w:i/>
              </w:rPr>
              <w:t>Wird von einer Verabschiedung/Änderung von Durchführungsvorschriften ausgegangen?</w:t>
            </w:r>
          </w:p>
        </w:tc>
        <w:tc>
          <w:tcPr>
            <w:tcW w:w="1417" w:type="dxa"/>
            <w:tcBorders>
              <w:top w:val="single" w:sz="4" w:space="0" w:color="FFFFFF"/>
              <w:left w:val="nil"/>
              <w:bottom w:val="nil"/>
              <w:right w:val="nil"/>
            </w:tcBorders>
            <w:shd w:val="clear" w:color="auto" w:fill="FFFFFF"/>
          </w:tcPr>
          <w:p w:rsidR="008360EC" w:rsidRPr="00C21B27" w:rsidRDefault="008360EC" w:rsidP="0035570A">
            <w:pPr>
              <w:jc w:val="center"/>
            </w:pPr>
            <w:r>
              <w:rPr>
                <w:rFonts w:ascii="Segoe UI Symbol" w:hAnsi="Segoe UI Symbol"/>
              </w:rPr>
              <w:t>☐</w:t>
            </w:r>
            <w:r>
              <w:t xml:space="preserve"> Ja</w:t>
            </w:r>
          </w:p>
        </w:tc>
        <w:tc>
          <w:tcPr>
            <w:tcW w:w="1560" w:type="dxa"/>
            <w:tcBorders>
              <w:top w:val="single" w:sz="4" w:space="0" w:color="FFFFFF"/>
              <w:left w:val="nil"/>
              <w:bottom w:val="nil"/>
            </w:tcBorders>
            <w:shd w:val="clear" w:color="auto" w:fill="FFFFFF"/>
          </w:tcPr>
          <w:p w:rsidR="008360EC" w:rsidRPr="00C21B27" w:rsidRDefault="008360EC" w:rsidP="0035570A">
            <w:pPr>
              <w:jc w:val="center"/>
            </w:pPr>
            <w:r>
              <w:rPr>
                <w:rFonts w:ascii="Segoe UI Symbol" w:hAnsi="Segoe UI Symbol"/>
              </w:rPr>
              <w:t>☒</w:t>
            </w:r>
            <w:r>
              <w:t xml:space="preserve"> Nein</w:t>
            </w:r>
          </w:p>
        </w:tc>
      </w:tr>
      <w:tr w:rsidR="008360EC" w:rsidRPr="00C21B27" w:rsidTr="00C21B27">
        <w:tc>
          <w:tcPr>
            <w:tcW w:w="9327" w:type="dxa"/>
            <w:gridSpan w:val="6"/>
            <w:tcBorders>
              <w:top w:val="nil"/>
            </w:tcBorders>
            <w:shd w:val="clear" w:color="auto" w:fill="FFFFFF"/>
          </w:tcPr>
          <w:p w:rsidR="00F27AF2" w:rsidRPr="00C21B27" w:rsidRDefault="00104149" w:rsidP="00917EEC">
            <w:pPr>
              <w:jc w:val="both"/>
            </w:pPr>
            <w:r>
              <w:t xml:space="preserve">Nein, da diese Verordnung die Durchführungsvorschrift zum </w:t>
            </w:r>
            <w:r>
              <w:rPr>
                <w:rStyle w:val="Platzhaltertext"/>
                <w:color w:val="auto"/>
              </w:rPr>
              <w:t>Gesetz</w:t>
            </w:r>
            <w:r>
              <w:t xml:space="preserve"> GBl. Nr. 133/2013 über Bauprodukte und über die Änderung und Ergänzung einiger Gesetze in der jeweils geltenden Fassung ist.</w:t>
            </w:r>
          </w:p>
        </w:tc>
      </w:tr>
      <w:tr w:rsidR="008360EC" w:rsidRPr="00C21B27" w:rsidTr="00C21B27">
        <w:tc>
          <w:tcPr>
            <w:tcW w:w="9327" w:type="dxa"/>
            <w:gridSpan w:val="6"/>
            <w:tcBorders>
              <w:bottom w:val="single" w:sz="4" w:space="0" w:color="FFFFFF"/>
            </w:tcBorders>
            <w:shd w:val="clear" w:color="auto" w:fill="E2E2E2"/>
          </w:tcPr>
          <w:p w:rsidR="008360EC" w:rsidRPr="00C21B27" w:rsidRDefault="008360EC" w:rsidP="008360EC">
            <w:pPr>
              <w:pStyle w:val="Listenabsatz"/>
              <w:numPr>
                <w:ilvl w:val="0"/>
                <w:numId w:val="1"/>
              </w:numPr>
              <w:ind w:left="426"/>
              <w:rPr>
                <w:b/>
              </w:rPr>
            </w:pPr>
            <w:r>
              <w:rPr>
                <w:b/>
              </w:rPr>
              <w:t xml:space="preserve">Umsetzung von EU-Recht </w:t>
            </w:r>
          </w:p>
        </w:tc>
      </w:tr>
      <w:tr w:rsidR="008360EC" w:rsidRPr="00C21B27" w:rsidTr="00C21B27">
        <w:tc>
          <w:tcPr>
            <w:tcW w:w="9327" w:type="dxa"/>
            <w:gridSpan w:val="6"/>
            <w:tcBorders>
              <w:top w:val="nil"/>
              <w:left w:val="single" w:sz="4" w:space="0" w:color="000000"/>
              <w:bottom w:val="nil"/>
            </w:tcBorders>
            <w:shd w:val="clear" w:color="auto" w:fill="FFFFFF"/>
          </w:tcPr>
          <w:p w:rsidR="008360EC" w:rsidRPr="00C21B27" w:rsidRDefault="008360EC" w:rsidP="0035570A">
            <w:pPr>
              <w:autoSpaceDE w:val="0"/>
              <w:autoSpaceDN w:val="0"/>
              <w:adjustRightInd w:val="0"/>
            </w:pPr>
            <w:r>
              <w:t>-</w:t>
            </w:r>
          </w:p>
        </w:tc>
      </w:tr>
      <w:tr w:rsidR="008360EC" w:rsidRPr="00C21B27" w:rsidTr="00C21B27">
        <w:tc>
          <w:tcPr>
            <w:tcW w:w="9327" w:type="dxa"/>
            <w:gridSpan w:val="6"/>
            <w:tcBorders>
              <w:bottom w:val="single" w:sz="4" w:space="0" w:color="FFFFFF"/>
            </w:tcBorders>
            <w:shd w:val="clear" w:color="auto" w:fill="E2E2E2"/>
          </w:tcPr>
          <w:p w:rsidR="008360EC" w:rsidRPr="00C21B27" w:rsidRDefault="008360EC" w:rsidP="008360EC">
            <w:pPr>
              <w:pStyle w:val="Listenabsatz"/>
              <w:numPr>
                <w:ilvl w:val="0"/>
                <w:numId w:val="1"/>
              </w:numPr>
              <w:ind w:left="426"/>
              <w:rPr>
                <w:b/>
              </w:rPr>
            </w:pPr>
            <w:r>
              <w:rPr>
                <w:b/>
              </w:rPr>
              <w:t>Überprüfung der Zweckmäßigkeit**</w:t>
            </w:r>
          </w:p>
        </w:tc>
      </w:tr>
      <w:tr w:rsidR="008360EC" w:rsidRPr="00C21B27" w:rsidTr="00C21B27">
        <w:tc>
          <w:tcPr>
            <w:tcW w:w="9327" w:type="dxa"/>
            <w:gridSpan w:val="6"/>
            <w:tcBorders>
              <w:top w:val="single" w:sz="4" w:space="0" w:color="FFFFFF"/>
            </w:tcBorders>
            <w:shd w:val="clear" w:color="auto" w:fill="FFFFFF"/>
          </w:tcPr>
          <w:p w:rsidR="008360EC" w:rsidRPr="00C21B27" w:rsidRDefault="00573ED1" w:rsidP="0035570A">
            <w:pPr>
              <w:rPr>
                <w:i/>
              </w:rPr>
            </w:pPr>
            <w:r>
              <w:t>Eine Überprüfung der Zweckmäßigkeit des Verordnungsentwurfs ist nicht vorgesehen.</w:t>
            </w:r>
          </w:p>
        </w:tc>
      </w:tr>
      <w:tr w:rsidR="008360EC" w:rsidRPr="00C21B27" w:rsidTr="00C21B27">
        <w:tc>
          <w:tcPr>
            <w:tcW w:w="9327" w:type="dxa"/>
            <w:gridSpan w:val="6"/>
            <w:tcBorders>
              <w:top w:val="nil"/>
              <w:left w:val="nil"/>
              <w:right w:val="nil"/>
            </w:tcBorders>
            <w:shd w:val="clear" w:color="auto" w:fill="FFFFFF"/>
          </w:tcPr>
          <w:p w:rsidR="008360EC" w:rsidRPr="00C21B27" w:rsidRDefault="008360EC" w:rsidP="0035570A">
            <w:pPr>
              <w:rPr>
                <w:highlight w:val="lightGray"/>
              </w:rPr>
            </w:pPr>
          </w:p>
          <w:tbl>
            <w:tblPr>
              <w:tblW w:w="9214" w:type="dxa"/>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3637"/>
              <w:gridCol w:w="1819"/>
              <w:gridCol w:w="1819"/>
              <w:gridCol w:w="1939"/>
            </w:tblGrid>
            <w:tr w:rsidR="00FF6CF1" w:rsidRPr="00C21B27" w:rsidTr="00FF6CF1">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FF6CF1" w:rsidRPr="00C21B27" w:rsidRDefault="00FF6CF1" w:rsidP="00726929">
                  <w:pPr>
                    <w:pStyle w:val="Listenabsatz"/>
                    <w:numPr>
                      <w:ilvl w:val="0"/>
                      <w:numId w:val="1"/>
                    </w:numPr>
                    <w:ind w:left="426"/>
                    <w:rPr>
                      <w:b/>
                      <w:bCs/>
                    </w:rPr>
                  </w:pPr>
                  <w:r>
                    <w:rPr>
                      <w:b/>
                      <w:bCs/>
                    </w:rPr>
                    <w:t>Auswirkungen der entworfenen Rechtsvorschrift</w:t>
                  </w:r>
                </w:p>
              </w:tc>
            </w:tr>
            <w:tr w:rsidR="00FF6CF1" w:rsidRPr="00C21B27" w:rsidTr="00FF6CF1">
              <w:trPr>
                <w:trHeight w:val="270"/>
                <w:jc w:val="center"/>
              </w:trPr>
              <w:tc>
                <w:tcPr>
                  <w:tcW w:w="1974"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726929" w:rsidRPr="00C21B27" w:rsidRDefault="00FF6CF1" w:rsidP="00726929">
                  <w:pPr>
                    <w:ind w:firstLine="120"/>
                    <w:rPr>
                      <w:b/>
                      <w:bCs/>
                    </w:rPr>
                  </w:pPr>
                  <w:r>
                    <w:rPr>
                      <w:b/>
                      <w:bCs/>
                    </w:rPr>
                    <w:t>Auswirkungen auf den Haushalt der öffentlichen Verwaltung</w:t>
                  </w:r>
                </w:p>
                <w:p w:rsidR="00FF6CF1" w:rsidRPr="00C21B27" w:rsidRDefault="00FF6CF1" w:rsidP="00726929">
                  <w:pPr>
                    <w:ind w:firstLine="240"/>
                  </w:pPr>
                  <w:r>
                    <w:t>davon haushaltsmäßig abgesicherte Auswirkungen</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Positiv</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143"/>
                      <w:tab w:val="left" w:pos="593"/>
                    </w:tabs>
                  </w:pPr>
                  <w:r>
                    <w:tab/>
                    <w:t>x</w:t>
                  </w:r>
                  <w:r>
                    <w:tab/>
                    <w:t>Keine</w:t>
                  </w:r>
                </w:p>
              </w:tc>
              <w:tc>
                <w:tcPr>
                  <w:tcW w:w="1052"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Negativ</w:t>
                  </w:r>
                </w:p>
              </w:tc>
            </w:tr>
            <w:tr w:rsidR="00FF6CF1" w:rsidRPr="00C21B27" w:rsidTr="00FF6CF1">
              <w:trPr>
                <w:trHeight w:val="270"/>
                <w:jc w:val="center"/>
              </w:trPr>
              <w:tc>
                <w:tcPr>
                  <w:tcW w:w="1974" w:type="pct"/>
                  <w:vMerge/>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FF6CF1" w:rsidP="00FF6CF1"/>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Ja</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Nein</w:t>
                  </w:r>
                </w:p>
              </w:tc>
              <w:tc>
                <w:tcPr>
                  <w:tcW w:w="1052"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Teilweise</w:t>
                  </w:r>
                </w:p>
              </w:tc>
            </w:tr>
            <w:tr w:rsidR="00FF6CF1" w:rsidRPr="00C21B27" w:rsidTr="00FF6CF1">
              <w:trPr>
                <w:trHeight w:val="270"/>
                <w:jc w:val="center"/>
              </w:trPr>
              <w:tc>
                <w:tcPr>
                  <w:tcW w:w="1974" w:type="pct"/>
                  <w:tcBorders>
                    <w:top w:val="outset" w:sz="6" w:space="0" w:color="000000"/>
                    <w:left w:val="outset" w:sz="6" w:space="0" w:color="000000"/>
                    <w:bottom w:val="outset" w:sz="6" w:space="0" w:color="000000"/>
                    <w:right w:val="outset" w:sz="6" w:space="0" w:color="000000"/>
                  </w:tcBorders>
                  <w:shd w:val="clear" w:color="auto" w:fill="D9D9D9"/>
                  <w:vAlign w:val="center"/>
                </w:tcPr>
                <w:p w:rsidR="00FF6CF1" w:rsidRPr="00C21B27" w:rsidRDefault="00FF6CF1" w:rsidP="00726929">
                  <w:pPr>
                    <w:ind w:firstLine="120"/>
                    <w:rPr>
                      <w:b/>
                    </w:rPr>
                  </w:pPr>
                  <w:r>
                    <w:rPr>
                      <w:b/>
                    </w:rPr>
                    <w:t xml:space="preserve">Auswirkungen auf </w:t>
                  </w:r>
                  <w:r>
                    <w:rPr>
                      <w:b/>
                      <w:bCs/>
                    </w:rPr>
                    <w:t>Ehe</w:t>
                  </w:r>
                  <w:r>
                    <w:rPr>
                      <w:b/>
                    </w:rPr>
                    <w:t>, Elternschaft und Familie</w:t>
                  </w:r>
                </w:p>
              </w:tc>
              <w:tc>
                <w:tcPr>
                  <w:tcW w:w="987" w:type="pct"/>
                  <w:tcBorders>
                    <w:top w:val="outset" w:sz="6" w:space="0" w:color="000000"/>
                    <w:left w:val="outset" w:sz="6" w:space="0" w:color="000000"/>
                    <w:bottom w:val="outset" w:sz="6" w:space="0" w:color="000000"/>
                    <w:right w:val="outset" w:sz="6" w:space="0" w:color="000000"/>
                  </w:tcBorders>
                  <w:vAlign w:val="center"/>
                </w:tcPr>
                <w:p w:rsidR="00FF6CF1" w:rsidRPr="00C21B27" w:rsidRDefault="00726929" w:rsidP="00726929">
                  <w:pPr>
                    <w:tabs>
                      <w:tab w:val="left" w:pos="612"/>
                    </w:tabs>
                  </w:pPr>
                  <w:r>
                    <w:tab/>
                    <w:t>Positiv</w:t>
                  </w:r>
                </w:p>
              </w:tc>
              <w:tc>
                <w:tcPr>
                  <w:tcW w:w="987" w:type="pct"/>
                  <w:tcBorders>
                    <w:top w:val="outset" w:sz="6" w:space="0" w:color="000000"/>
                    <w:left w:val="outset" w:sz="6" w:space="0" w:color="000000"/>
                    <w:bottom w:val="outset" w:sz="6" w:space="0" w:color="000000"/>
                    <w:right w:val="outset" w:sz="6" w:space="0" w:color="000000"/>
                  </w:tcBorders>
                  <w:vAlign w:val="center"/>
                </w:tcPr>
                <w:p w:rsidR="00FF6CF1" w:rsidRPr="00C21B27" w:rsidRDefault="00726929" w:rsidP="00726929">
                  <w:pPr>
                    <w:tabs>
                      <w:tab w:val="left" w:pos="143"/>
                      <w:tab w:val="left" w:pos="593"/>
                    </w:tabs>
                  </w:pPr>
                  <w:r>
                    <w:tab/>
                    <w:t>x</w:t>
                  </w:r>
                  <w:r>
                    <w:tab/>
                    <w:t>Keine</w:t>
                  </w:r>
                </w:p>
              </w:tc>
              <w:tc>
                <w:tcPr>
                  <w:tcW w:w="1052" w:type="pct"/>
                  <w:tcBorders>
                    <w:top w:val="outset" w:sz="6" w:space="0" w:color="000000"/>
                    <w:left w:val="outset" w:sz="6" w:space="0" w:color="000000"/>
                    <w:bottom w:val="outset" w:sz="6" w:space="0" w:color="000000"/>
                    <w:right w:val="outset" w:sz="6" w:space="0" w:color="000000"/>
                  </w:tcBorders>
                  <w:vAlign w:val="center"/>
                </w:tcPr>
                <w:p w:rsidR="00FF6CF1" w:rsidRPr="00C21B27" w:rsidRDefault="00726929" w:rsidP="00726929">
                  <w:pPr>
                    <w:tabs>
                      <w:tab w:val="left" w:pos="612"/>
                    </w:tabs>
                  </w:pPr>
                  <w:r>
                    <w:tab/>
                    <w:t>Negativ</w:t>
                  </w:r>
                </w:p>
              </w:tc>
            </w:tr>
            <w:tr w:rsidR="00FF6CF1" w:rsidRPr="00C21B27" w:rsidTr="00FF6CF1">
              <w:trPr>
                <w:trHeight w:val="270"/>
                <w:jc w:val="center"/>
              </w:trPr>
              <w:tc>
                <w:tcPr>
                  <w:tcW w:w="1974" w:type="pct"/>
                  <w:vMerge w:val="restar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726929" w:rsidRPr="00C21B27" w:rsidRDefault="00FF6CF1" w:rsidP="00726929">
                  <w:pPr>
                    <w:ind w:firstLine="120"/>
                    <w:rPr>
                      <w:b/>
                      <w:bCs/>
                    </w:rPr>
                  </w:pPr>
                  <w:r>
                    <w:rPr>
                      <w:b/>
                      <w:bCs/>
                    </w:rPr>
                    <w:t>Auswirkungen auf die Rahmenbedingungen für Unternehmer</w:t>
                  </w:r>
                </w:p>
                <w:p w:rsidR="00FF6CF1" w:rsidRPr="00C21B27" w:rsidRDefault="00FF6CF1" w:rsidP="00726929">
                  <w:pPr>
                    <w:ind w:firstLine="240"/>
                  </w:pPr>
                  <w:r>
                    <w:t>davon Auswirkungen auf KMU</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143"/>
                      <w:tab w:val="left" w:pos="593"/>
                    </w:tabs>
                  </w:pPr>
                  <w:r>
                    <w:tab/>
                    <w:t>x</w:t>
                  </w:r>
                  <w:r>
                    <w:tab/>
                    <w:t>Positiv</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Keine Auswirkungen</w:t>
                  </w:r>
                </w:p>
              </w:tc>
              <w:tc>
                <w:tcPr>
                  <w:tcW w:w="1052"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143"/>
                      <w:tab w:val="left" w:pos="593"/>
                    </w:tabs>
                  </w:pPr>
                  <w:r>
                    <w:tab/>
                    <w:t>x</w:t>
                  </w:r>
                  <w:r>
                    <w:tab/>
                    <w:t>Negativ</w:t>
                  </w:r>
                </w:p>
              </w:tc>
            </w:tr>
            <w:tr w:rsidR="001B7E87" w:rsidRPr="00C21B27" w:rsidTr="00FF6CF1">
              <w:trPr>
                <w:trHeight w:val="270"/>
                <w:jc w:val="center"/>
              </w:trPr>
              <w:tc>
                <w:tcPr>
                  <w:tcW w:w="1974" w:type="pct"/>
                  <w:vMerge/>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1B7E87" w:rsidRPr="00C21B27" w:rsidRDefault="001B7E87" w:rsidP="001B7E87"/>
              </w:tc>
              <w:tc>
                <w:tcPr>
                  <w:tcW w:w="987" w:type="pct"/>
                  <w:tcBorders>
                    <w:top w:val="outset" w:sz="6" w:space="0" w:color="000000"/>
                    <w:left w:val="outset" w:sz="6" w:space="0" w:color="000000"/>
                    <w:bottom w:val="outset" w:sz="6" w:space="0" w:color="000000"/>
                    <w:right w:val="outset" w:sz="6" w:space="0" w:color="000000"/>
                  </w:tcBorders>
                  <w:vAlign w:val="center"/>
                  <w:hideMark/>
                </w:tcPr>
                <w:p w:rsidR="001B7E87" w:rsidRPr="00C21B27" w:rsidRDefault="00726929" w:rsidP="00726929">
                  <w:pPr>
                    <w:tabs>
                      <w:tab w:val="left" w:pos="143"/>
                      <w:tab w:val="left" w:pos="593"/>
                    </w:tabs>
                  </w:pPr>
                  <w:r>
                    <w:tab/>
                    <w:t>x</w:t>
                  </w:r>
                  <w:r>
                    <w:tab/>
                    <w:t>Positiv</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1B7E87" w:rsidRPr="00C21B27" w:rsidRDefault="00726929" w:rsidP="00726929">
                  <w:pPr>
                    <w:tabs>
                      <w:tab w:val="left" w:pos="612"/>
                    </w:tabs>
                  </w:pPr>
                  <w:r>
                    <w:tab/>
                    <w:t>Keine Auswirkungen</w:t>
                  </w:r>
                </w:p>
              </w:tc>
              <w:tc>
                <w:tcPr>
                  <w:tcW w:w="1052" w:type="pct"/>
                  <w:tcBorders>
                    <w:top w:val="outset" w:sz="6" w:space="0" w:color="000000"/>
                    <w:left w:val="outset" w:sz="6" w:space="0" w:color="000000"/>
                    <w:bottom w:val="outset" w:sz="6" w:space="0" w:color="000000"/>
                    <w:right w:val="outset" w:sz="6" w:space="0" w:color="000000"/>
                  </w:tcBorders>
                  <w:vAlign w:val="center"/>
                  <w:hideMark/>
                </w:tcPr>
                <w:p w:rsidR="001B7E87" w:rsidRPr="00C21B27" w:rsidRDefault="00726929" w:rsidP="00726929">
                  <w:pPr>
                    <w:tabs>
                      <w:tab w:val="left" w:pos="143"/>
                      <w:tab w:val="left" w:pos="593"/>
                    </w:tabs>
                  </w:pPr>
                  <w:r>
                    <w:tab/>
                    <w:t>x</w:t>
                  </w:r>
                  <w:r>
                    <w:tab/>
                    <w:t>Negativ</w:t>
                  </w:r>
                </w:p>
              </w:tc>
            </w:tr>
            <w:tr w:rsidR="00FF6CF1" w:rsidRPr="00C21B27" w:rsidTr="00FF6CF1">
              <w:trPr>
                <w:trHeight w:val="270"/>
                <w:jc w:val="center"/>
              </w:trPr>
              <w:tc>
                <w:tcPr>
                  <w:tcW w:w="1974"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FF6CF1" w:rsidRPr="00C21B27" w:rsidRDefault="00FF6CF1" w:rsidP="00726929">
                  <w:pPr>
                    <w:ind w:firstLine="120"/>
                    <w:rPr>
                      <w:b/>
                    </w:rPr>
                  </w:pPr>
                  <w:r>
                    <w:rPr>
                      <w:b/>
                      <w:bCs/>
                    </w:rPr>
                    <w:t>Soziale Auswirkungen</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Positiv</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143"/>
                      <w:tab w:val="left" w:pos="593"/>
                    </w:tabs>
                  </w:pPr>
                  <w:r>
                    <w:tab/>
                    <w:t>x</w:t>
                  </w:r>
                  <w:r>
                    <w:tab/>
                    <w:t>Keine</w:t>
                  </w:r>
                </w:p>
              </w:tc>
              <w:tc>
                <w:tcPr>
                  <w:tcW w:w="1052"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Negativ</w:t>
                  </w:r>
                </w:p>
              </w:tc>
            </w:tr>
            <w:tr w:rsidR="00FF6CF1" w:rsidRPr="00C21B27" w:rsidTr="00FF6CF1">
              <w:trPr>
                <w:trHeight w:val="270"/>
                <w:jc w:val="center"/>
              </w:trPr>
              <w:tc>
                <w:tcPr>
                  <w:tcW w:w="1974"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FF6CF1" w:rsidRPr="00C21B27" w:rsidRDefault="00FF6CF1" w:rsidP="00726929">
                  <w:pPr>
                    <w:ind w:firstLine="120"/>
                    <w:rPr>
                      <w:b/>
                    </w:rPr>
                  </w:pPr>
                  <w:r>
                    <w:rPr>
                      <w:b/>
                      <w:bCs/>
                    </w:rPr>
                    <w:t>Auswirkungen auf die Umwelt</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Positiv</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143"/>
                      <w:tab w:val="left" w:pos="593"/>
                    </w:tabs>
                  </w:pPr>
                  <w:r>
                    <w:tab/>
                    <w:t>x</w:t>
                  </w:r>
                  <w:r>
                    <w:tab/>
                    <w:t>Keine</w:t>
                  </w:r>
                </w:p>
              </w:tc>
              <w:tc>
                <w:tcPr>
                  <w:tcW w:w="1052"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Negativ</w:t>
                  </w:r>
                </w:p>
              </w:tc>
            </w:tr>
            <w:tr w:rsidR="00FF6CF1" w:rsidRPr="00C21B27" w:rsidTr="00FF6CF1">
              <w:trPr>
                <w:trHeight w:val="270"/>
                <w:jc w:val="center"/>
              </w:trPr>
              <w:tc>
                <w:tcPr>
                  <w:tcW w:w="1974"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FF6CF1" w:rsidRPr="00C21B27" w:rsidRDefault="00FF6CF1" w:rsidP="00726929">
                  <w:pPr>
                    <w:ind w:firstLine="120"/>
                    <w:rPr>
                      <w:b/>
                    </w:rPr>
                  </w:pPr>
                  <w:r>
                    <w:rPr>
                      <w:b/>
                      <w:bCs/>
                    </w:rPr>
                    <w:t>Auswirkungen auf die Informationsgesellschaft</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Positiv</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143"/>
                      <w:tab w:val="left" w:pos="593"/>
                    </w:tabs>
                  </w:pPr>
                  <w:r>
                    <w:tab/>
                    <w:t>x</w:t>
                  </w:r>
                  <w:r>
                    <w:tab/>
                    <w:t>Keine</w:t>
                  </w:r>
                </w:p>
              </w:tc>
              <w:tc>
                <w:tcPr>
                  <w:tcW w:w="1052"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Negativ</w:t>
                  </w:r>
                </w:p>
              </w:tc>
            </w:tr>
            <w:tr w:rsidR="00FF6CF1" w:rsidRPr="00C21B27" w:rsidTr="00FF6CF1">
              <w:trPr>
                <w:trHeight w:val="675"/>
                <w:jc w:val="center"/>
              </w:trPr>
              <w:tc>
                <w:tcPr>
                  <w:tcW w:w="1974"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726929" w:rsidRPr="00C21B27" w:rsidRDefault="00FF6CF1" w:rsidP="00726929">
                  <w:pPr>
                    <w:ind w:firstLine="120"/>
                    <w:rPr>
                      <w:b/>
                      <w:bCs/>
                    </w:rPr>
                  </w:pPr>
                  <w:r>
                    <w:rPr>
                      <w:b/>
                      <w:bCs/>
                    </w:rPr>
                    <w:t>Auswirkungen auf die Dienste für Bürger, davon</w:t>
                  </w:r>
                </w:p>
                <w:p w:rsidR="00726929" w:rsidRPr="00C21B27" w:rsidRDefault="00FF6CF1" w:rsidP="00726929">
                  <w:pPr>
                    <w:ind w:firstLine="240"/>
                  </w:pPr>
                  <w:r>
                    <w:t>Auswirkungen der Dienste der öffentlichen Verwaltung auf Bürger</w:t>
                  </w:r>
                </w:p>
                <w:p w:rsidR="00726929" w:rsidRPr="00C21B27" w:rsidRDefault="00FF6CF1" w:rsidP="00726929">
                  <w:pPr>
                    <w:ind w:firstLine="240"/>
                  </w:pPr>
                  <w:r>
                    <w:t xml:space="preserve">Auswirkungen auf </w:t>
                  </w:r>
                  <w:proofErr w:type="spellStart"/>
                  <w:r>
                    <w:t>dienstebezogene</w:t>
                  </w:r>
                  <w:proofErr w:type="spellEnd"/>
                  <w:r>
                    <w:t xml:space="preserve"> Verfahren in der </w:t>
                  </w:r>
                  <w:r>
                    <w:lastRenderedPageBreak/>
                    <w:t>öffentlichen</w:t>
                  </w:r>
                </w:p>
                <w:p w:rsidR="00FF6CF1" w:rsidRPr="00C21B27" w:rsidRDefault="00FF6CF1" w:rsidP="00726929">
                  <w:pPr>
                    <w:ind w:firstLine="240"/>
                  </w:pPr>
                  <w:r>
                    <w:t>Verwaltung</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lastRenderedPageBreak/>
                    <w:tab/>
                    <w:t>Positiv</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143"/>
                      <w:tab w:val="left" w:pos="593"/>
                    </w:tabs>
                  </w:pPr>
                  <w:r>
                    <w:tab/>
                    <w:t>x</w:t>
                  </w:r>
                  <w:r>
                    <w:tab/>
                    <w:t>Keine</w:t>
                  </w:r>
                </w:p>
              </w:tc>
              <w:tc>
                <w:tcPr>
                  <w:tcW w:w="1052"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Negativ</w:t>
                  </w:r>
                </w:p>
              </w:tc>
            </w:tr>
            <w:tr w:rsidR="00FF6CF1" w:rsidRPr="00C21B27" w:rsidTr="00FF6CF1">
              <w:trPr>
                <w:trHeight w:val="150"/>
                <w:jc w:val="center"/>
              </w:trPr>
              <w:tc>
                <w:tcPr>
                  <w:tcW w:w="1974" w:type="pct"/>
                  <w:vMerge/>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FF6CF1" w:rsidP="00FF6CF1"/>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Positiv</w:t>
                  </w:r>
                </w:p>
              </w:tc>
              <w:tc>
                <w:tcPr>
                  <w:tcW w:w="987"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143"/>
                      <w:tab w:val="left" w:pos="593"/>
                    </w:tabs>
                  </w:pPr>
                  <w:r>
                    <w:tab/>
                    <w:t>x</w:t>
                  </w:r>
                  <w:r>
                    <w:tab/>
                    <w:t>Keine</w:t>
                  </w:r>
                </w:p>
              </w:tc>
              <w:tc>
                <w:tcPr>
                  <w:tcW w:w="1052" w:type="pct"/>
                  <w:tcBorders>
                    <w:top w:val="outset" w:sz="6" w:space="0" w:color="000000"/>
                    <w:left w:val="outset" w:sz="6" w:space="0" w:color="000000"/>
                    <w:bottom w:val="outset" w:sz="6" w:space="0" w:color="000000"/>
                    <w:right w:val="outset" w:sz="6" w:space="0" w:color="000000"/>
                  </w:tcBorders>
                  <w:vAlign w:val="center"/>
                  <w:hideMark/>
                </w:tcPr>
                <w:p w:rsidR="00FF6CF1" w:rsidRPr="00C21B27" w:rsidRDefault="00726929" w:rsidP="00726929">
                  <w:pPr>
                    <w:tabs>
                      <w:tab w:val="left" w:pos="612"/>
                    </w:tabs>
                  </w:pPr>
                  <w:r>
                    <w:tab/>
                    <w:t>Negativ</w:t>
                  </w:r>
                </w:p>
              </w:tc>
            </w:tr>
          </w:tbl>
          <w:p w:rsidR="00FF6CF1" w:rsidRPr="00C21B27" w:rsidRDefault="00FF6CF1" w:rsidP="0035570A">
            <w:pPr>
              <w:rPr>
                <w:highlight w:val="lightGray"/>
              </w:rPr>
            </w:pPr>
          </w:p>
        </w:tc>
      </w:tr>
    </w:tbl>
    <w:p w:rsidR="008360EC" w:rsidRPr="00C21B27" w:rsidRDefault="008360EC" w:rsidP="008360EC">
      <w:pPr>
        <w:ind w:right="141"/>
        <w:rPr>
          <w:b/>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0"/>
      </w:tblGrid>
      <w:tr w:rsidR="008360EC" w:rsidRPr="00C21B27" w:rsidTr="00C21B27">
        <w:tc>
          <w:tcPr>
            <w:tcW w:w="9210" w:type="dxa"/>
            <w:tcBorders>
              <w:bottom w:val="nil"/>
            </w:tcBorders>
            <w:shd w:val="clear" w:color="auto" w:fill="E2E2E2"/>
          </w:tcPr>
          <w:p w:rsidR="008360EC" w:rsidRPr="00C21B27" w:rsidRDefault="008360EC" w:rsidP="00C21B27">
            <w:pPr>
              <w:pStyle w:val="Listenabsatz"/>
              <w:numPr>
                <w:ilvl w:val="0"/>
                <w:numId w:val="5"/>
              </w:numPr>
              <w:ind w:left="426"/>
              <w:rPr>
                <w:b/>
              </w:rPr>
            </w:pPr>
            <w:r>
              <w:rPr>
                <w:b/>
              </w:rPr>
              <w:t>Bemerkungen</w:t>
            </w:r>
          </w:p>
        </w:tc>
      </w:tr>
      <w:tr w:rsidR="008360EC" w:rsidRPr="00C21B27" w:rsidTr="00C21B27">
        <w:tc>
          <w:tcPr>
            <w:tcW w:w="9210" w:type="dxa"/>
            <w:tcBorders>
              <w:top w:val="nil"/>
              <w:bottom w:val="single" w:sz="4" w:space="0" w:color="FFFFFF"/>
            </w:tcBorders>
          </w:tcPr>
          <w:p w:rsidR="008360EC" w:rsidRPr="00C21B27" w:rsidRDefault="008360EC" w:rsidP="0035570A">
            <w:pPr>
              <w:jc w:val="both"/>
            </w:pPr>
            <w:r>
              <w:t>-</w:t>
            </w:r>
          </w:p>
        </w:tc>
      </w:tr>
      <w:tr w:rsidR="008360EC" w:rsidRPr="00C21B27" w:rsidTr="00C21B27">
        <w:tc>
          <w:tcPr>
            <w:tcW w:w="9210" w:type="dxa"/>
            <w:tcBorders>
              <w:bottom w:val="single" w:sz="4" w:space="0" w:color="FFFFFF"/>
            </w:tcBorders>
            <w:shd w:val="clear" w:color="auto" w:fill="E2E2E2"/>
          </w:tcPr>
          <w:p w:rsidR="008360EC" w:rsidRPr="00C21B27" w:rsidRDefault="008360EC" w:rsidP="00B308B4">
            <w:pPr>
              <w:pStyle w:val="Listenabsatz"/>
              <w:numPr>
                <w:ilvl w:val="0"/>
                <w:numId w:val="5"/>
              </w:numPr>
              <w:ind w:left="426"/>
              <w:rPr>
                <w:b/>
              </w:rPr>
            </w:pPr>
            <w:r>
              <w:rPr>
                <w:b/>
              </w:rPr>
              <w:t>Kontakt zum Sachbearbeiter</w:t>
            </w:r>
          </w:p>
        </w:tc>
      </w:tr>
      <w:tr w:rsidR="008360EC" w:rsidRPr="00C21B27" w:rsidTr="00C21B27">
        <w:tc>
          <w:tcPr>
            <w:tcW w:w="9210" w:type="dxa"/>
            <w:tcBorders>
              <w:top w:val="single" w:sz="4" w:space="0" w:color="FFFFFF"/>
            </w:tcBorders>
            <w:shd w:val="clear" w:color="auto" w:fill="FFFFFF"/>
          </w:tcPr>
          <w:p w:rsidR="008360EC" w:rsidRPr="00C21B27" w:rsidRDefault="008360EC" w:rsidP="0035570A">
            <w:r>
              <w:t>Ministerium für Verkehr und Bauwesen der Slowakischen Republik</w:t>
            </w:r>
          </w:p>
          <w:p w:rsidR="008360EC" w:rsidRPr="00C21B27" w:rsidRDefault="008360EC" w:rsidP="0035570A">
            <w:r>
              <w:t>Sektion Bauwesen</w:t>
            </w:r>
          </w:p>
          <w:p w:rsidR="00B512F3" w:rsidRPr="00C21B27" w:rsidRDefault="002720F0" w:rsidP="0035570A">
            <w:r>
              <w:t>Ressort Bauwirtschaft</w:t>
            </w:r>
          </w:p>
          <w:p w:rsidR="00590877" w:rsidRPr="00C21B27" w:rsidRDefault="00B512F3" w:rsidP="002720F0">
            <w:r>
              <w:t xml:space="preserve">Ing. </w:t>
            </w:r>
            <w:proofErr w:type="spellStart"/>
            <w:r>
              <w:t>Katarína</w:t>
            </w:r>
            <w:proofErr w:type="spellEnd"/>
            <w:r>
              <w:t xml:space="preserve"> </w:t>
            </w:r>
            <w:proofErr w:type="spellStart"/>
            <w:r>
              <w:t>Bzovská</w:t>
            </w:r>
            <w:proofErr w:type="spellEnd"/>
            <w:r>
              <w:t xml:space="preserve"> – </w:t>
            </w:r>
            <w:hyperlink r:id="rId9" w:history="1">
              <w:r>
                <w:rPr>
                  <w:rStyle w:val="Hyperlink"/>
                </w:rPr>
                <w:t>katarina.bzovska@mindop.sk</w:t>
              </w:r>
            </w:hyperlink>
            <w:r>
              <w:t xml:space="preserve"> </w:t>
            </w:r>
          </w:p>
          <w:p w:rsidR="00041EBB" w:rsidRPr="00C21B27" w:rsidRDefault="002720F0" w:rsidP="002720F0">
            <w:proofErr w:type="spellStart"/>
            <w:r>
              <w:t>JUDr</w:t>
            </w:r>
            <w:proofErr w:type="spellEnd"/>
            <w:r>
              <w:t xml:space="preserve">. Alexandra </w:t>
            </w:r>
            <w:proofErr w:type="spellStart"/>
            <w:r>
              <w:t>Sedlárová</w:t>
            </w:r>
            <w:proofErr w:type="spellEnd"/>
            <w:r>
              <w:t xml:space="preserve"> – </w:t>
            </w:r>
            <w:hyperlink r:id="rId10" w:history="1">
              <w:hyperlink r:id="rId11" w:history="1">
                <w:r>
                  <w:rPr>
                    <w:rStyle w:val="Hyperlink"/>
                  </w:rPr>
                  <w:t>alexandra.sedlarova</w:t>
                </w:r>
              </w:hyperlink>
              <w:r>
                <w:rPr>
                  <w:rStyle w:val="Hyperlink"/>
                </w:rPr>
                <w:t>@mindop.sk</w:t>
              </w:r>
            </w:hyperlink>
            <w:r>
              <w:t xml:space="preserve"> </w:t>
            </w:r>
          </w:p>
        </w:tc>
      </w:tr>
      <w:tr w:rsidR="008360EC" w:rsidRPr="00C21B27" w:rsidTr="00C21B27">
        <w:tc>
          <w:tcPr>
            <w:tcW w:w="9210" w:type="dxa"/>
            <w:tcBorders>
              <w:bottom w:val="single" w:sz="4" w:space="0" w:color="FFFFFF"/>
            </w:tcBorders>
            <w:shd w:val="clear" w:color="auto" w:fill="E2E2E2"/>
          </w:tcPr>
          <w:p w:rsidR="008360EC" w:rsidRPr="00C21B27" w:rsidRDefault="008360EC" w:rsidP="00B308B4">
            <w:pPr>
              <w:pStyle w:val="Listenabsatz"/>
              <w:numPr>
                <w:ilvl w:val="0"/>
                <w:numId w:val="5"/>
              </w:numPr>
              <w:ind w:left="426"/>
              <w:rPr>
                <w:b/>
              </w:rPr>
            </w:pPr>
            <w:r>
              <w:rPr>
                <w:b/>
              </w:rPr>
              <w:t>Quellen</w:t>
            </w:r>
          </w:p>
        </w:tc>
      </w:tr>
      <w:tr w:rsidR="008360EC" w:rsidRPr="00C21B27" w:rsidTr="00C21B27">
        <w:tc>
          <w:tcPr>
            <w:tcW w:w="9210" w:type="dxa"/>
            <w:tcBorders>
              <w:top w:val="single" w:sz="4" w:space="0" w:color="FFFFFF"/>
            </w:tcBorders>
            <w:shd w:val="clear" w:color="auto" w:fill="FFFFFF"/>
          </w:tcPr>
          <w:p w:rsidR="00AA3666" w:rsidRPr="00C21B27" w:rsidRDefault="00AA3666" w:rsidP="00AA3666">
            <w:r>
              <w:t>-delegierte Rechtsakte der Kommission (EU) gemäß § 60 der Verordnung (EU) Nr. 305/2011 des Europäischen Parlaments und des Rates vom 9. März 2011 zur Festlegung harmonisierter Bedingungen für die Vermarktung von Bauprodukten und zur Aufhebung der Richtlinie 89/106/EWG des Rates in der geltenden Fassung</w:t>
            </w:r>
          </w:p>
          <w:p w:rsidR="008360EC" w:rsidRPr="00C21B27" w:rsidRDefault="00AA3666" w:rsidP="00AA3666">
            <w:r>
              <w:t xml:space="preserve">-geltende technische Spezifikationen für die Leistungsbewertung von Bauprodukten </w:t>
            </w:r>
          </w:p>
          <w:p w:rsidR="00471523" w:rsidRPr="00C21B27" w:rsidRDefault="00471523" w:rsidP="00AA3666">
            <w:pPr>
              <w:rPr>
                <w:i/>
              </w:rPr>
            </w:pPr>
            <w:r>
              <w:t>-Beratungen mit der Fachöffentlichkeit</w:t>
            </w:r>
          </w:p>
        </w:tc>
      </w:tr>
      <w:tr w:rsidR="008360EC" w:rsidRPr="00C21B27" w:rsidTr="00C21B27">
        <w:tc>
          <w:tcPr>
            <w:tcW w:w="9210" w:type="dxa"/>
            <w:tcBorders>
              <w:bottom w:val="single" w:sz="4" w:space="0" w:color="FFFFFF"/>
            </w:tcBorders>
            <w:shd w:val="clear" w:color="auto" w:fill="E2E2E2"/>
          </w:tcPr>
          <w:p w:rsidR="008360EC" w:rsidRPr="00C21B27" w:rsidRDefault="008360EC" w:rsidP="00B308B4">
            <w:pPr>
              <w:pStyle w:val="Listenabsatz"/>
              <w:numPr>
                <w:ilvl w:val="0"/>
                <w:numId w:val="5"/>
              </w:numPr>
              <w:ind w:left="426"/>
              <w:rPr>
                <w:b/>
              </w:rPr>
            </w:pPr>
            <w:r>
              <w:rPr>
                <w:b/>
              </w:rPr>
              <w:t>Stellungnahme der Kommission zur Beurteilung ausgewählter Auswirkungen aus dem Anhörungsverfahren</w:t>
            </w:r>
          </w:p>
        </w:tc>
      </w:tr>
      <w:tr w:rsidR="008360EC" w:rsidRPr="00C21B27" w:rsidTr="00C21B27">
        <w:tc>
          <w:tcPr>
            <w:tcW w:w="9210" w:type="dxa"/>
            <w:tcBorders>
              <w:top w:val="single" w:sz="4" w:space="0" w:color="FFFFFF"/>
            </w:tcBorders>
            <w:shd w:val="clear" w:color="auto" w:fill="FFFFFF"/>
          </w:tcPr>
          <w:p w:rsidR="00590877" w:rsidRPr="00C21B27" w:rsidRDefault="00150387" w:rsidP="0035570A">
            <w:pPr>
              <w:jc w:val="both"/>
            </w:pPr>
            <w:r>
              <w:t>-</w:t>
            </w:r>
          </w:p>
        </w:tc>
      </w:tr>
    </w:tbl>
    <w:p w:rsidR="005A2412" w:rsidRPr="00C21B27" w:rsidRDefault="005A2412" w:rsidP="002720F0"/>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tblGrid>
      <w:tr w:rsidR="005A2412" w:rsidRPr="00C21B27" w:rsidTr="00C21B27">
        <w:tc>
          <w:tcPr>
            <w:tcW w:w="9302" w:type="dxa"/>
            <w:tcBorders>
              <w:top w:val="single" w:sz="4" w:space="0" w:color="auto"/>
              <w:left w:val="single" w:sz="4" w:space="0" w:color="auto"/>
              <w:bottom w:val="single" w:sz="4" w:space="0" w:color="auto"/>
              <w:right w:val="single" w:sz="4" w:space="0" w:color="auto"/>
            </w:tcBorders>
            <w:shd w:val="clear" w:color="auto" w:fill="D9D9D9"/>
            <w:hideMark/>
          </w:tcPr>
          <w:p w:rsidR="005A2412" w:rsidRPr="00C21B27" w:rsidRDefault="005A2412">
            <w:pPr>
              <w:jc w:val="center"/>
              <w:rPr>
                <w:b/>
                <w:szCs w:val="20"/>
              </w:rPr>
            </w:pPr>
            <w:r>
              <w:rPr>
                <w:b/>
                <w:sz w:val="28"/>
              </w:rPr>
              <w:t xml:space="preserve">Analyse der Auswirkungen auf die Rahmenbedingungen für Unternehmer </w:t>
            </w:r>
          </w:p>
          <w:p w:rsidR="005A2412" w:rsidRPr="00C21B27" w:rsidRDefault="005A2412">
            <w:pPr>
              <w:jc w:val="center"/>
              <w:rPr>
                <w:b/>
                <w:sz w:val="20"/>
              </w:rPr>
            </w:pPr>
            <w:r>
              <w:rPr>
                <w:b/>
              </w:rPr>
              <w:t>(einschließlich Test für KMU)</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shd w:val="clear" w:color="auto" w:fill="D9D9D9"/>
            <w:hideMark/>
          </w:tcPr>
          <w:p w:rsidR="005A2412" w:rsidRPr="00C21B27" w:rsidRDefault="005A2412">
            <w:pPr>
              <w:rPr>
                <w:b/>
              </w:rPr>
            </w:pPr>
            <w:r>
              <w:rPr>
                <w:b/>
              </w:rPr>
              <w:t>Die Vorschrift hat Auswirkungen hinsichtlich der Größenkategorie von Unternehmen:</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tbl>
            <w:tblPr>
              <w:tblW w:w="0" w:type="auto"/>
              <w:tblInd w:w="1" w:type="dxa"/>
              <w:tblLook w:val="04A0" w:firstRow="1" w:lastRow="0" w:firstColumn="1" w:lastColumn="0" w:noHBand="0" w:noVBand="1"/>
            </w:tblPr>
            <w:tblGrid>
              <w:gridCol w:w="456"/>
              <w:gridCol w:w="8628"/>
            </w:tblGrid>
            <w:tr w:rsidR="005A2412" w:rsidRPr="00C21B27">
              <w:trPr>
                <w:trHeight w:val="337"/>
              </w:trPr>
              <w:tc>
                <w:tcPr>
                  <w:tcW w:w="440" w:type="dxa"/>
                  <w:hideMark/>
                </w:tcPr>
                <w:p w:rsidR="005A2412" w:rsidRPr="00C21B27" w:rsidRDefault="005A2412">
                  <w:pPr>
                    <w:jc w:val="center"/>
                    <w:rPr>
                      <w:sz w:val="20"/>
                    </w:rPr>
                  </w:pPr>
                  <w:r>
                    <w:rPr>
                      <w:rFonts w:ascii="Segoe UI Symbol" w:hAnsi="Segoe UI Symbol"/>
                    </w:rPr>
                    <w:t>☐</w:t>
                  </w:r>
                </w:p>
              </w:tc>
              <w:tc>
                <w:tcPr>
                  <w:tcW w:w="8628" w:type="dxa"/>
                  <w:hideMark/>
                </w:tcPr>
                <w:p w:rsidR="005A2412" w:rsidRPr="00C21B27" w:rsidRDefault="005A2412">
                  <w:pPr>
                    <w:rPr>
                      <w:b/>
                    </w:rPr>
                  </w:pPr>
                  <w:r>
                    <w:rPr>
                      <w:b/>
                    </w:rPr>
                    <w:t xml:space="preserve">nur auf KMU (0 bis 249 Mitarbeiter) </w:t>
                  </w:r>
                </w:p>
              </w:tc>
            </w:tr>
            <w:tr w:rsidR="005A2412" w:rsidRPr="00C21B27">
              <w:trPr>
                <w:trHeight w:val="249"/>
              </w:trPr>
              <w:tc>
                <w:tcPr>
                  <w:tcW w:w="440" w:type="dxa"/>
                  <w:hideMark/>
                </w:tcPr>
                <w:p w:rsidR="005A2412" w:rsidRPr="00C21B27" w:rsidRDefault="005A2412">
                  <w:pPr>
                    <w:jc w:val="center"/>
                  </w:pPr>
                  <w:r>
                    <w:rPr>
                      <w:rFonts w:ascii="MS Gothic" w:hAnsi="MS Gothic"/>
                    </w:rPr>
                    <w:t>☐</w:t>
                  </w:r>
                </w:p>
              </w:tc>
              <w:tc>
                <w:tcPr>
                  <w:tcW w:w="8628" w:type="dxa"/>
                  <w:hideMark/>
                </w:tcPr>
                <w:p w:rsidR="005A2412" w:rsidRPr="00C21B27" w:rsidRDefault="005A2412">
                  <w:pPr>
                    <w:rPr>
                      <w:b/>
                    </w:rPr>
                  </w:pPr>
                  <w:r>
                    <w:rPr>
                      <w:b/>
                    </w:rPr>
                    <w:t>nur auf Großunternehmen (250 und mehr Mitarbeiter)</w:t>
                  </w:r>
                </w:p>
              </w:tc>
            </w:tr>
            <w:tr w:rsidR="005A2412" w:rsidRPr="00C21B27">
              <w:trPr>
                <w:trHeight w:val="264"/>
              </w:trPr>
              <w:tc>
                <w:tcPr>
                  <w:tcW w:w="440" w:type="dxa"/>
                  <w:hideMark/>
                </w:tcPr>
                <w:p w:rsidR="005A2412" w:rsidRPr="00C21B27" w:rsidRDefault="005A2412">
                  <w:pPr>
                    <w:jc w:val="center"/>
                  </w:pPr>
                  <w:r>
                    <w:rPr>
                      <w:rFonts w:ascii="MS Gothic" w:hAnsi="MS Gothic"/>
                    </w:rPr>
                    <w:t>☒</w:t>
                  </w:r>
                </w:p>
              </w:tc>
              <w:tc>
                <w:tcPr>
                  <w:tcW w:w="8628" w:type="dxa"/>
                  <w:hideMark/>
                </w:tcPr>
                <w:p w:rsidR="005A2412" w:rsidRPr="00C21B27" w:rsidRDefault="005A2412">
                  <w:r>
                    <w:rPr>
                      <w:b/>
                    </w:rPr>
                    <w:t>auf alle Kategorien von Unternehmen</w:t>
                  </w:r>
                </w:p>
              </w:tc>
            </w:tr>
          </w:tbl>
          <w:p w:rsidR="005A2412" w:rsidRPr="00C21B27" w:rsidRDefault="005A2412">
            <w:pPr>
              <w:rPr>
                <w:b/>
              </w:rPr>
            </w:pP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shd w:val="clear" w:color="auto" w:fill="D9D9D9"/>
            <w:hideMark/>
          </w:tcPr>
          <w:p w:rsidR="005A2412" w:rsidRPr="00C21B27" w:rsidRDefault="005A2412">
            <w:pPr>
              <w:rPr>
                <w:b/>
              </w:rPr>
            </w:pPr>
            <w:r>
              <w:rPr>
                <w:b/>
              </w:rPr>
              <w:t>3.1 Betroffene Unternehmen</w:t>
            </w:r>
          </w:p>
          <w:p w:rsidR="005A2412" w:rsidRPr="00C21B27" w:rsidRDefault="005A2412">
            <w:pPr>
              <w:ind w:left="284"/>
              <w:rPr>
                <w:b/>
                <w:sz w:val="20"/>
              </w:rPr>
            </w:pPr>
            <w:r>
              <w:rPr>
                <w:b/>
              </w:rPr>
              <w:t>– davon KMU</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p w:rsidR="005A2412" w:rsidRPr="00C21B27" w:rsidRDefault="005A2412">
            <w:pPr>
              <w:rPr>
                <w:i/>
              </w:rPr>
            </w:pPr>
            <w:r>
              <w:rPr>
                <w:i/>
              </w:rPr>
              <w:t>Geben Sie an, welche Unternehmen durch den vorgelegten Entwurf beeinflusst werden.</w:t>
            </w:r>
          </w:p>
          <w:p w:rsidR="005A2412" w:rsidRPr="00C21B27" w:rsidRDefault="005A2412">
            <w:pPr>
              <w:rPr>
                <w:i/>
              </w:rPr>
            </w:pPr>
            <w:r>
              <w:rPr>
                <w:i/>
              </w:rPr>
              <w:t>Wie hoch ist deren Anzahl?</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p w:rsidR="005A2412" w:rsidRPr="00C21B27" w:rsidRDefault="005A2412">
            <w:r>
              <w:t xml:space="preserve">Es handelt sich ausschließlich um Unternehmen auf dem Gebiet der Herstellung von Bauprodukten, deren Wirkungsbereich auf diejenigen Produkte konzentriert ist, die mit der Neufassung in die Liste der Gruppen von Bauprodukten aufgenommen wurden. Das betrifft Hersteller von Bauprodukten, ihre Einführer, Verkäufer, bevollmächtigte Vertreter, zugelassene Stellen und </w:t>
            </w:r>
            <w:proofErr w:type="spellStart"/>
            <w:r>
              <w:t>notifizierte</w:t>
            </w:r>
            <w:proofErr w:type="spellEnd"/>
            <w:r>
              <w:t xml:space="preserve"> Personen im Sinne des </w:t>
            </w:r>
            <w:r>
              <w:rPr>
                <w:rStyle w:val="Platzhaltertext"/>
              </w:rPr>
              <w:t>Gesetzes</w:t>
            </w:r>
            <w:r>
              <w:t xml:space="preserve"> GBl. Nr. 133/2013 über Bauprodukte und über die Änderung und Ergänzung einiger Gesetze in der jeweils geltenden Fassung und der Verordnung (EU) Nr. 305/2011 zur Festlegung harmonisierter Bedingungen für die Vermarktung von Bauprodukten und zur Aufhebung der Richtlinie 89/106/EWG des Rates in der geltenden Fassung (nachstehend nur „betroffene Wirtschaftsteilnehmer“). </w:t>
            </w:r>
          </w:p>
          <w:p w:rsidR="005A2412" w:rsidRPr="00C21B27" w:rsidRDefault="005A2412">
            <w:r>
              <w:t>Die Anzahl der betroffenen Unternehmen kann zum gegenwärtigen Zeitpunkt nicht konkretisiert werden, da es für ihre Identifikation und Bestimmung ihrer Anzahl weder einen Nachweis noch eine Statistik gibt.</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shd w:val="clear" w:color="auto" w:fill="D9D9D9"/>
            <w:hideMark/>
          </w:tcPr>
          <w:p w:rsidR="005A2412" w:rsidRPr="00C21B27" w:rsidRDefault="005A2412">
            <w:pPr>
              <w:rPr>
                <w:b/>
              </w:rPr>
            </w:pPr>
            <w:r>
              <w:rPr>
                <w:b/>
              </w:rPr>
              <w:t>3.2 Auswertung von Konsultationen</w:t>
            </w:r>
          </w:p>
          <w:p w:rsidR="005A2412" w:rsidRPr="00C21B27" w:rsidRDefault="005A2412" w:rsidP="00C21B27">
            <w:pPr>
              <w:ind w:left="284"/>
              <w:rPr>
                <w:b/>
                <w:sz w:val="20"/>
              </w:rPr>
            </w:pPr>
            <w:r>
              <w:rPr>
                <w:b/>
              </w:rPr>
              <w:t>– davon KMU</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p w:rsidR="005A2412" w:rsidRPr="00C21B27" w:rsidRDefault="005A2412">
            <w:pPr>
              <w:rPr>
                <w:i/>
              </w:rPr>
            </w:pPr>
            <w:r>
              <w:rPr>
                <w:i/>
              </w:rPr>
              <w:t>Geben Sie an, in welcher Form (öffentliche oder zielgerichtete Konsultation und warum) und mit wem der Entwurf konsultiert wurde.</w:t>
            </w:r>
          </w:p>
          <w:p w:rsidR="005A2412" w:rsidRPr="00C21B27" w:rsidRDefault="005A2412">
            <w:pPr>
              <w:rPr>
                <w:i/>
              </w:rPr>
            </w:pPr>
            <w:r>
              <w:rPr>
                <w:i/>
              </w:rPr>
              <w:lastRenderedPageBreak/>
              <w:t>Wie lange haben die Konsultationen gedauert?</w:t>
            </w:r>
          </w:p>
          <w:p w:rsidR="005A2412" w:rsidRPr="00C21B27" w:rsidRDefault="005A2412">
            <w:pPr>
              <w:rPr>
                <w:i/>
              </w:rPr>
            </w:pPr>
            <w:r>
              <w:rPr>
                <w:i/>
              </w:rPr>
              <w:t xml:space="preserve">Geben Sie die Hauptpunkte der Konsultationen und die Ergebnisse der Konsultationen an. </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p w:rsidR="005A2412" w:rsidRPr="00C21B27" w:rsidRDefault="005A2412">
            <w:r>
              <w:lastRenderedPageBreak/>
              <w:t xml:space="preserve">Der Entwurf der Vorschrift wurde sowohl in der Vorbereitungsphase als auch in den weiteren Phasen mit den zugelassenen Stellen und </w:t>
            </w:r>
            <w:proofErr w:type="spellStart"/>
            <w:r>
              <w:t>notifizierten</w:t>
            </w:r>
            <w:proofErr w:type="spellEnd"/>
            <w:r>
              <w:t xml:space="preserve"> Personen (juristische Personen, die Leistungsbewertungen von Bauprodukten für den harmonisierten und nicht harmonisierten Bereich durchführen), Vertretern der Hersteller (Verband der Bauunternehmer der Slowakei) sowie weiteren betroffenen Parteien konsultiert.</w:t>
            </w:r>
          </w:p>
          <w:p w:rsidR="005A2412" w:rsidRPr="00C21B27" w:rsidRDefault="005A2412">
            <w:r>
              <w:t>Die Konsultationen fanden in Form von E-Mail-Kommunikation und persönlichen Treffen statt. Viele Anregungen, in denen sich Anforderungen des Marktes widerspiegeln, wurden unter dem Gesichtspunkt der Notwendigkeit zur Erfüllung der grundlegenden Anforderungen an Bauwerke sowie unter dem Gesichtspunkt der Anwendungspraxis eingearbeitet.</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shd w:val="clear" w:color="auto" w:fill="D9D9D9"/>
            <w:hideMark/>
          </w:tcPr>
          <w:p w:rsidR="005A2412" w:rsidRPr="00C21B27" w:rsidRDefault="005A2412">
            <w:pPr>
              <w:rPr>
                <w:b/>
              </w:rPr>
            </w:pPr>
            <w:r>
              <w:rPr>
                <w:b/>
              </w:rPr>
              <w:t>3.3 Kosten der Regulierung</w:t>
            </w:r>
          </w:p>
          <w:p w:rsidR="005A2412" w:rsidRPr="00C21B27" w:rsidRDefault="005A2412" w:rsidP="00C21B27">
            <w:pPr>
              <w:ind w:left="284"/>
              <w:rPr>
                <w:b/>
                <w:sz w:val="20"/>
              </w:rPr>
            </w:pPr>
            <w:r>
              <w:rPr>
                <w:b/>
              </w:rPr>
              <w:t>– davon KMU</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p w:rsidR="005A2412" w:rsidRPr="00C21B27" w:rsidRDefault="005A2412">
            <w:pPr>
              <w:rPr>
                <w:b/>
                <w:i/>
              </w:rPr>
            </w:pPr>
            <w:r>
              <w:rPr>
                <w:b/>
                <w:i/>
              </w:rPr>
              <w:t>3.3.1 Unmittelbare Finanzkosten</w:t>
            </w:r>
          </w:p>
          <w:p w:rsidR="005A2412" w:rsidRPr="00C21B27" w:rsidRDefault="005A2412">
            <w:pPr>
              <w:rPr>
                <w:i/>
              </w:rPr>
            </w:pPr>
            <w:r>
              <w:rPr>
                <w:i/>
              </w:rPr>
              <w:t xml:space="preserve">Kommt es zu einer Erhöhung/Verringerung der unmittelbaren Finanzkosten (Gebühren, Abführungen, Steuern, Zölle usw.)? Wenn ja, beschreiben und beziffern Sie diese. Geben Sie auch das Verfahren ihrer Berechnung an. </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p w:rsidR="005A2412" w:rsidRPr="00C21B27" w:rsidRDefault="005A2412">
            <w:r>
              <w:t>Es erfolgt keine Erhöhung/Verringerung der unmittelbaren Finanzkosten.</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p w:rsidR="005A2412" w:rsidRPr="00C21B27" w:rsidRDefault="005A2412">
            <w:pPr>
              <w:rPr>
                <w:b/>
                <w:i/>
              </w:rPr>
            </w:pPr>
            <w:r>
              <w:rPr>
                <w:b/>
                <w:i/>
              </w:rPr>
              <w:t>3.3.2 Mittelbare Finanzkosten</w:t>
            </w:r>
          </w:p>
          <w:p w:rsidR="005A2412" w:rsidRPr="00C21B27" w:rsidRDefault="005A2412">
            <w:pPr>
              <w:rPr>
                <w:i/>
              </w:rPr>
            </w:pPr>
            <w:r>
              <w:rPr>
                <w:i/>
              </w:rPr>
              <w:t>Erfordert der vorgelegte Entwurf zusätzliche Kosten für den Kauf von Waren oder Dienstleistungen? Werden durch den vorgelegten Entwurf die Kosten im Zusammenhang mit Beschäftigung erhöht? Wenn ja, beschreiben und beziffern Sie diese. Geben Sie auch das Verfahren ihrer Berechnung an.</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p w:rsidR="005A2412" w:rsidRPr="00C21B27" w:rsidRDefault="005A2412">
            <w:pPr>
              <w:autoSpaceDE w:val="0"/>
              <w:autoSpaceDN w:val="0"/>
              <w:adjustRightInd w:val="0"/>
              <w:ind w:right="130"/>
              <w:jc w:val="both"/>
            </w:pPr>
            <w:r>
              <w:t>Kosten in Verbindung mit der Sicherstellung der Übereinstimmung der Bauprodukte mit der Regulierung (Kosten für die Erlangung der erforderlichen Fertigkeiten, Kosten für die Einstellung der internen Prozesse, Kosten für Sachmittel u. Ä.) -insgesamt Kosten von ca. 1050 €.</w:t>
            </w:r>
          </w:p>
          <w:p w:rsidR="005A2412" w:rsidRPr="00C21B27" w:rsidRDefault="005A2412">
            <w:pPr>
              <w:autoSpaceDE w:val="0"/>
              <w:autoSpaceDN w:val="0"/>
              <w:adjustRightInd w:val="0"/>
              <w:ind w:right="130"/>
              <w:jc w:val="both"/>
            </w:pPr>
            <w:r>
              <w:t>Bei der Berechnung wurde bei den Informationspflichten vom standardisierten Zeitbedarf umgerechnet auf einen Unternehmer (betroffenes Unternehmen gemäß Ziffer 3.1) ausgegangen</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p w:rsidR="005A2412" w:rsidRPr="00C21B27" w:rsidRDefault="005A2412">
            <w:pPr>
              <w:rPr>
                <w:b/>
                <w:i/>
              </w:rPr>
            </w:pPr>
            <w:r>
              <w:rPr>
                <w:b/>
                <w:i/>
              </w:rPr>
              <w:t>3.3.3 Verwaltungskosten</w:t>
            </w:r>
          </w:p>
          <w:p w:rsidR="005A2412" w:rsidRPr="00C21B27" w:rsidRDefault="005A2412">
            <w:pPr>
              <w:rPr>
                <w:i/>
              </w:rPr>
            </w:pPr>
            <w:r>
              <w:rPr>
                <w:i/>
              </w:rPr>
              <w:t>Führt der Entwurf zur Einführung neuer Informationspflichten oder deren Streichung bzw. zur Anpassung bestehender Informationspflichten? (z. B. Änderung der verlangten Daten, Änderung der Berichtshäufigkeit, Änderungen des Vorlageverfahrens u. Ä.) Wenn ja, beschreiben und beziffern Sie die Verwaltungskosten. Geben Sie auch das Verfahren ihrer Berechnung an.</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p w:rsidR="005A2412" w:rsidRPr="00C21B27" w:rsidRDefault="005A2412">
            <w:r>
              <w:t xml:space="preserve">Führung von Nachweisen und Archivierung, Einreichung und Bearbeitung von Anträgen, Ausarbeitung von Dokumenten/Berichten/Zertifikaten/Leistungserklärungen, Vorlage von Berichten/Dokumenten, mündliche/schriftliche Kommunikation, Erstellung von internen Herstellervorschriften – Gesamtkosten ca. 550 €. </w:t>
            </w:r>
          </w:p>
          <w:p w:rsidR="005A2412" w:rsidRPr="00C21B27" w:rsidRDefault="005A2412">
            <w:pPr>
              <w:rPr>
                <w:b/>
                <w:i/>
              </w:rPr>
            </w:pPr>
            <w:r>
              <w:t>Bei der Berechnung wurde bei den Informationspflichten vom standardisierten Zeitbedarf umgerechnet auf einen Unternehmer ausgegangen (betroffenes Unternehmen gemäß Ziffer 3.1)</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tcPr>
          <w:p w:rsidR="005A2412" w:rsidRPr="00C21B27" w:rsidRDefault="005A2412">
            <w:pPr>
              <w:rPr>
                <w:b/>
                <w:i/>
              </w:rPr>
            </w:pPr>
            <w:r>
              <w:rPr>
                <w:b/>
                <w:i/>
              </w:rPr>
              <w:t>3.3.4 Zusammenfassende Tabelle der Regulierungskosten</w:t>
            </w:r>
          </w:p>
          <w:p w:rsidR="005A2412" w:rsidRPr="00C21B27" w:rsidRDefault="005A2412">
            <w:pPr>
              <w:rPr>
                <w:i/>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3"/>
              <w:gridCol w:w="3023"/>
            </w:tblGrid>
            <w:tr w:rsidR="005A2412" w:rsidRPr="00C21B27" w:rsidTr="00EB1AC7">
              <w:tc>
                <w:tcPr>
                  <w:tcW w:w="3022" w:type="dxa"/>
                  <w:tcBorders>
                    <w:top w:val="single" w:sz="4" w:space="0" w:color="auto"/>
                    <w:left w:val="single" w:sz="4" w:space="0" w:color="auto"/>
                    <w:bottom w:val="single" w:sz="4" w:space="0" w:color="auto"/>
                    <w:right w:val="single" w:sz="4" w:space="0" w:color="auto"/>
                  </w:tcBorders>
                </w:tcPr>
                <w:p w:rsidR="005A2412" w:rsidRPr="00C21B27" w:rsidRDefault="005A2412">
                  <w:pPr>
                    <w:rPr>
                      <w:i/>
                    </w:rPr>
                  </w:pPr>
                </w:p>
              </w:tc>
              <w:tc>
                <w:tcPr>
                  <w:tcW w:w="3023" w:type="dxa"/>
                  <w:tcBorders>
                    <w:top w:val="single" w:sz="4" w:space="0" w:color="auto"/>
                    <w:left w:val="single" w:sz="4" w:space="0" w:color="auto"/>
                    <w:bottom w:val="single" w:sz="4" w:space="0" w:color="auto"/>
                    <w:right w:val="single" w:sz="4" w:space="0" w:color="auto"/>
                  </w:tcBorders>
                  <w:hideMark/>
                </w:tcPr>
                <w:p w:rsidR="005A2412" w:rsidRPr="00C21B27" w:rsidRDefault="005A2412">
                  <w:pPr>
                    <w:jc w:val="center"/>
                    <w:rPr>
                      <w:i/>
                    </w:rPr>
                  </w:pPr>
                  <w:r>
                    <w:rPr>
                      <w:i/>
                    </w:rPr>
                    <w:t>Kosten pro Unternehmer (gemäß Ziffer 3.1)</w:t>
                  </w:r>
                </w:p>
              </w:tc>
              <w:tc>
                <w:tcPr>
                  <w:tcW w:w="3023" w:type="dxa"/>
                  <w:tcBorders>
                    <w:top w:val="single" w:sz="4" w:space="0" w:color="auto"/>
                    <w:left w:val="single" w:sz="4" w:space="0" w:color="auto"/>
                    <w:bottom w:val="single" w:sz="4" w:space="0" w:color="auto"/>
                    <w:right w:val="single" w:sz="4" w:space="0" w:color="auto"/>
                  </w:tcBorders>
                  <w:hideMark/>
                </w:tcPr>
                <w:p w:rsidR="005A2412" w:rsidRPr="00C21B27" w:rsidRDefault="005A2412">
                  <w:pPr>
                    <w:jc w:val="center"/>
                    <w:rPr>
                      <w:i/>
                    </w:rPr>
                  </w:pPr>
                  <w:r>
                    <w:rPr>
                      <w:i/>
                    </w:rPr>
                    <w:t>Kosten für die gesamte Unternehmenssphäre</w:t>
                  </w:r>
                </w:p>
              </w:tc>
            </w:tr>
            <w:tr w:rsidR="005A2412" w:rsidRPr="00C21B27" w:rsidTr="00EB1AC7">
              <w:tc>
                <w:tcPr>
                  <w:tcW w:w="3022" w:type="dxa"/>
                  <w:tcBorders>
                    <w:top w:val="single" w:sz="4" w:space="0" w:color="auto"/>
                    <w:left w:val="single" w:sz="4" w:space="0" w:color="auto"/>
                    <w:bottom w:val="single" w:sz="4" w:space="0" w:color="auto"/>
                    <w:right w:val="single" w:sz="4" w:space="0" w:color="auto"/>
                  </w:tcBorders>
                  <w:hideMark/>
                </w:tcPr>
                <w:p w:rsidR="005A2412" w:rsidRPr="00C21B27" w:rsidRDefault="005A2412">
                  <w:pPr>
                    <w:rPr>
                      <w:i/>
                    </w:rPr>
                  </w:pPr>
                  <w:r>
                    <w:rPr>
                      <w:i/>
                    </w:rPr>
                    <w:t>Unmittelbare Finanzkosten</w:t>
                  </w:r>
                </w:p>
              </w:tc>
              <w:tc>
                <w:tcPr>
                  <w:tcW w:w="3023" w:type="dxa"/>
                  <w:tcBorders>
                    <w:top w:val="single" w:sz="4" w:space="0" w:color="auto"/>
                    <w:left w:val="single" w:sz="4" w:space="0" w:color="auto"/>
                    <w:bottom w:val="single" w:sz="4" w:space="0" w:color="auto"/>
                    <w:right w:val="single" w:sz="4" w:space="0" w:color="auto"/>
                  </w:tcBorders>
                  <w:hideMark/>
                </w:tcPr>
                <w:p w:rsidR="005A2412" w:rsidRPr="00C21B27" w:rsidRDefault="005A2412">
                  <w:pPr>
                    <w:jc w:val="center"/>
                    <w:rPr>
                      <w:i/>
                    </w:rPr>
                  </w:pPr>
                  <w:r>
                    <w:rPr>
                      <w:i/>
                    </w:rPr>
                    <w:t>0</w:t>
                  </w:r>
                </w:p>
              </w:tc>
              <w:tc>
                <w:tcPr>
                  <w:tcW w:w="3023" w:type="dxa"/>
                  <w:tcBorders>
                    <w:top w:val="single" w:sz="4" w:space="0" w:color="auto"/>
                    <w:left w:val="single" w:sz="4" w:space="0" w:color="auto"/>
                    <w:bottom w:val="single" w:sz="4" w:space="0" w:color="auto"/>
                    <w:right w:val="single" w:sz="4" w:space="0" w:color="auto"/>
                  </w:tcBorders>
                  <w:hideMark/>
                </w:tcPr>
                <w:p w:rsidR="005A2412" w:rsidRPr="00C21B27" w:rsidRDefault="005A2412">
                  <w:pPr>
                    <w:jc w:val="center"/>
                    <w:rPr>
                      <w:i/>
                    </w:rPr>
                  </w:pPr>
                  <w:r>
                    <w:rPr>
                      <w:i/>
                    </w:rPr>
                    <w:t>0</w:t>
                  </w:r>
                </w:p>
              </w:tc>
            </w:tr>
            <w:tr w:rsidR="005A2412" w:rsidRPr="00C21B27" w:rsidTr="00EB1AC7">
              <w:tc>
                <w:tcPr>
                  <w:tcW w:w="3022" w:type="dxa"/>
                  <w:tcBorders>
                    <w:top w:val="single" w:sz="4" w:space="0" w:color="auto"/>
                    <w:left w:val="single" w:sz="4" w:space="0" w:color="auto"/>
                    <w:bottom w:val="single" w:sz="4" w:space="0" w:color="auto"/>
                    <w:right w:val="single" w:sz="4" w:space="0" w:color="auto"/>
                  </w:tcBorders>
                  <w:hideMark/>
                </w:tcPr>
                <w:p w:rsidR="005A2412" w:rsidRPr="00C21B27" w:rsidRDefault="005A2412">
                  <w:pPr>
                    <w:rPr>
                      <w:i/>
                    </w:rPr>
                  </w:pPr>
                  <w:r>
                    <w:rPr>
                      <w:i/>
                    </w:rPr>
                    <w:t>Mittelbare Finanzkosten</w:t>
                  </w:r>
                </w:p>
              </w:tc>
              <w:tc>
                <w:tcPr>
                  <w:tcW w:w="3023" w:type="dxa"/>
                  <w:tcBorders>
                    <w:top w:val="single" w:sz="4" w:space="0" w:color="auto"/>
                    <w:left w:val="single" w:sz="4" w:space="0" w:color="auto"/>
                    <w:bottom w:val="single" w:sz="4" w:space="0" w:color="auto"/>
                    <w:right w:val="single" w:sz="4" w:space="0" w:color="auto"/>
                  </w:tcBorders>
                  <w:hideMark/>
                </w:tcPr>
                <w:p w:rsidR="005A2412" w:rsidRPr="00C21B27" w:rsidRDefault="005A2412">
                  <w:pPr>
                    <w:jc w:val="center"/>
                    <w:rPr>
                      <w:i/>
                    </w:rPr>
                  </w:pPr>
                  <w:r>
                    <w:rPr>
                      <w:i/>
                    </w:rPr>
                    <w:t>ca. 1050</w:t>
                  </w:r>
                </w:p>
              </w:tc>
              <w:tc>
                <w:tcPr>
                  <w:tcW w:w="3023" w:type="dxa"/>
                  <w:tcBorders>
                    <w:top w:val="single" w:sz="4" w:space="0" w:color="auto"/>
                    <w:left w:val="single" w:sz="4" w:space="0" w:color="auto"/>
                    <w:bottom w:val="single" w:sz="4" w:space="0" w:color="auto"/>
                    <w:right w:val="single" w:sz="4" w:space="0" w:color="auto"/>
                  </w:tcBorders>
                  <w:hideMark/>
                </w:tcPr>
                <w:p w:rsidR="005A2412" w:rsidRPr="00C21B27" w:rsidRDefault="005A2412">
                  <w:pPr>
                    <w:jc w:val="center"/>
                    <w:rPr>
                      <w:i/>
                    </w:rPr>
                  </w:pPr>
                  <w:r>
                    <w:rPr>
                      <w:i/>
                    </w:rPr>
                    <w:t>0</w:t>
                  </w:r>
                </w:p>
              </w:tc>
            </w:tr>
            <w:tr w:rsidR="005A2412" w:rsidRPr="00C21B27" w:rsidTr="00EB1AC7">
              <w:tc>
                <w:tcPr>
                  <w:tcW w:w="3022" w:type="dxa"/>
                  <w:tcBorders>
                    <w:top w:val="single" w:sz="4" w:space="0" w:color="auto"/>
                    <w:left w:val="single" w:sz="4" w:space="0" w:color="auto"/>
                    <w:bottom w:val="single" w:sz="4" w:space="0" w:color="auto"/>
                    <w:right w:val="single" w:sz="4" w:space="0" w:color="auto"/>
                  </w:tcBorders>
                  <w:hideMark/>
                </w:tcPr>
                <w:p w:rsidR="005A2412" w:rsidRPr="00C21B27" w:rsidRDefault="005A2412">
                  <w:pPr>
                    <w:rPr>
                      <w:i/>
                    </w:rPr>
                  </w:pPr>
                  <w:r>
                    <w:rPr>
                      <w:i/>
                    </w:rPr>
                    <w:lastRenderedPageBreak/>
                    <w:t>Verwaltungskosten</w:t>
                  </w:r>
                </w:p>
              </w:tc>
              <w:tc>
                <w:tcPr>
                  <w:tcW w:w="3023" w:type="dxa"/>
                  <w:tcBorders>
                    <w:top w:val="single" w:sz="4" w:space="0" w:color="auto"/>
                    <w:left w:val="single" w:sz="4" w:space="0" w:color="auto"/>
                    <w:bottom w:val="single" w:sz="4" w:space="0" w:color="auto"/>
                    <w:right w:val="single" w:sz="4" w:space="0" w:color="auto"/>
                  </w:tcBorders>
                  <w:hideMark/>
                </w:tcPr>
                <w:p w:rsidR="005A2412" w:rsidRPr="00C21B27" w:rsidRDefault="005A2412">
                  <w:pPr>
                    <w:jc w:val="center"/>
                    <w:rPr>
                      <w:i/>
                    </w:rPr>
                  </w:pPr>
                  <w:r>
                    <w:rPr>
                      <w:i/>
                    </w:rPr>
                    <w:t>ca. 550</w:t>
                  </w:r>
                </w:p>
              </w:tc>
              <w:tc>
                <w:tcPr>
                  <w:tcW w:w="3023" w:type="dxa"/>
                  <w:tcBorders>
                    <w:top w:val="single" w:sz="4" w:space="0" w:color="auto"/>
                    <w:left w:val="single" w:sz="4" w:space="0" w:color="auto"/>
                    <w:bottom w:val="single" w:sz="4" w:space="0" w:color="auto"/>
                    <w:right w:val="single" w:sz="4" w:space="0" w:color="auto"/>
                  </w:tcBorders>
                  <w:hideMark/>
                </w:tcPr>
                <w:p w:rsidR="005A2412" w:rsidRPr="00C21B27" w:rsidRDefault="005A2412">
                  <w:pPr>
                    <w:jc w:val="center"/>
                    <w:rPr>
                      <w:i/>
                    </w:rPr>
                  </w:pPr>
                  <w:r>
                    <w:rPr>
                      <w:i/>
                    </w:rPr>
                    <w:t>0</w:t>
                  </w:r>
                </w:p>
              </w:tc>
            </w:tr>
            <w:tr w:rsidR="005A2412" w:rsidRPr="00C21B27" w:rsidTr="00EB1AC7">
              <w:tc>
                <w:tcPr>
                  <w:tcW w:w="3022" w:type="dxa"/>
                  <w:tcBorders>
                    <w:top w:val="single" w:sz="4" w:space="0" w:color="auto"/>
                    <w:left w:val="single" w:sz="4" w:space="0" w:color="auto"/>
                    <w:bottom w:val="single" w:sz="4" w:space="0" w:color="auto"/>
                    <w:right w:val="single" w:sz="4" w:space="0" w:color="auto"/>
                  </w:tcBorders>
                  <w:hideMark/>
                </w:tcPr>
                <w:p w:rsidR="005A2412" w:rsidRPr="00C21B27" w:rsidRDefault="005A2412">
                  <w:pPr>
                    <w:rPr>
                      <w:b/>
                      <w:i/>
                    </w:rPr>
                  </w:pPr>
                  <w:r>
                    <w:rPr>
                      <w:b/>
                      <w:i/>
                    </w:rPr>
                    <w:t>Gesamtkosten der Regulierung</w:t>
                  </w:r>
                </w:p>
              </w:tc>
              <w:tc>
                <w:tcPr>
                  <w:tcW w:w="3023" w:type="dxa"/>
                  <w:tcBorders>
                    <w:top w:val="single" w:sz="4" w:space="0" w:color="auto"/>
                    <w:left w:val="single" w:sz="4" w:space="0" w:color="auto"/>
                    <w:bottom w:val="single" w:sz="4" w:space="0" w:color="auto"/>
                    <w:right w:val="single" w:sz="4" w:space="0" w:color="auto"/>
                  </w:tcBorders>
                  <w:hideMark/>
                </w:tcPr>
                <w:p w:rsidR="005A2412" w:rsidRPr="00C21B27" w:rsidRDefault="005A2412">
                  <w:pPr>
                    <w:jc w:val="center"/>
                    <w:rPr>
                      <w:b/>
                      <w:i/>
                    </w:rPr>
                  </w:pPr>
                  <w:r>
                    <w:rPr>
                      <w:b/>
                      <w:i/>
                    </w:rPr>
                    <w:t>ca. 1600</w:t>
                  </w:r>
                </w:p>
              </w:tc>
              <w:tc>
                <w:tcPr>
                  <w:tcW w:w="3023" w:type="dxa"/>
                  <w:tcBorders>
                    <w:top w:val="single" w:sz="4" w:space="0" w:color="auto"/>
                    <w:left w:val="single" w:sz="4" w:space="0" w:color="auto"/>
                    <w:bottom w:val="single" w:sz="4" w:space="0" w:color="auto"/>
                    <w:right w:val="single" w:sz="4" w:space="0" w:color="auto"/>
                  </w:tcBorders>
                  <w:hideMark/>
                </w:tcPr>
                <w:p w:rsidR="005A2412" w:rsidRPr="00C21B27" w:rsidRDefault="005A2412">
                  <w:pPr>
                    <w:jc w:val="center"/>
                    <w:rPr>
                      <w:b/>
                      <w:i/>
                    </w:rPr>
                  </w:pPr>
                  <w:r>
                    <w:rPr>
                      <w:b/>
                      <w:i/>
                    </w:rPr>
                    <w:t>0</w:t>
                  </w:r>
                </w:p>
              </w:tc>
            </w:tr>
          </w:tbl>
          <w:p w:rsidR="005A2412" w:rsidRPr="00C21B27" w:rsidRDefault="005A2412">
            <w:pPr>
              <w:rPr>
                <w:i/>
              </w:rPr>
            </w:pPr>
          </w:p>
          <w:p w:rsidR="005A2412" w:rsidRPr="00C21B27" w:rsidRDefault="005A2412">
            <w:r>
              <w:t>Die Kosten für die Unternehmenssphäre, die durch die Neufassung betroffen ist, können nicht eindeutig beziffert werden.</w:t>
            </w:r>
          </w:p>
          <w:p w:rsidR="005A2412" w:rsidRPr="00C21B27" w:rsidRDefault="005A2412">
            <w:r>
              <w:t>Es kann weder die Gesamtzahl noch die ungefähre Zahl der betroffenen Wirtschaftsteilnehmer bestimmt werden. Es sind nicht nur Wirtschaftsteilnehmer aus der Slowakischen Republik, sondern auch aus dem Ausland betroffen. Solche Statistiken zu den einzelnen Herstellungsbereichen gibt es nicht.</w:t>
            </w:r>
          </w:p>
          <w:p w:rsidR="005A2412" w:rsidRPr="00C21B27" w:rsidRDefault="005A2412">
            <w:r>
              <w:t xml:space="preserve">Die positiven und negativen Auswirkungen auf die Unternehmenssphäre (einschl. KMU), die in der Klausel der ausgewählten Auswirkungen aufgeführt werden, betreffen einen speziellen Kreis von Unternehmen, und zwar die betroffenen Unternehmen gemäß Ziffer 3.1. Die negativen Auswirkungen betreffen die Finanzkosten in Verbindung mit der Ausstellung der Leistungserklärung des entsprechenden Bauprodukts, um dieses Produkt in der Slowakischen Republik oder in einem der EU-Mitgliedstaaten oder ggf. in einem der Staaten der Europäischen Freihandelszone, die gleichzeitig Vertragspartei des Übereinkommens über den Europäischen Wirtschaftsraum sind, zu vermarkten. </w:t>
            </w:r>
          </w:p>
          <w:p w:rsidR="005A2412" w:rsidRPr="00C21B27" w:rsidRDefault="005A2412">
            <w:r>
              <w:t xml:space="preserve">Die positiven Auswirkungen betreffen die Finanzeinnahmen, die den betroffenen Unternehmen aus der Vermarktung von Bauprodukten auf dem heimischen Markt sowie auf dem EU-Markt zufließen, sowie die Einnahmen aus der Tätigkeit als zugelassene Stellen und </w:t>
            </w:r>
            <w:proofErr w:type="spellStart"/>
            <w:r>
              <w:t>notifizierte</w:t>
            </w:r>
            <w:proofErr w:type="spellEnd"/>
            <w:r>
              <w:t xml:space="preserve"> Personen.</w:t>
            </w:r>
          </w:p>
          <w:p w:rsidR="005A2412" w:rsidRPr="00C21B27" w:rsidRDefault="005A2412">
            <w:r>
              <w:t>Durch die vorgelegte Rechtsvorschrift werden den betroffenen Unternehmen keine unmittelbaren Pflichten auferlegt – durch die vorgelegte Rechtsvorschrift wird die Rechtsvorschrift im Sinne der schon vorhandenen technischen Spezifikationen, in denen die Eigenschaften und Parameter angegeben sind, die von den einzelnen Bauprodukten wegen ihres konkreten Verwendungszwecks erfüllt werden müssen, geändert. Es handelt sich um eine Ergänzung relevanter Gruppen von Bauprodukten in einer schon vorhandenen Rechtsvorschrift auf Grundlage der Anforderungen des Marktes und der Anwendungspraxis.</w:t>
            </w:r>
          </w:p>
          <w:p w:rsidR="005A2412" w:rsidRPr="00C21B27" w:rsidRDefault="005A2412"/>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shd w:val="clear" w:color="auto" w:fill="D9D9D9"/>
            <w:hideMark/>
          </w:tcPr>
          <w:p w:rsidR="005A2412" w:rsidRPr="00C21B27" w:rsidRDefault="005A2412">
            <w:pPr>
              <w:rPr>
                <w:b/>
              </w:rPr>
            </w:pPr>
            <w:r>
              <w:rPr>
                <w:b/>
              </w:rPr>
              <w:lastRenderedPageBreak/>
              <w:t>3.4 Wettbewerbsfähigkeit und Verhalten von Unternehmen im Marktumfeld</w:t>
            </w:r>
          </w:p>
          <w:p w:rsidR="005A2412" w:rsidRPr="00C21B27" w:rsidRDefault="005A2412" w:rsidP="00C21B27">
            <w:pPr>
              <w:ind w:left="284"/>
              <w:rPr>
                <w:sz w:val="20"/>
              </w:rPr>
            </w:pPr>
            <w:r>
              <w:rPr>
                <w:b/>
              </w:rPr>
              <w:t>– davon KMU</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p w:rsidR="005A2412" w:rsidRPr="00C21B27" w:rsidRDefault="005A2412">
            <w:pPr>
              <w:rPr>
                <w:i/>
              </w:rPr>
            </w:pPr>
            <w:r>
              <w:rPr>
                <w:i/>
              </w:rPr>
              <w:t>Kommt es zur Schaffung von Hemmnissen für den Markteintritt für neue Lieferanten oder Erbringer von Dienstleistungen? Hat die entworfene Änderung eine strengere Regulierung des Verhaltens mancher Unternehmen zur Folge? Werden manche Unternehmen oder Produkte in vergleichbaren Situationen unterschiedlich behandelt (spezielle Verfahren für Kleinstunternehmen, kleine und mittlere Unternehmen, sogenannte KMU)? Wenn ja, beschreiben Sie diese.</w:t>
            </w:r>
          </w:p>
          <w:p w:rsidR="005A2412" w:rsidRPr="00C21B27" w:rsidRDefault="005A2412">
            <w:pPr>
              <w:rPr>
                <w:i/>
              </w:rPr>
            </w:pPr>
            <w:r>
              <w:rPr>
                <w:i/>
              </w:rPr>
              <w:t>Welche Auswirkungen hat die entworfene Änderung auf Handelshemmnisse? Hat der Entwurf Auswirkungen auf grenzüberschreitende Investitionen (Zufluss/Abfluss ausländischer Investitionen bzw. Durchsetzung slowakischer Unternehmen auf ausländischen Märkten)? Wenn ja, beschreiben Sie diese.</w:t>
            </w:r>
          </w:p>
          <w:p w:rsidR="005A2412" w:rsidRPr="00C21B27" w:rsidRDefault="005A2412">
            <w:pPr>
              <w:rPr>
                <w:i/>
              </w:rPr>
            </w:pPr>
            <w:r>
              <w:rPr>
                <w:i/>
              </w:rPr>
              <w:t>Wie wird der Preis oder die Verfügbarkeit von Grundressourcen (Rohstoffe, Mechanismen, Arbeitskräfte, Energie usw.) beeinflusst?</w:t>
            </w:r>
          </w:p>
          <w:p w:rsidR="005A2412" w:rsidRPr="00C21B27" w:rsidRDefault="005A2412">
            <w:pPr>
              <w:rPr>
                <w:i/>
              </w:rPr>
            </w:pPr>
            <w:r>
              <w:rPr>
                <w:i/>
              </w:rPr>
              <w:t>Wird der Zugang zu Finanzen beeinflusst? Wenn ja, wie?</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p w:rsidR="005A2412" w:rsidRPr="00C21B27" w:rsidRDefault="005A2412">
            <w:pPr>
              <w:rPr>
                <w:i/>
              </w:rPr>
            </w:pPr>
            <w:r>
              <w:t>Bedingungen werden weder für den Markteintritt und die Aufnahme einer gewerblichen Tätigkeit noch für das Marktverhalten gestellt. Die Pflicht führt nicht zu Änderungen der Marktstruktur.</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shd w:val="clear" w:color="auto" w:fill="D9D9D9"/>
            <w:hideMark/>
          </w:tcPr>
          <w:p w:rsidR="005A2412" w:rsidRPr="00C21B27" w:rsidRDefault="005A2412">
            <w:pPr>
              <w:rPr>
                <w:b/>
              </w:rPr>
            </w:pPr>
            <w:r>
              <w:rPr>
                <w:b/>
              </w:rPr>
              <w:t xml:space="preserve">3.5 Innovationen </w:t>
            </w:r>
          </w:p>
          <w:p w:rsidR="005A2412" w:rsidRPr="00C21B27" w:rsidRDefault="005A2412" w:rsidP="00C21B27">
            <w:pPr>
              <w:ind w:left="284"/>
              <w:rPr>
                <w:b/>
                <w:sz w:val="20"/>
              </w:rPr>
            </w:pPr>
            <w:r>
              <w:rPr>
                <w:b/>
              </w:rPr>
              <w:lastRenderedPageBreak/>
              <w:t>– davon KMU</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p w:rsidR="005A2412" w:rsidRPr="00C21B27" w:rsidRDefault="005A2412">
            <w:pPr>
              <w:rPr>
                <w:i/>
              </w:rPr>
            </w:pPr>
            <w:r>
              <w:rPr>
                <w:i/>
              </w:rPr>
              <w:lastRenderedPageBreak/>
              <w:t>Geben Sie an, wie durch die entworfene Änderung Innovationen unterstützt werden.</w:t>
            </w:r>
          </w:p>
          <w:p w:rsidR="005A2412" w:rsidRPr="00C21B27" w:rsidRDefault="005A2412">
            <w:pPr>
              <w:rPr>
                <w:i/>
              </w:rPr>
            </w:pPr>
            <w:r>
              <w:rPr>
                <w:i/>
              </w:rPr>
              <w:t>Erleichtert sie die Einführung oder Ausweitung neuer Herstellungsverfahren, Technologien und Erzeugnisse auf dem Markt?</w:t>
            </w:r>
          </w:p>
          <w:p w:rsidR="005A2412" w:rsidRPr="00C21B27" w:rsidRDefault="005A2412">
            <w:pPr>
              <w:rPr>
                <w:i/>
              </w:rPr>
            </w:pPr>
            <w:r>
              <w:rPr>
                <w:i/>
              </w:rPr>
              <w:t>Geben Sie an, welche Auswirkungen die entworfene Änderung auf die einzelnen Rechte des geistigen Eigentums (z. B. Patente, Schutzmarken, Autorenrechte, Eigentum an Know-how) hat.</w:t>
            </w:r>
          </w:p>
          <w:p w:rsidR="005A2412" w:rsidRPr="00C21B27" w:rsidRDefault="005A2412">
            <w:pPr>
              <w:rPr>
                <w:i/>
              </w:rPr>
            </w:pPr>
            <w:r>
              <w:rPr>
                <w:i/>
              </w:rPr>
              <w:t>Wird eine höhere Effektivität der Produktion/Ressourcennutzung unterstützt? Wenn ja, wie?</w:t>
            </w:r>
          </w:p>
          <w:p w:rsidR="005A2412" w:rsidRPr="00C21B27" w:rsidRDefault="005A2412">
            <w:r>
              <w:rPr>
                <w:i/>
              </w:rPr>
              <w:t>Werden durch die Änderung neue Arbeitsplätze für Mitarbeiter in Wissenschaft und Forschung in der Slowakischen Republik geschaffen?</w:t>
            </w:r>
          </w:p>
        </w:tc>
      </w:tr>
      <w:tr w:rsidR="005A2412" w:rsidRPr="00C21B27" w:rsidTr="00C21B27">
        <w:tc>
          <w:tcPr>
            <w:tcW w:w="9302" w:type="dxa"/>
            <w:tcBorders>
              <w:top w:val="single" w:sz="4" w:space="0" w:color="auto"/>
              <w:left w:val="single" w:sz="4" w:space="0" w:color="auto"/>
              <w:bottom w:val="single" w:sz="4" w:space="0" w:color="auto"/>
              <w:right w:val="single" w:sz="4" w:space="0" w:color="auto"/>
            </w:tcBorders>
            <w:hideMark/>
          </w:tcPr>
          <w:p w:rsidR="005A2412" w:rsidRPr="00C21B27" w:rsidRDefault="005A2412">
            <w:r>
              <w:t>Die entworfene Vorschrift hat keine Auswirkungen auf Innovationen.</w:t>
            </w:r>
          </w:p>
        </w:tc>
      </w:tr>
    </w:tbl>
    <w:p w:rsidR="005A2412" w:rsidRPr="00C21B27" w:rsidRDefault="005A2412" w:rsidP="002720F0"/>
    <w:sectPr w:rsidR="005A2412" w:rsidRPr="00C21B27" w:rsidSect="005A2412">
      <w:footerReference w:type="default" r:id="rId12"/>
      <w:pgSz w:w="11906" w:h="16838"/>
      <w:pgMar w:top="1276" w:right="1417" w:bottom="184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8B" w:rsidRDefault="00314F8B" w:rsidP="008360EC">
      <w:r>
        <w:separator/>
      </w:r>
    </w:p>
  </w:endnote>
  <w:endnote w:type="continuationSeparator" w:id="0">
    <w:p w:rsidR="00314F8B" w:rsidRDefault="00314F8B" w:rsidP="0083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0EC" w:rsidRDefault="008360EC" w:rsidP="00296C2A">
    <w:pPr>
      <w:pStyle w:val="Fuzeile"/>
      <w:jc w:val="center"/>
    </w:pPr>
    <w:r>
      <w:fldChar w:fldCharType="begin"/>
    </w:r>
    <w:r>
      <w:instrText>PAGE   \* MERGEFORMAT</w:instrText>
    </w:r>
    <w:r>
      <w:fldChar w:fldCharType="separate"/>
    </w:r>
    <w:r w:rsidR="002F389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8B" w:rsidRDefault="00314F8B" w:rsidP="008360EC">
      <w:r>
        <w:separator/>
      </w:r>
    </w:p>
  </w:footnote>
  <w:footnote w:type="continuationSeparator" w:id="0">
    <w:p w:rsidR="00314F8B" w:rsidRDefault="00314F8B" w:rsidP="00836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165E"/>
    <w:multiLevelType w:val="hybridMultilevel"/>
    <w:tmpl w:val="F8DCBC80"/>
    <w:lvl w:ilvl="0" w:tplc="51E0979E">
      <w:start w:val="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nsid w:val="373B1548"/>
    <w:multiLevelType w:val="hybridMultilevel"/>
    <w:tmpl w:val="5A6EAA72"/>
    <w:lvl w:ilvl="0" w:tplc="685AE374">
      <w:start w:val="10"/>
      <w:numFmt w:val="decimal"/>
      <w:lvlText w:val="%1."/>
      <w:lvlJc w:val="left"/>
      <w:pPr>
        <w:ind w:left="86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0D8131E"/>
    <w:multiLevelType w:val="hybridMultilevel"/>
    <w:tmpl w:val="81AADB78"/>
    <w:lvl w:ilvl="0" w:tplc="10CCA92A">
      <w:start w:val="1"/>
      <w:numFmt w:val="lowerLetter"/>
      <w:lvlText w:val="%1)"/>
      <w:lvlJc w:val="left"/>
      <w:pPr>
        <w:ind w:left="720" w:hanging="360"/>
      </w:pPr>
      <w:rPr>
        <w:rFonts w:ascii="Times New Roman" w:eastAsia="Times New Roman" w:hAnsi="Times New Roman" w:cs="Times New Roman"/>
        <w:spacing w:val="2"/>
        <w:position w:val="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0EC"/>
    <w:rsid w:val="000050B5"/>
    <w:rsid w:val="00015A0C"/>
    <w:rsid w:val="00032D4F"/>
    <w:rsid w:val="00041EBB"/>
    <w:rsid w:val="000810F7"/>
    <w:rsid w:val="00090E93"/>
    <w:rsid w:val="00097196"/>
    <w:rsid w:val="000B7768"/>
    <w:rsid w:val="000C5EDD"/>
    <w:rsid w:val="000D1492"/>
    <w:rsid w:val="000F6CA2"/>
    <w:rsid w:val="00104149"/>
    <w:rsid w:val="00106010"/>
    <w:rsid w:val="0011155E"/>
    <w:rsid w:val="0011478F"/>
    <w:rsid w:val="00115C81"/>
    <w:rsid w:val="00134813"/>
    <w:rsid w:val="00150387"/>
    <w:rsid w:val="00162E54"/>
    <w:rsid w:val="00164F83"/>
    <w:rsid w:val="00180D80"/>
    <w:rsid w:val="00184C78"/>
    <w:rsid w:val="0019075A"/>
    <w:rsid w:val="001A4585"/>
    <w:rsid w:val="001B0EC5"/>
    <w:rsid w:val="001B1E0A"/>
    <w:rsid w:val="001B7E87"/>
    <w:rsid w:val="001C4FD9"/>
    <w:rsid w:val="001F325A"/>
    <w:rsid w:val="00203B0B"/>
    <w:rsid w:val="00204DC5"/>
    <w:rsid w:val="002118F7"/>
    <w:rsid w:val="0021356F"/>
    <w:rsid w:val="00245881"/>
    <w:rsid w:val="00245FF2"/>
    <w:rsid w:val="00246293"/>
    <w:rsid w:val="00264825"/>
    <w:rsid w:val="002720F0"/>
    <w:rsid w:val="0027533D"/>
    <w:rsid w:val="00275ADF"/>
    <w:rsid w:val="00296C2A"/>
    <w:rsid w:val="002B6E5D"/>
    <w:rsid w:val="002D0BE1"/>
    <w:rsid w:val="002F389D"/>
    <w:rsid w:val="00314F8B"/>
    <w:rsid w:val="00342101"/>
    <w:rsid w:val="00346D5B"/>
    <w:rsid w:val="003521AA"/>
    <w:rsid w:val="0035570A"/>
    <w:rsid w:val="00356FBF"/>
    <w:rsid w:val="00365854"/>
    <w:rsid w:val="00375E7F"/>
    <w:rsid w:val="00384B06"/>
    <w:rsid w:val="003911D6"/>
    <w:rsid w:val="003A3447"/>
    <w:rsid w:val="003A3E8C"/>
    <w:rsid w:val="003C3245"/>
    <w:rsid w:val="003D2B03"/>
    <w:rsid w:val="003E1780"/>
    <w:rsid w:val="003E5A56"/>
    <w:rsid w:val="00411580"/>
    <w:rsid w:val="00446A9F"/>
    <w:rsid w:val="00457019"/>
    <w:rsid w:val="00471459"/>
    <w:rsid w:val="00471523"/>
    <w:rsid w:val="004B5B39"/>
    <w:rsid w:val="004C0110"/>
    <w:rsid w:val="004C267D"/>
    <w:rsid w:val="004E0B16"/>
    <w:rsid w:val="004E4D42"/>
    <w:rsid w:val="004F1F48"/>
    <w:rsid w:val="00506946"/>
    <w:rsid w:val="00522176"/>
    <w:rsid w:val="0052733E"/>
    <w:rsid w:val="00534EC1"/>
    <w:rsid w:val="00547A0F"/>
    <w:rsid w:val="00552174"/>
    <w:rsid w:val="00557689"/>
    <w:rsid w:val="00573ED1"/>
    <w:rsid w:val="00580107"/>
    <w:rsid w:val="00590877"/>
    <w:rsid w:val="005A2412"/>
    <w:rsid w:val="005A6A21"/>
    <w:rsid w:val="005B0C70"/>
    <w:rsid w:val="005C46BE"/>
    <w:rsid w:val="005D5EB5"/>
    <w:rsid w:val="005F2FA5"/>
    <w:rsid w:val="005F3167"/>
    <w:rsid w:val="005F429E"/>
    <w:rsid w:val="00634468"/>
    <w:rsid w:val="00663D30"/>
    <w:rsid w:val="00675035"/>
    <w:rsid w:val="00681521"/>
    <w:rsid w:val="00687B26"/>
    <w:rsid w:val="006D3C32"/>
    <w:rsid w:val="006F5D11"/>
    <w:rsid w:val="007247CA"/>
    <w:rsid w:val="00726929"/>
    <w:rsid w:val="00775953"/>
    <w:rsid w:val="00796BCF"/>
    <w:rsid w:val="007971A1"/>
    <w:rsid w:val="007A2B6B"/>
    <w:rsid w:val="007A73A8"/>
    <w:rsid w:val="007C30E3"/>
    <w:rsid w:val="007C41E0"/>
    <w:rsid w:val="007C7B37"/>
    <w:rsid w:val="007F2BF2"/>
    <w:rsid w:val="00800D8F"/>
    <w:rsid w:val="0080165F"/>
    <w:rsid w:val="00825E0F"/>
    <w:rsid w:val="00831011"/>
    <w:rsid w:val="008360EC"/>
    <w:rsid w:val="008423D9"/>
    <w:rsid w:val="00847253"/>
    <w:rsid w:val="00872B28"/>
    <w:rsid w:val="008731CE"/>
    <w:rsid w:val="008A2153"/>
    <w:rsid w:val="008B55E7"/>
    <w:rsid w:val="008D45A9"/>
    <w:rsid w:val="008E3540"/>
    <w:rsid w:val="00912B9B"/>
    <w:rsid w:val="00917DAD"/>
    <w:rsid w:val="00917EEC"/>
    <w:rsid w:val="00925FC5"/>
    <w:rsid w:val="0093764A"/>
    <w:rsid w:val="00945F64"/>
    <w:rsid w:val="00967B27"/>
    <w:rsid w:val="009D097D"/>
    <w:rsid w:val="00A04401"/>
    <w:rsid w:val="00A33867"/>
    <w:rsid w:val="00A339DD"/>
    <w:rsid w:val="00A34354"/>
    <w:rsid w:val="00A35BDB"/>
    <w:rsid w:val="00A532D5"/>
    <w:rsid w:val="00A72661"/>
    <w:rsid w:val="00A8202D"/>
    <w:rsid w:val="00A86E0E"/>
    <w:rsid w:val="00AA1C0F"/>
    <w:rsid w:val="00AA3666"/>
    <w:rsid w:val="00B308B4"/>
    <w:rsid w:val="00B3509B"/>
    <w:rsid w:val="00B512F3"/>
    <w:rsid w:val="00B55B33"/>
    <w:rsid w:val="00B651A2"/>
    <w:rsid w:val="00B82873"/>
    <w:rsid w:val="00BA4953"/>
    <w:rsid w:val="00BA4A2E"/>
    <w:rsid w:val="00BA6770"/>
    <w:rsid w:val="00BB4764"/>
    <w:rsid w:val="00BB4864"/>
    <w:rsid w:val="00BC19FB"/>
    <w:rsid w:val="00BD7F66"/>
    <w:rsid w:val="00BE4103"/>
    <w:rsid w:val="00C14548"/>
    <w:rsid w:val="00C21B27"/>
    <w:rsid w:val="00C31D35"/>
    <w:rsid w:val="00C3405D"/>
    <w:rsid w:val="00C677BE"/>
    <w:rsid w:val="00CB68BA"/>
    <w:rsid w:val="00CF2E80"/>
    <w:rsid w:val="00D273A7"/>
    <w:rsid w:val="00D3372A"/>
    <w:rsid w:val="00D71064"/>
    <w:rsid w:val="00DA1877"/>
    <w:rsid w:val="00DA4CBB"/>
    <w:rsid w:val="00DB50BE"/>
    <w:rsid w:val="00DF0234"/>
    <w:rsid w:val="00E35B2D"/>
    <w:rsid w:val="00E658A3"/>
    <w:rsid w:val="00EB1AC7"/>
    <w:rsid w:val="00EC25EF"/>
    <w:rsid w:val="00EE3353"/>
    <w:rsid w:val="00EE737F"/>
    <w:rsid w:val="00F07320"/>
    <w:rsid w:val="00F16A51"/>
    <w:rsid w:val="00F23105"/>
    <w:rsid w:val="00F27AF2"/>
    <w:rsid w:val="00F5011B"/>
    <w:rsid w:val="00F55B0F"/>
    <w:rsid w:val="00F637BD"/>
    <w:rsid w:val="00F75095"/>
    <w:rsid w:val="00FC4E45"/>
    <w:rsid w:val="00FC730E"/>
    <w:rsid w:val="00FE4F2D"/>
    <w:rsid w:val="00FF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60EC"/>
    <w:rPr>
      <w:rFonts w:ascii="Times New Roman" w:hAnsi="Times New Roman" w:cs="Times New Roman"/>
      <w:sz w:val="24"/>
      <w:szCs w:val="24"/>
      <w:lang w:eastAsia="cs-CZ"/>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8360EC"/>
    <w:pPr>
      <w:jc w:val="center"/>
    </w:pPr>
  </w:style>
  <w:style w:type="character" w:customStyle="1" w:styleId="TextkrperZchn">
    <w:name w:val="Textkörper Zchn"/>
    <w:link w:val="Textkrper"/>
    <w:uiPriority w:val="99"/>
    <w:locked/>
    <w:rsid w:val="008360EC"/>
    <w:rPr>
      <w:rFonts w:ascii="Times New Roman" w:hAnsi="Times New Roman" w:cs="Times New Roman"/>
      <w:sz w:val="24"/>
      <w:szCs w:val="24"/>
      <w:lang w:val="de-DE" w:eastAsia="cs-CZ"/>
    </w:rPr>
  </w:style>
  <w:style w:type="paragraph" w:styleId="StandardWeb">
    <w:name w:val="Normal (Web)"/>
    <w:basedOn w:val="Standard"/>
    <w:uiPriority w:val="99"/>
    <w:unhideWhenUsed/>
    <w:rsid w:val="008360EC"/>
    <w:pPr>
      <w:spacing w:before="100" w:beforeAutospacing="1" w:after="100" w:afterAutospacing="1"/>
    </w:pPr>
    <w:rPr>
      <w:lang w:eastAsia="sk-SK"/>
    </w:rPr>
  </w:style>
  <w:style w:type="paragraph" w:styleId="Listenabsatz">
    <w:name w:val="List Paragraph"/>
    <w:basedOn w:val="Standard"/>
    <w:uiPriority w:val="34"/>
    <w:qFormat/>
    <w:rsid w:val="008360EC"/>
    <w:pPr>
      <w:ind w:left="720"/>
      <w:contextualSpacing/>
    </w:pPr>
  </w:style>
  <w:style w:type="paragraph" w:styleId="Kopfzeile">
    <w:name w:val="header"/>
    <w:basedOn w:val="Standard"/>
    <w:link w:val="KopfzeileZchn"/>
    <w:uiPriority w:val="99"/>
    <w:unhideWhenUsed/>
    <w:rsid w:val="008360EC"/>
    <w:pPr>
      <w:tabs>
        <w:tab w:val="center" w:pos="4536"/>
        <w:tab w:val="right" w:pos="9072"/>
      </w:tabs>
    </w:pPr>
  </w:style>
  <w:style w:type="character" w:customStyle="1" w:styleId="KopfzeileZchn">
    <w:name w:val="Kopfzeile Zchn"/>
    <w:link w:val="Kopfzeile"/>
    <w:uiPriority w:val="99"/>
    <w:locked/>
    <w:rsid w:val="008360EC"/>
    <w:rPr>
      <w:rFonts w:ascii="Times New Roman" w:hAnsi="Times New Roman" w:cs="Times New Roman"/>
      <w:sz w:val="24"/>
      <w:szCs w:val="24"/>
      <w:lang w:val="de-DE" w:eastAsia="cs-CZ"/>
    </w:rPr>
  </w:style>
  <w:style w:type="paragraph" w:styleId="Fuzeile">
    <w:name w:val="footer"/>
    <w:basedOn w:val="Standard"/>
    <w:link w:val="FuzeileZchn"/>
    <w:uiPriority w:val="99"/>
    <w:unhideWhenUsed/>
    <w:rsid w:val="008360EC"/>
    <w:pPr>
      <w:tabs>
        <w:tab w:val="center" w:pos="4536"/>
        <w:tab w:val="right" w:pos="9072"/>
      </w:tabs>
    </w:pPr>
  </w:style>
  <w:style w:type="character" w:customStyle="1" w:styleId="FuzeileZchn">
    <w:name w:val="Fußzeile Zchn"/>
    <w:link w:val="Fuzeile"/>
    <w:uiPriority w:val="99"/>
    <w:locked/>
    <w:rsid w:val="008360EC"/>
    <w:rPr>
      <w:rFonts w:ascii="Times New Roman" w:hAnsi="Times New Roman" w:cs="Times New Roman"/>
      <w:sz w:val="24"/>
      <w:szCs w:val="24"/>
      <w:lang w:val="de-DE" w:eastAsia="cs-CZ"/>
    </w:rPr>
  </w:style>
  <w:style w:type="character" w:styleId="Kommentarzeichen">
    <w:name w:val="annotation reference"/>
    <w:uiPriority w:val="99"/>
    <w:semiHidden/>
    <w:unhideWhenUsed/>
    <w:rsid w:val="003C3245"/>
    <w:rPr>
      <w:rFonts w:cs="Times New Roman"/>
      <w:sz w:val="16"/>
      <w:szCs w:val="16"/>
    </w:rPr>
  </w:style>
  <w:style w:type="paragraph" w:styleId="Kommentartext">
    <w:name w:val="annotation text"/>
    <w:basedOn w:val="Standard"/>
    <w:link w:val="KommentartextZchn"/>
    <w:uiPriority w:val="99"/>
    <w:semiHidden/>
    <w:unhideWhenUsed/>
    <w:rsid w:val="003C3245"/>
    <w:rPr>
      <w:sz w:val="20"/>
      <w:szCs w:val="20"/>
    </w:rPr>
  </w:style>
  <w:style w:type="character" w:customStyle="1" w:styleId="KommentartextZchn">
    <w:name w:val="Kommentartext Zchn"/>
    <w:link w:val="Kommentartext"/>
    <w:uiPriority w:val="99"/>
    <w:semiHidden/>
    <w:locked/>
    <w:rsid w:val="003C3245"/>
    <w:rPr>
      <w:rFonts w:ascii="Times New Roman" w:hAnsi="Times New Roman" w:cs="Times New Roman"/>
      <w:sz w:val="20"/>
      <w:szCs w:val="20"/>
      <w:lang w:val="de-DE" w:eastAsia="cs-CZ"/>
    </w:rPr>
  </w:style>
  <w:style w:type="paragraph" w:styleId="Kommentarthema">
    <w:name w:val="annotation subject"/>
    <w:basedOn w:val="Kommentartext"/>
    <w:next w:val="Kommentartext"/>
    <w:link w:val="KommentarthemaZchn"/>
    <w:uiPriority w:val="99"/>
    <w:semiHidden/>
    <w:unhideWhenUsed/>
    <w:rsid w:val="003C3245"/>
    <w:rPr>
      <w:b/>
      <w:bCs/>
    </w:rPr>
  </w:style>
  <w:style w:type="character" w:customStyle="1" w:styleId="KommentarthemaZchn">
    <w:name w:val="Kommentarthema Zchn"/>
    <w:link w:val="Kommentarthema"/>
    <w:uiPriority w:val="99"/>
    <w:semiHidden/>
    <w:locked/>
    <w:rsid w:val="003C3245"/>
    <w:rPr>
      <w:rFonts w:ascii="Times New Roman" w:hAnsi="Times New Roman" w:cs="Times New Roman"/>
      <w:b/>
      <w:bCs/>
      <w:sz w:val="20"/>
      <w:szCs w:val="20"/>
      <w:lang w:val="de-DE" w:eastAsia="cs-CZ"/>
    </w:rPr>
  </w:style>
  <w:style w:type="paragraph" w:styleId="Sprechblasentext">
    <w:name w:val="Balloon Text"/>
    <w:basedOn w:val="Standard"/>
    <w:link w:val="SprechblasentextZchn"/>
    <w:uiPriority w:val="99"/>
    <w:semiHidden/>
    <w:unhideWhenUsed/>
    <w:rsid w:val="003C3245"/>
    <w:rPr>
      <w:rFonts w:ascii="Tahoma" w:hAnsi="Tahoma" w:cs="Tahoma"/>
      <w:sz w:val="16"/>
      <w:szCs w:val="16"/>
    </w:rPr>
  </w:style>
  <w:style w:type="character" w:customStyle="1" w:styleId="SprechblasentextZchn">
    <w:name w:val="Sprechblasentext Zchn"/>
    <w:link w:val="Sprechblasentext"/>
    <w:uiPriority w:val="99"/>
    <w:semiHidden/>
    <w:locked/>
    <w:rsid w:val="003C3245"/>
    <w:rPr>
      <w:rFonts w:ascii="Tahoma" w:hAnsi="Tahoma" w:cs="Tahoma"/>
      <w:sz w:val="16"/>
      <w:szCs w:val="16"/>
      <w:lang w:val="de-DE" w:eastAsia="cs-CZ"/>
    </w:rPr>
  </w:style>
  <w:style w:type="table" w:styleId="Tabellenraster">
    <w:name w:val="Table Grid"/>
    <w:basedOn w:val="NormaleTabelle"/>
    <w:uiPriority w:val="59"/>
    <w:rsid w:val="0059087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rsid w:val="004B5B39"/>
    <w:rPr>
      <w:rFonts w:ascii="Times New Roman" w:hAnsi="Times New Roman" w:cs="Times New Roman"/>
      <w:color w:val="000000"/>
    </w:rPr>
  </w:style>
  <w:style w:type="paragraph" w:styleId="Textkrper-Zeileneinzug">
    <w:name w:val="Body Text Indent"/>
    <w:basedOn w:val="Standard"/>
    <w:link w:val="Textkrper-ZeileneinzugZchn"/>
    <w:uiPriority w:val="99"/>
    <w:unhideWhenUsed/>
    <w:rsid w:val="007C30E3"/>
    <w:pPr>
      <w:spacing w:after="120"/>
      <w:ind w:left="283"/>
    </w:pPr>
  </w:style>
  <w:style w:type="character" w:customStyle="1" w:styleId="Textkrper-ZeileneinzugZchn">
    <w:name w:val="Textkörper-Zeileneinzug Zchn"/>
    <w:link w:val="Textkrper-Zeileneinzug"/>
    <w:uiPriority w:val="99"/>
    <w:locked/>
    <w:rsid w:val="007C30E3"/>
    <w:rPr>
      <w:rFonts w:ascii="Times New Roman" w:hAnsi="Times New Roman" w:cs="Times New Roman"/>
      <w:sz w:val="24"/>
      <w:szCs w:val="24"/>
      <w:lang w:val="de-DE" w:eastAsia="cs-CZ"/>
    </w:rPr>
  </w:style>
  <w:style w:type="character" w:styleId="Hyperlink">
    <w:name w:val="Hyperlink"/>
    <w:uiPriority w:val="99"/>
    <w:unhideWhenUsed/>
    <w:rsid w:val="00B512F3"/>
    <w:rPr>
      <w:rFonts w:cs="Times New Roman"/>
      <w:color w:val="0000FF"/>
      <w:u w:val="single"/>
    </w:rPr>
  </w:style>
  <w:style w:type="paragraph" w:styleId="Textkrper2">
    <w:name w:val="Body Text 2"/>
    <w:basedOn w:val="Standard"/>
    <w:link w:val="Textkrper2Zchn"/>
    <w:uiPriority w:val="99"/>
    <w:semiHidden/>
    <w:unhideWhenUsed/>
    <w:rsid w:val="005C46BE"/>
    <w:pPr>
      <w:spacing w:after="120" w:line="480" w:lineRule="auto"/>
    </w:pPr>
  </w:style>
  <w:style w:type="character" w:customStyle="1" w:styleId="Textkrper2Zchn">
    <w:name w:val="Textkörper 2 Zchn"/>
    <w:link w:val="Textkrper2"/>
    <w:uiPriority w:val="99"/>
    <w:semiHidden/>
    <w:rsid w:val="005C46BE"/>
    <w:rPr>
      <w:rFonts w:ascii="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60EC"/>
    <w:rPr>
      <w:rFonts w:ascii="Times New Roman" w:hAnsi="Times New Roman" w:cs="Times New Roman"/>
      <w:sz w:val="24"/>
      <w:szCs w:val="24"/>
      <w:lang w:eastAsia="cs-CZ"/>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8360EC"/>
    <w:pPr>
      <w:jc w:val="center"/>
    </w:pPr>
  </w:style>
  <w:style w:type="character" w:customStyle="1" w:styleId="TextkrperZchn">
    <w:name w:val="Textkörper Zchn"/>
    <w:link w:val="Textkrper"/>
    <w:uiPriority w:val="99"/>
    <w:locked/>
    <w:rsid w:val="008360EC"/>
    <w:rPr>
      <w:rFonts w:ascii="Times New Roman" w:hAnsi="Times New Roman" w:cs="Times New Roman"/>
      <w:sz w:val="24"/>
      <w:szCs w:val="24"/>
      <w:lang w:val="de-DE" w:eastAsia="cs-CZ"/>
    </w:rPr>
  </w:style>
  <w:style w:type="paragraph" w:styleId="StandardWeb">
    <w:name w:val="Normal (Web)"/>
    <w:basedOn w:val="Standard"/>
    <w:uiPriority w:val="99"/>
    <w:unhideWhenUsed/>
    <w:rsid w:val="008360EC"/>
    <w:pPr>
      <w:spacing w:before="100" w:beforeAutospacing="1" w:after="100" w:afterAutospacing="1"/>
    </w:pPr>
    <w:rPr>
      <w:lang w:eastAsia="sk-SK"/>
    </w:rPr>
  </w:style>
  <w:style w:type="paragraph" w:styleId="Listenabsatz">
    <w:name w:val="List Paragraph"/>
    <w:basedOn w:val="Standard"/>
    <w:uiPriority w:val="34"/>
    <w:qFormat/>
    <w:rsid w:val="008360EC"/>
    <w:pPr>
      <w:ind w:left="720"/>
      <w:contextualSpacing/>
    </w:pPr>
  </w:style>
  <w:style w:type="paragraph" w:styleId="Kopfzeile">
    <w:name w:val="header"/>
    <w:basedOn w:val="Standard"/>
    <w:link w:val="KopfzeileZchn"/>
    <w:uiPriority w:val="99"/>
    <w:unhideWhenUsed/>
    <w:rsid w:val="008360EC"/>
    <w:pPr>
      <w:tabs>
        <w:tab w:val="center" w:pos="4536"/>
        <w:tab w:val="right" w:pos="9072"/>
      </w:tabs>
    </w:pPr>
  </w:style>
  <w:style w:type="character" w:customStyle="1" w:styleId="KopfzeileZchn">
    <w:name w:val="Kopfzeile Zchn"/>
    <w:link w:val="Kopfzeile"/>
    <w:uiPriority w:val="99"/>
    <w:locked/>
    <w:rsid w:val="008360EC"/>
    <w:rPr>
      <w:rFonts w:ascii="Times New Roman" w:hAnsi="Times New Roman" w:cs="Times New Roman"/>
      <w:sz w:val="24"/>
      <w:szCs w:val="24"/>
      <w:lang w:val="de-DE" w:eastAsia="cs-CZ"/>
    </w:rPr>
  </w:style>
  <w:style w:type="paragraph" w:styleId="Fuzeile">
    <w:name w:val="footer"/>
    <w:basedOn w:val="Standard"/>
    <w:link w:val="FuzeileZchn"/>
    <w:uiPriority w:val="99"/>
    <w:unhideWhenUsed/>
    <w:rsid w:val="008360EC"/>
    <w:pPr>
      <w:tabs>
        <w:tab w:val="center" w:pos="4536"/>
        <w:tab w:val="right" w:pos="9072"/>
      </w:tabs>
    </w:pPr>
  </w:style>
  <w:style w:type="character" w:customStyle="1" w:styleId="FuzeileZchn">
    <w:name w:val="Fußzeile Zchn"/>
    <w:link w:val="Fuzeile"/>
    <w:uiPriority w:val="99"/>
    <w:locked/>
    <w:rsid w:val="008360EC"/>
    <w:rPr>
      <w:rFonts w:ascii="Times New Roman" w:hAnsi="Times New Roman" w:cs="Times New Roman"/>
      <w:sz w:val="24"/>
      <w:szCs w:val="24"/>
      <w:lang w:val="de-DE" w:eastAsia="cs-CZ"/>
    </w:rPr>
  </w:style>
  <w:style w:type="character" w:styleId="Kommentarzeichen">
    <w:name w:val="annotation reference"/>
    <w:uiPriority w:val="99"/>
    <w:semiHidden/>
    <w:unhideWhenUsed/>
    <w:rsid w:val="003C3245"/>
    <w:rPr>
      <w:rFonts w:cs="Times New Roman"/>
      <w:sz w:val="16"/>
      <w:szCs w:val="16"/>
    </w:rPr>
  </w:style>
  <w:style w:type="paragraph" w:styleId="Kommentartext">
    <w:name w:val="annotation text"/>
    <w:basedOn w:val="Standard"/>
    <w:link w:val="KommentartextZchn"/>
    <w:uiPriority w:val="99"/>
    <w:semiHidden/>
    <w:unhideWhenUsed/>
    <w:rsid w:val="003C3245"/>
    <w:rPr>
      <w:sz w:val="20"/>
      <w:szCs w:val="20"/>
    </w:rPr>
  </w:style>
  <w:style w:type="character" w:customStyle="1" w:styleId="KommentartextZchn">
    <w:name w:val="Kommentartext Zchn"/>
    <w:link w:val="Kommentartext"/>
    <w:uiPriority w:val="99"/>
    <w:semiHidden/>
    <w:locked/>
    <w:rsid w:val="003C3245"/>
    <w:rPr>
      <w:rFonts w:ascii="Times New Roman" w:hAnsi="Times New Roman" w:cs="Times New Roman"/>
      <w:sz w:val="20"/>
      <w:szCs w:val="20"/>
      <w:lang w:val="de-DE" w:eastAsia="cs-CZ"/>
    </w:rPr>
  </w:style>
  <w:style w:type="paragraph" w:styleId="Kommentarthema">
    <w:name w:val="annotation subject"/>
    <w:basedOn w:val="Kommentartext"/>
    <w:next w:val="Kommentartext"/>
    <w:link w:val="KommentarthemaZchn"/>
    <w:uiPriority w:val="99"/>
    <w:semiHidden/>
    <w:unhideWhenUsed/>
    <w:rsid w:val="003C3245"/>
    <w:rPr>
      <w:b/>
      <w:bCs/>
    </w:rPr>
  </w:style>
  <w:style w:type="character" w:customStyle="1" w:styleId="KommentarthemaZchn">
    <w:name w:val="Kommentarthema Zchn"/>
    <w:link w:val="Kommentarthema"/>
    <w:uiPriority w:val="99"/>
    <w:semiHidden/>
    <w:locked/>
    <w:rsid w:val="003C3245"/>
    <w:rPr>
      <w:rFonts w:ascii="Times New Roman" w:hAnsi="Times New Roman" w:cs="Times New Roman"/>
      <w:b/>
      <w:bCs/>
      <w:sz w:val="20"/>
      <w:szCs w:val="20"/>
      <w:lang w:val="de-DE" w:eastAsia="cs-CZ"/>
    </w:rPr>
  </w:style>
  <w:style w:type="paragraph" w:styleId="Sprechblasentext">
    <w:name w:val="Balloon Text"/>
    <w:basedOn w:val="Standard"/>
    <w:link w:val="SprechblasentextZchn"/>
    <w:uiPriority w:val="99"/>
    <w:semiHidden/>
    <w:unhideWhenUsed/>
    <w:rsid w:val="003C3245"/>
    <w:rPr>
      <w:rFonts w:ascii="Tahoma" w:hAnsi="Tahoma" w:cs="Tahoma"/>
      <w:sz w:val="16"/>
      <w:szCs w:val="16"/>
    </w:rPr>
  </w:style>
  <w:style w:type="character" w:customStyle="1" w:styleId="SprechblasentextZchn">
    <w:name w:val="Sprechblasentext Zchn"/>
    <w:link w:val="Sprechblasentext"/>
    <w:uiPriority w:val="99"/>
    <w:semiHidden/>
    <w:locked/>
    <w:rsid w:val="003C3245"/>
    <w:rPr>
      <w:rFonts w:ascii="Tahoma" w:hAnsi="Tahoma" w:cs="Tahoma"/>
      <w:sz w:val="16"/>
      <w:szCs w:val="16"/>
      <w:lang w:val="de-DE" w:eastAsia="cs-CZ"/>
    </w:rPr>
  </w:style>
  <w:style w:type="table" w:styleId="Tabellenraster">
    <w:name w:val="Table Grid"/>
    <w:basedOn w:val="NormaleTabelle"/>
    <w:uiPriority w:val="59"/>
    <w:rsid w:val="0059087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rsid w:val="004B5B39"/>
    <w:rPr>
      <w:rFonts w:ascii="Times New Roman" w:hAnsi="Times New Roman" w:cs="Times New Roman"/>
      <w:color w:val="000000"/>
    </w:rPr>
  </w:style>
  <w:style w:type="paragraph" w:styleId="Textkrper-Zeileneinzug">
    <w:name w:val="Body Text Indent"/>
    <w:basedOn w:val="Standard"/>
    <w:link w:val="Textkrper-ZeileneinzugZchn"/>
    <w:uiPriority w:val="99"/>
    <w:unhideWhenUsed/>
    <w:rsid w:val="007C30E3"/>
    <w:pPr>
      <w:spacing w:after="120"/>
      <w:ind w:left="283"/>
    </w:pPr>
  </w:style>
  <w:style w:type="character" w:customStyle="1" w:styleId="Textkrper-ZeileneinzugZchn">
    <w:name w:val="Textkörper-Zeileneinzug Zchn"/>
    <w:link w:val="Textkrper-Zeileneinzug"/>
    <w:uiPriority w:val="99"/>
    <w:locked/>
    <w:rsid w:val="007C30E3"/>
    <w:rPr>
      <w:rFonts w:ascii="Times New Roman" w:hAnsi="Times New Roman" w:cs="Times New Roman"/>
      <w:sz w:val="24"/>
      <w:szCs w:val="24"/>
      <w:lang w:val="de-DE" w:eastAsia="cs-CZ"/>
    </w:rPr>
  </w:style>
  <w:style w:type="character" w:styleId="Hyperlink">
    <w:name w:val="Hyperlink"/>
    <w:uiPriority w:val="99"/>
    <w:unhideWhenUsed/>
    <w:rsid w:val="00B512F3"/>
    <w:rPr>
      <w:rFonts w:cs="Times New Roman"/>
      <w:color w:val="0000FF"/>
      <w:u w:val="single"/>
    </w:rPr>
  </w:style>
  <w:style w:type="paragraph" w:styleId="Textkrper2">
    <w:name w:val="Body Text 2"/>
    <w:basedOn w:val="Standard"/>
    <w:link w:val="Textkrper2Zchn"/>
    <w:uiPriority w:val="99"/>
    <w:semiHidden/>
    <w:unhideWhenUsed/>
    <w:rsid w:val="005C46BE"/>
    <w:pPr>
      <w:spacing w:after="120" w:line="480" w:lineRule="auto"/>
    </w:pPr>
  </w:style>
  <w:style w:type="character" w:customStyle="1" w:styleId="Textkrper2Zchn">
    <w:name w:val="Textkörper 2 Zchn"/>
    <w:link w:val="Textkrper2"/>
    <w:uiPriority w:val="99"/>
    <w:semiHidden/>
    <w:rsid w:val="005C46BE"/>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347323">
      <w:marLeft w:val="0"/>
      <w:marRight w:val="0"/>
      <w:marTop w:val="0"/>
      <w:marBottom w:val="0"/>
      <w:divBdr>
        <w:top w:val="none" w:sz="0" w:space="0" w:color="auto"/>
        <w:left w:val="none" w:sz="0" w:space="0" w:color="auto"/>
        <w:bottom w:val="none" w:sz="0" w:space="0" w:color="auto"/>
        <w:right w:val="none" w:sz="0" w:space="0" w:color="auto"/>
      </w:divBdr>
    </w:div>
    <w:div w:id="1282347324">
      <w:marLeft w:val="0"/>
      <w:marRight w:val="0"/>
      <w:marTop w:val="0"/>
      <w:marBottom w:val="0"/>
      <w:divBdr>
        <w:top w:val="none" w:sz="0" w:space="0" w:color="auto"/>
        <w:left w:val="none" w:sz="0" w:space="0" w:color="auto"/>
        <w:bottom w:val="none" w:sz="0" w:space="0" w:color="auto"/>
        <w:right w:val="none" w:sz="0" w:space="0" w:color="auto"/>
      </w:divBdr>
    </w:div>
    <w:div w:id="17627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hus.chochlik@mindop.sk" TargetMode="External"/><Relationship Id="rId5" Type="http://schemas.openxmlformats.org/officeDocument/2006/relationships/settings" Target="settings.xml"/><Relationship Id="rId10" Type="http://schemas.openxmlformats.org/officeDocument/2006/relationships/hyperlink" Target="mailto:bohus.chochlik@mindop.sk" TargetMode="External"/><Relationship Id="rId4" Type="http://schemas.microsoft.com/office/2007/relationships/stylesWithEffects" Target="stylesWithEffects.xml"/><Relationship Id="rId9" Type="http://schemas.openxmlformats.org/officeDocument/2006/relationships/hyperlink" Target="mailto:katarina.bzovska@mindo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4_dolozka_vplyvov"/>
    <f:field ref="objsubject" par="" edit="true" text=""/>
    <f:field ref="objcreatedby" par="" text="Gavalcová, Eva"/>
    <f:field ref="objcreatedat" par="" text="8.2.2019 13:02:38"/>
    <f:field ref="objchangedby" par="" text="Administrator, System"/>
    <f:field ref="objmodifiedat" par="" text="8.2.2019 13:02:3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1852</Words>
  <Characters>12930</Characters>
  <Application>Microsoft Office Word</Application>
  <DocSecurity>0</DocSecurity>
  <Lines>107</Lines>
  <Paragraphs>29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Ministerstvo dopravy a výstavby SR</Company>
  <LinksUpToDate>false</LinksUpToDate>
  <CharactersWithSpaces>14753</CharactersWithSpaces>
  <SharedDoc>false</SharedDoc>
  <HLinks>
    <vt:vector size="18" baseType="variant">
      <vt:variant>
        <vt:i4>5767216</vt:i4>
      </vt:variant>
      <vt:variant>
        <vt:i4>5</vt:i4>
      </vt:variant>
      <vt:variant>
        <vt:i4>0</vt:i4>
      </vt:variant>
      <vt:variant>
        <vt:i4>5</vt:i4>
      </vt:variant>
      <vt:variant>
        <vt:lpwstr>mailto:bohus.chochlik@mindop.sk</vt:lpwstr>
      </vt:variant>
      <vt:variant>
        <vt:lpwstr/>
      </vt:variant>
      <vt:variant>
        <vt:i4>5767216</vt:i4>
      </vt:variant>
      <vt:variant>
        <vt:i4>3</vt:i4>
      </vt:variant>
      <vt:variant>
        <vt:i4>0</vt:i4>
      </vt:variant>
      <vt:variant>
        <vt:i4>5</vt:i4>
      </vt:variant>
      <vt:variant>
        <vt:lpwstr>mailto:bohus.chochlik@mindop.sk</vt:lpwstr>
      </vt:variant>
      <vt:variant>
        <vt:lpwstr/>
      </vt:variant>
      <vt:variant>
        <vt:i4>6684703</vt:i4>
      </vt:variant>
      <vt:variant>
        <vt:i4>0</vt:i4>
      </vt:variant>
      <vt:variant>
        <vt:i4>0</vt:i4>
      </vt:variant>
      <vt:variant>
        <vt:i4>5</vt:i4>
      </vt:variant>
      <vt:variant>
        <vt:lpwstr>mailto:katarina.bzovska@mindop.sk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dopravy a výstavby SR;Lubomir.Moravcik@mindop.sk</dc:creator>
  <cp:lastModifiedBy>Blumbach, Silke</cp:lastModifiedBy>
  <cp:revision>4</cp:revision>
  <cp:lastPrinted>2019-07-31T11:17:00Z</cp:lastPrinted>
  <dcterms:created xsi:type="dcterms:W3CDTF">2019-09-30T09:48:00Z</dcterms:created>
  <dcterms:modified xsi:type="dcterms:W3CDTF">2019-10-04T12:26:00Z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Vyhláška</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Cestná doprava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Eva Gavalcová</vt:lpwstr>
  </property>
  <property fmtid="{D5CDD505-2E9C-101B-9397-08002B2CF9AE}" pid="12" name="FSC#SKEDITIONSLOVLEX@103.510:zodppredkladatel">
    <vt:lpwstr>Arpád Érsek</vt:lpwstr>
  </property>
  <property fmtid="{D5CDD505-2E9C-101B-9397-08002B2CF9AE}" pid="13" name="FSC#SKEDITIONSLOVLEX@103.510:dalsipredkladatel">
    <vt:lpwstr/>
  </property>
  <property fmtid="{D5CDD505-2E9C-101B-9397-08002B2CF9AE}" pid="14" name="FSC#SKEDITIONSLOVLEX@103.510:nazovpredpis">
    <vt:lpwstr>, ktorou sa mení a dopĺňa vyhláška Ministerstva dopravy a výstavby Slovenskej republiky č. 138/2018 Z. z., ktorou sa ustanovujú podrobnosti v oblasti emisnej kontroly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a výstavby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 136 ods. 3 písm. h) zákona č. 106/2018 Z. z. _x000d_
o prevádzke vozidiel v cestnej premávke _x000d_
a o zmene a doplnení niektorých zákonov _x000d_
</vt:lpwstr>
  </property>
  <property fmtid="{D5CDD505-2E9C-101B-9397-08002B2CF9AE}" pid="23" name="FSC#SKEDITIONSLOVLEX@103.510:plnynazovpredpis">
    <vt:lpwstr> Vyhláška Ministerstva dopravy a výstavby Slovenskej republiky, ktorou sa mení a dopĺňa vyhláška Ministerstva dopravy a výstavby Slovenskej republiky č. 138/2018 Z. z., ktorou sa ustanovujú podrobnosti v oblasti emisnej kontroly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07711/2019/SCDPK/10419-M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LP/2019/102</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Arpád Érsek_x000d_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8. 2. 2019</vt:lpwstr>
  </property>
  <property fmtid="{D5CDD505-2E9C-101B-9397-08002B2CF9AE}" pid="151" name="FSC#COOSYSTEM@1.1:Container">
    <vt:lpwstr>COO.2145.1000.3.3199053</vt:lpwstr>
  </property>
  <property fmtid="{D5CDD505-2E9C-101B-9397-08002B2CF9AE}" pid="152" name="FSC#FSCFOLIO@1.1001:docpropproject">
    <vt:lpwstr/>
  </property>
</Properties>
</file>