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Uredba z dne 20. novembra 2021 o varstvu čebel in drugih žuželk opraševalk ter ohranjanju storitev opraševanja pri uporabi fitofarmacevtskih sredstev</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Št.: AGRG2134356A</w:t>
      </w:r>
      <w:r>
        <w:rPr>
          <w:rFonts w:ascii="Times New Roman" w:hAnsi="Times New Roman"/>
          <w:sz w:val="24"/>
        </w:rPr>
        <w:br/>
        <w:t xml:space="preserve">ELI: https://www.legifrance.gouv.fr/eli/arrete/2021/11/20/AGRG2134356A/jo/texte </w:t>
      </w:r>
      <w:r>
        <w:rPr>
          <w:rFonts w:ascii="Times New Roman" w:hAnsi="Times New Roman"/>
          <w:sz w:val="24"/>
        </w:rPr>
        <w:br/>
        <w:t>JORF št. 0271 z dne 21. novembra 2021</w:t>
      </w:r>
      <w:r>
        <w:rPr>
          <w:rFonts w:ascii="Times New Roman" w:hAnsi="Times New Roman"/>
          <w:sz w:val="24"/>
        </w:rPr>
        <w:br/>
        <w:t>Besedilo št.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I: OKVIR ZA REGISTRACIJO FITOFARMACEVTSKIH SREDSTEV V OBDOBJIH CVETENJA (člen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II: NADZOR UPORABE FITOFARMACEVTSKIH SREDSTEV V OBDOBJIH CVETENJA (členi 3 do 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III: PREHODNE DOLOČBE (členi 8 do 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Priloga</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Ciljne skupine: Vlagatelji in imetniki dovoljenj za promet, uporabniki fitofarmacevtskih sredstev, upravičenci do storitev opraševanja. </w:t>
      </w:r>
      <w:r>
        <w:rPr>
          <w:rFonts w:ascii="Times New Roman" w:hAnsi="Times New Roman"/>
          <w:sz w:val="24"/>
        </w:rPr>
        <w:br/>
        <w:t xml:space="preserve">Zadeva: Ta uredba določa ukrepe za zaščito žuželk opraševalk ter kmetijskih in ekosistemskih storitev pred tveganji, povezanimi z uporabo fitofarmacevtskih sredstev. </w:t>
      </w:r>
      <w:r>
        <w:rPr>
          <w:rFonts w:ascii="Times New Roman" w:hAnsi="Times New Roman"/>
          <w:sz w:val="24"/>
        </w:rPr>
        <w:br/>
        <w:t>Začetek veljavnosti : Ta uredba začne veljati 1. januarja 2022.</w:t>
      </w:r>
      <w:r>
        <w:rPr>
          <w:rFonts w:ascii="Times New Roman" w:hAnsi="Times New Roman"/>
          <w:sz w:val="24"/>
        </w:rPr>
        <w:br/>
        <w:t xml:space="preserve">Obvestilo: Uredba načelo ocenjevanja možnosti uporabe fitofarmacevtskega sredstva v obdobju cvetenja na kmetijskih rastlinah, privlačnih za opraševalce, in na območjih prehranjevanja glede na tveganje za opraševalce razširja na vsa fitofarmacevtska sredstva. Če Anses odobri sredstvo za uporabo pri cvetenju je treba obdelavo, razen v posebnih primerih, opraviti v 2 urah pred sončnim zahodom in v 3 urah po sončnem zahodu. Uredba določa prehodne ukrepe in časovni razpored za izvajanje teh novih določb. </w:t>
      </w:r>
      <w:r>
        <w:rPr>
          <w:rFonts w:ascii="Times New Roman" w:hAnsi="Times New Roman"/>
          <w:sz w:val="24"/>
        </w:rPr>
        <w:br/>
        <w:t xml:space="preserve">Reference: ta uredba se izda v skladu s členom L. 253-7 zakonika o podeželju in pomorskem ribištvu. Na voljo je na spletni strani Légifrance: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ekološki prehod, minister za gospodarstvo, finance in okrevanje, minister za solidarnost in zdravje ter minister za kmetijstvo in prehrano,</w:t>
      </w:r>
      <w:r>
        <w:rPr>
          <w:rFonts w:ascii="Times New Roman" w:hAnsi="Times New Roman"/>
          <w:sz w:val="24"/>
        </w:rPr>
        <w:br/>
        <w:t>ob upoštevanju Uredbe (ES) št. 1107/2009 Evropskega parlamenta in Sveta z dne 21. oktobra 2009 o dajanju fitofarmacevtskih sredstev v promet in razveljavitvi direktiv Sveta 79/117/EGS in 91/414/EGS,</w:t>
      </w:r>
      <w:r>
        <w:rPr>
          <w:rFonts w:ascii="Times New Roman" w:hAnsi="Times New Roman"/>
          <w:sz w:val="24"/>
        </w:rPr>
        <w:br/>
        <w:t>ob upoštevanju Uredbe Komisije (EU) št. 547/2011 z dne 8. junija 2011 o izvajanju Uredbe (ES) št. 1107/2009 Evropskega parlamenta in Sveta v zvezi z zahtevami glede označevanja fitofarmacevtskih sredstev,</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w:t>
      </w:r>
      <w:r>
        <w:rPr>
          <w:rFonts w:ascii="Times New Roman" w:hAnsi="Times New Roman"/>
          <w:sz w:val="24"/>
        </w:rPr>
        <w:br/>
        <w:t>ob upoštevanju zakonika o podeželju in pomorskem ribištvu, zlasti členov L. 201-4, L. 251-3, L. 253-1, L. 253-7, D. 253-8, R. 253-43 in R. 253-45,</w:t>
      </w:r>
      <w:r>
        <w:rPr>
          <w:rFonts w:ascii="Times New Roman" w:hAnsi="Times New Roman"/>
          <w:sz w:val="24"/>
        </w:rPr>
        <w:br/>
        <w:t>ob upoštevanju Uredbe z dne 16. junija 2009 o pogojih, pod katerimi gospodarski subjekti iz člena L. 257-1 vodijo register iz člena L. 257-3 zakonika o podeželju,</w:t>
      </w:r>
      <w:r>
        <w:rPr>
          <w:rFonts w:ascii="Times New Roman" w:hAnsi="Times New Roman"/>
          <w:sz w:val="24"/>
        </w:rPr>
        <w:br/>
        <w:t>ob upoštevanju uradnega obvestila št. 2021/448/F,</w:t>
      </w:r>
      <w:r>
        <w:rPr>
          <w:rFonts w:ascii="Times New Roman" w:hAnsi="Times New Roman"/>
          <w:sz w:val="24"/>
        </w:rPr>
        <w:br/>
        <w:t xml:space="preserve">ob upoštevanju pripomb, podanih med javnim posvetovanjem med 28. junijem 2021 </w:t>
      </w:r>
      <w:r>
        <w:rPr>
          <w:rFonts w:ascii="Times New Roman" w:hAnsi="Times New Roman"/>
          <w:sz w:val="24"/>
        </w:rPr>
        <w:lastRenderedPageBreak/>
        <w:t>in 20. julijem 2021, v skladu s členom L. 123-19-1 okoljskega zakonika,</w:t>
      </w:r>
      <w:r>
        <w:rPr>
          <w:rFonts w:ascii="Times New Roman" w:hAnsi="Times New Roman"/>
          <w:sz w:val="24"/>
        </w:rPr>
        <w:br/>
        <w:t>odrejajo naslednje:</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4AE602D9" w14:textId="77777777"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namene te uredbe se uporabljajo naslednje opredelitve pojmov:</w:t>
      </w:r>
      <w:r>
        <w:rPr>
          <w:rFonts w:ascii="Times New Roman" w:hAnsi="Times New Roman"/>
          <w:sz w:val="24"/>
        </w:rPr>
        <w:br/>
        <w:t xml:space="preserve">„čebele“: domače čebele, divje čebele in čmrlji; </w:t>
      </w:r>
      <w:r>
        <w:rPr>
          <w:rFonts w:ascii="Times New Roman" w:hAnsi="Times New Roman"/>
          <w:sz w:val="24"/>
        </w:rPr>
        <w:br/>
        <w:t xml:space="preserve">„sončni zahod“: čas, določen z efemeridami mesta, ki je najbližje implantaciji kraja obdelave; </w:t>
      </w:r>
      <w:r>
        <w:rPr>
          <w:rFonts w:ascii="Times New Roman" w:hAnsi="Times New Roman"/>
          <w:sz w:val="24"/>
        </w:rPr>
        <w:br/>
        <w:t>„privlačna kmetijska rastlina“: privlačna kmetijska rastlina je kmetijska rastlina, ki je že po svoji naravi privlačna za čebele ali druge žuželke opraševalke.  Kmetijske rastline, navedene v uradnem biltenu Ministrstva za kmetijstvo, se ne štejejo za privlačne v smislu te uredbe;</w:t>
      </w:r>
      <w:r>
        <w:rPr>
          <w:rFonts w:ascii="Times New Roman" w:hAnsi="Times New Roman"/>
          <w:sz w:val="24"/>
        </w:rPr>
        <w:br/>
        <w:t xml:space="preserve">„eksudat“: mana, sladki izločki, ki jih proizvedejo rastline, in zunajcvetni nektar rastlin, ki jih pospravijo čebele ali druge žuželke opraševalke; </w:t>
      </w:r>
      <w:r>
        <w:rPr>
          <w:rFonts w:ascii="Times New Roman" w:hAnsi="Times New Roman"/>
          <w:sz w:val="24"/>
        </w:rPr>
        <w:br/>
        <w:t xml:space="preserve">„cvetenje“: vegetativno obdobje od odprtja prvih cvetov do padca cvetnih listov zadnjih cvetov; </w:t>
      </w:r>
      <w:r>
        <w:rPr>
          <w:rFonts w:ascii="Times New Roman" w:hAnsi="Times New Roman"/>
          <w:sz w:val="24"/>
        </w:rPr>
        <w:br/>
        <w:t xml:space="preserve">„sredstva“: fitofarmacevtska sredstva, razen sredstev za redčenje, in njihova pomožna sredstva iz člena L.253-1 zakonika o podeželju in pomorskem ribištvu; </w:t>
      </w:r>
      <w:r>
        <w:rPr>
          <w:rFonts w:ascii="Times New Roman" w:hAnsi="Times New Roman"/>
          <w:sz w:val="24"/>
        </w:rPr>
        <w:br/>
        <w:t>„register“: register o uporabi fitofarmacevtskih sredstev v skladu z Uredbo z dne 16. junija 2009 o pogojih, pod katerimi gospodarski subjekti iz člena L. 257-1 zakonika o podeželju in pomorskem ribištvu vodijo register iz člena 67 Uredbe (ES) št. 1107/2009 z dne 21. oktobra 2009 o dajanju fitofarmacevtskih sredstev v promet;</w:t>
      </w:r>
      <w:r>
        <w:rPr>
          <w:rFonts w:ascii="Times New Roman" w:hAnsi="Times New Roman"/>
          <w:sz w:val="24"/>
        </w:rPr>
        <w:br/>
        <w:t xml:space="preserve">„uporaba“: uporaba fitofarmacevtskih sredstev ali pomožnih sredstev na rastlini, rastlinskem proizvodu ali družini rastlin za varovanje pred škodljivimi organizmi, skupinami škodljivih organizmov, boleznimi ali skupinami bolezni v skladu z natančno opredeljeno funkcijo in podrobnimi pravili uporabe, kot so navedeni v katalogu iz člena D.253-8 zakonika o podeželju in pomorskem ribištvu; </w:t>
      </w:r>
      <w:r>
        <w:rPr>
          <w:rFonts w:ascii="Times New Roman" w:hAnsi="Times New Roman"/>
          <w:sz w:val="24"/>
        </w:rPr>
        <w:br/>
        <w:t>„uporaba sredstva“: vsaka uporaba fitofarmacevtskega sredstva ali pomožnega sredstva na vegetativnem ciklu v skladu z registrirano uporabo, ne glede na način nanašanja in del rastline, ki se obdeluje, razen uporab, kot so opredeljene v Prilogi 1, ki izključujejo izpostavljenost opraševalcev med cvetenjem;</w:t>
      </w:r>
      <w:r>
        <w:rPr>
          <w:rFonts w:ascii="Times New Roman" w:hAnsi="Times New Roman"/>
          <w:sz w:val="24"/>
        </w:rPr>
        <w:br/>
        <w:t>„območje prehranjevanja“: razen kmetijskih rastlin v proizvodnji je območje prehranjevanja kmetijska ali nekmetijska površina, ki jo zaseda gojena ali spontana skupina rastlin, ki je očitno zanimiva za čebele ali druge žuželke opraševalke zaradi prisotnosti cvetov ali eksudatov.  Za namene te uredbe je uporaba sredstev na območjih prehranjevanja tista, ki je namenjena posebni obdelavi teh območij, ne glede na uporabo na kmetijskih rastlinah v proizvodnji.</w:t>
      </w: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Naslov I: OKVIR ZA REGISTRACIJO FITOFARMACEVTSKIH SREDSTEV V OBDOBJIH CVETENJA (člen 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 izdaji ali podaljšanju registracije iz člena L. 253-1 zakonika o podeželju in pomorskem ribištvu, Anses oceni tveganja, povezana z uporabo sredstva na privlačnih kmetijskih rastlinah med cvetenjem.</w:t>
      </w:r>
      <w:r>
        <w:rPr>
          <w:rFonts w:ascii="Times New Roman" w:hAnsi="Times New Roman"/>
          <w:sz w:val="24"/>
        </w:rPr>
        <w:br/>
        <w:t xml:space="preserve">V ta namen vlagatelj svoji dokumentaciji priloži teste in ocene tveganja, ki jih </w:t>
      </w:r>
      <w:r>
        <w:rPr>
          <w:rFonts w:ascii="Times New Roman" w:hAnsi="Times New Roman"/>
          <w:sz w:val="24"/>
        </w:rPr>
        <w:lastRenderedPageBreak/>
        <w:t>zahtevajo veljavni predpisi, ter informacije, ki jih Anses potrebuje za odločitev o oceni iz prvega pododstavka.</w:t>
      </w:r>
      <w:r>
        <w:rPr>
          <w:rFonts w:ascii="Times New Roman" w:hAnsi="Times New Roman"/>
          <w:sz w:val="24"/>
        </w:rPr>
        <w:br/>
        <w:t>Če se v oceni tveganja, ki jo je izvedla Anses, ugotovi, da uporaba povzroči zanemarljivo izpostavljenost čebel ali ne povzroči nesprejemljivega, akutnega ali kroničnega učinka na čebele ali učinke na preživetje in razvoj kolonij, se lahko dovoli uporaba sredstva na ustreznih privlačnih kmetijskih rastlinah, kadar cvetijo, in na območjih prehranjevanja. Taka uporaba je odvisna od skladnosti z ukrepi iz člena 3.</w:t>
      </w:r>
      <w:r>
        <w:rPr>
          <w:rFonts w:ascii="Times New Roman" w:hAnsi="Times New Roman"/>
          <w:sz w:val="24"/>
        </w:rPr>
        <w:br/>
        <w:t>V nasprotnem primeru je uporaba sredstva prepovedana na ustreznih privlačnih kmetijskih rastlinah, ko cvetijo, in na območjih prehranjevanja.</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Naslov II: NADZOR UPORABE FITOFARMACEVTSKIH SREDSTEV V OBDOBJIH CVETENJA (členi 3 do 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3</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Sredstvo, odobreno v skladu s členom 2, se uporablja na privlačnih kmetijskih rastlinah med cvetenjem ali na območju prehranjevanja v 2 urah pred sončnim zahodom in 3 urah po sončnem zahodu.</w:t>
      </w:r>
      <w:r>
        <w:rPr>
          <w:rFonts w:ascii="Times New Roman" w:hAnsi="Times New Roman"/>
          <w:sz w:val="24"/>
        </w:rPr>
        <w:br/>
        <w:t>Ta interval se lahko prilagodi ali odpravi v skladu s postopki, ki zagotavljajo enakovredna jamstva glede izpostavljenosti čebel in drugih opraševalcev. Ti postopki bodo navedeni v Prilogi po mnenju Anses, zlasti z namenom, da se omogoči obdelava zjutraj ali pod temperaturnim pragom.</w:t>
      </w:r>
      <w:r>
        <w:rPr>
          <w:rFonts w:ascii="Times New Roman" w:hAnsi="Times New Roman"/>
          <w:sz w:val="24"/>
        </w:rPr>
        <w:br/>
        <w:t>Z odstopanjem od prvega odstavka se z uporabo fitofarmacevtskih sredstev eksperimentira po navedenem časovnem intervalu, da se opredelijo orodja za podporo odločanju ali druge tehnologije, katerih uporaba bi zagotovila enakovredna jamstva glede izpostavljenosti čebel in drugih opraševalcev . Ta eksperiment, ki traja največ 3 leta in je predmet ocenjevanja s strani Anses, se izvaja pod pogoji, določenimi s skupno uredbo ministrov, pristojnih za okolje in kmetijstvo.</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Če rastlinska odeja, prisotna pod trajnimi rastlinami, predstavlja območje prehranjevanja, mora biti pred kakršno koli obdelavo z insekticidi ali akaricidi neprivlačna za opraševalce.</w:t>
      </w: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Obdobje uporabe iz člena 3 se lahko spremeni v naslednjih primerih:</w:t>
      </w:r>
    </w:p>
    <w:p w14:paraId="040DB100" w14:textId="096BD38A"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42304A">
        <w:rPr>
          <w:rFonts w:ascii="Times New Roman" w:hAnsi="Times New Roman"/>
          <w:sz w:val="24"/>
        </w:rPr>
        <w:t>-</w:t>
      </w:r>
      <w:r>
        <w:rPr>
          <w:rFonts w:ascii="Times New Roman" w:hAnsi="Times New Roman"/>
          <w:sz w:val="24"/>
        </w:rPr>
        <w:t xml:space="preserve"> če obdelava, opravljena v obdobju, opredeljenem v členu 3, zaradi izključno dnevne aktivnosti bioagresorjev ne zagotavlja učinkovite zaščite obdelovane kmetijske rastline,</w:t>
      </w:r>
      <w:r>
        <w:rPr>
          <w:rFonts w:ascii="Times New Roman" w:hAnsi="Times New Roman"/>
          <w:sz w:val="24"/>
        </w:rPr>
        <w:br/>
      </w:r>
      <w:r w:rsidR="0042304A">
        <w:rPr>
          <w:rFonts w:ascii="Times New Roman" w:hAnsi="Times New Roman"/>
          <w:sz w:val="24"/>
        </w:rPr>
        <w:t>-</w:t>
      </w:r>
      <w:r>
        <w:rPr>
          <w:rFonts w:ascii="Times New Roman" w:hAnsi="Times New Roman"/>
          <w:sz w:val="24"/>
        </w:rPr>
        <w:t xml:space="preserve"> če je glede na razvoj bolezni učinkovitost fungicidne obdelave pogojena z njenim dokončanjem v omejenem obdobju, ki ni združljivo z obdobjem iz člena 3.</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V obeh primerih se lahko uporaba izvede brez časovnih omejitev.</w:t>
      </w:r>
      <w:r>
        <w:rPr>
          <w:rFonts w:ascii="Times New Roman" w:hAnsi="Times New Roman"/>
          <w:sz w:val="24"/>
        </w:rPr>
        <w:br/>
        <w:t>Začasno, v obdobju osmih mesecev od datuma objave te uredbe, se lahko tudi izvede uporaba brez časovnih omejitev, če je temperatura dovolj nizka, da se prepreči prisotnost čebel.</w:t>
      </w:r>
      <w:r>
        <w:rPr>
          <w:rFonts w:ascii="Times New Roman" w:hAnsi="Times New Roman"/>
          <w:sz w:val="24"/>
        </w:rPr>
        <w:br/>
        <w:t>Začetni in končni čas obdelave ter razlog za spremembo obdobja iz člena 3 se zabeležijo v register.</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6</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Odstopanja od prepovedi iz četrtega odstavka člena 2 in od ukrepov upravljanja, določenih v členu 3 z uredbo, izdano v skladu z naslovom II člena L. 201-4 zakonika o podeželju in pomorskem ribištvu za organe, ki jih ureja člen L. 251-3 istega zakonika, so dovoljena.</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7</w:t>
      </w:r>
    </w:p>
    <w:p w14:paraId="1044327C" w14:textId="63C8B1A2"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42304A">
        <w:rPr>
          <w:rFonts w:ascii="Times New Roman" w:hAnsi="Times New Roman"/>
          <w:sz w:val="24"/>
        </w:rPr>
        <w:t xml:space="preserve">- </w:t>
      </w:r>
      <w:r>
        <w:rPr>
          <w:rFonts w:ascii="Times New Roman" w:hAnsi="Times New Roman"/>
          <w:sz w:val="24"/>
        </w:rPr>
        <w:t>Oznaka sredstev, za katera ni dovoljena uporaba na cvetočih kmetijskih rastlinah v skladu s členom 2, vključuje stavek „Nevarno za čebele. Da bi zaščitili čebele in druge žuželke opraševalke, se ne uporabljajo med cvetenjem in na območjih prehranjevanja.</w:t>
      </w:r>
      <w:r>
        <w:rPr>
          <w:rFonts w:ascii="Times New Roman" w:hAnsi="Times New Roman"/>
          <w:sz w:val="24"/>
        </w:rPr>
        <w:br/>
        <w:t xml:space="preserve">II. </w:t>
      </w:r>
      <w:r w:rsidR="0042304A">
        <w:rPr>
          <w:rFonts w:ascii="Times New Roman" w:hAnsi="Times New Roman"/>
          <w:sz w:val="24"/>
        </w:rPr>
        <w:t xml:space="preserve">- </w:t>
      </w:r>
      <w:r>
        <w:rPr>
          <w:rFonts w:ascii="Times New Roman" w:hAnsi="Times New Roman"/>
          <w:sz w:val="24"/>
        </w:rPr>
        <w:t>Oznaka sredstev, za katera je odobrena vsaj ena uporaba na cvetočih kmetijskih rastlinah v skladu s členom 2, vključuje stavek „Lahko nevarna za čebele.  Možna uporaba med cvetenjem in na območjih prehranjevanja v 2 urah pred sončnim zahodom ali 3 urah po sončnem zahodu, samo za naslednjo(-e) uporabo(-e): [...] Časovna obdobja se lahko prilagodijo v skladu z Uredbo z dne 20. novembra 2021 o varstvu čebel in drugih žuželk opraševalk ter ohranjanju storitev opraševanja pri uporabi fitofarmacevtskih sredstev.“</w:t>
      </w: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Naslov III: PREHODNE DOLOČBE (členi 8 do 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8</w:t>
      </w:r>
    </w:p>
    <w:p w14:paraId="47A5BAF5" w14:textId="0DA0E598"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42304A">
        <w:rPr>
          <w:rFonts w:ascii="Times New Roman" w:hAnsi="Times New Roman"/>
          <w:sz w:val="24"/>
        </w:rPr>
        <w:t xml:space="preserve">- </w:t>
      </w:r>
      <w:r>
        <w:rPr>
          <w:rFonts w:ascii="Times New Roman" w:hAnsi="Times New Roman"/>
          <w:sz w:val="24"/>
        </w:rPr>
        <w:t>Insekticidna in akaricidna sredstva, katerih dovoljenje za promet na dan začetka veljavnosti te uredbe vključuje enega od naslednjih podatkov:</w:t>
      </w:r>
    </w:p>
    <w:p w14:paraId="3C0215A8" w14:textId="27853D29"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42304A">
        <w:rPr>
          <w:rFonts w:ascii="Times New Roman" w:hAnsi="Times New Roman"/>
          <w:sz w:val="24"/>
        </w:rPr>
        <w:t xml:space="preserve">- </w:t>
      </w:r>
      <w:r>
        <w:rPr>
          <w:rFonts w:ascii="Times New Roman" w:hAnsi="Times New Roman"/>
          <w:sz w:val="24"/>
        </w:rPr>
        <w:t>dovoljena uporaba med cvetenjem, razen v prisotnosti čebel“;</w:t>
      </w:r>
      <w:r>
        <w:rPr>
          <w:rFonts w:ascii="Times New Roman" w:hAnsi="Times New Roman"/>
          <w:sz w:val="24"/>
        </w:rPr>
        <w:br/>
        <w:t>„</w:t>
      </w:r>
      <w:r w:rsidR="0042304A">
        <w:rPr>
          <w:rFonts w:ascii="Times New Roman" w:hAnsi="Times New Roman"/>
          <w:sz w:val="24"/>
        </w:rPr>
        <w:t xml:space="preserve">- </w:t>
      </w:r>
      <w:r>
        <w:rPr>
          <w:rFonts w:ascii="Times New Roman" w:hAnsi="Times New Roman"/>
          <w:sz w:val="24"/>
        </w:rPr>
        <w:t>dovoljena uporaba v obdobjih proizvodnje eksudata, razen v prisotnosti čebel“;</w:t>
      </w:r>
      <w:r>
        <w:rPr>
          <w:rFonts w:ascii="Times New Roman" w:hAnsi="Times New Roman"/>
          <w:sz w:val="24"/>
        </w:rPr>
        <w:br/>
        <w:t>„</w:t>
      </w:r>
      <w:r w:rsidR="0042304A">
        <w:rPr>
          <w:rFonts w:ascii="Times New Roman" w:hAnsi="Times New Roman"/>
          <w:sz w:val="24"/>
        </w:rPr>
        <w:t xml:space="preserve">- </w:t>
      </w:r>
      <w:r>
        <w:rPr>
          <w:rFonts w:ascii="Times New Roman" w:hAnsi="Times New Roman"/>
          <w:sz w:val="24"/>
        </w:rPr>
        <w:t>dovoljena uporaba med cvetenjem in v obdobjih proizvodnje eksudata, razen v prisotnosti čebel“;</w:t>
      </w:r>
    </w:p>
    <w:p w14:paraId="3705A0E7" w14:textId="43789E74"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se lahko kot prehodni ukrep uporabljajo za zadevne uporabe na privlačnih kmetijskih rastlinah med cvetenjem ali na območjih prehranjevanja pod pogoji iz členov 3 do 5, dokler dovoljenje za promet ni podaljšano.</w:t>
      </w:r>
      <w:r>
        <w:rPr>
          <w:rFonts w:ascii="Times New Roman" w:hAnsi="Times New Roman"/>
          <w:sz w:val="24"/>
        </w:rPr>
        <w:br/>
        <w:t xml:space="preserve">II. </w:t>
      </w:r>
      <w:r w:rsidR="0042304A">
        <w:rPr>
          <w:rFonts w:ascii="Times New Roman" w:hAnsi="Times New Roman"/>
          <w:sz w:val="24"/>
        </w:rPr>
        <w:t xml:space="preserve">- </w:t>
      </w:r>
      <w:r>
        <w:rPr>
          <w:rFonts w:ascii="Times New Roman" w:hAnsi="Times New Roman"/>
          <w:sz w:val="24"/>
        </w:rPr>
        <w:t xml:space="preserve">Če se vloga za podaljšanje dovoljenja za promet s sredstvom, ki ni insekticid in </w:t>
      </w:r>
      <w:r>
        <w:rPr>
          <w:rFonts w:ascii="Times New Roman" w:hAnsi="Times New Roman"/>
          <w:sz w:val="24"/>
        </w:rPr>
        <w:lastRenderedPageBreak/>
        <w:t>akaricid, vloži v manj kot 30 mesecih od začetka veljavnosti te uredbe, se lahko navedeno sredstvo kot prehodni ukrep uporablja na privlačnih kmetijskih rastlinah med cvetenjem in na območju prehranjevanja pod pogoji iz členov 3 do 5, dokler Anses ne odloči o oceni tveganja iz člena 2, pod pogojem da so bili dodatni elementi predloženi v 30 mesecih od začetka veljavnosti te uredbe.</w:t>
      </w:r>
      <w:r>
        <w:rPr>
          <w:rFonts w:ascii="Times New Roman" w:hAnsi="Times New Roman"/>
          <w:sz w:val="24"/>
        </w:rPr>
        <w:br/>
        <w:t xml:space="preserve">III. </w:t>
      </w:r>
      <w:r w:rsidR="0042304A">
        <w:rPr>
          <w:rFonts w:ascii="Times New Roman" w:hAnsi="Times New Roman"/>
          <w:sz w:val="24"/>
        </w:rPr>
        <w:t xml:space="preserve">- </w:t>
      </w:r>
      <w:r>
        <w:rPr>
          <w:rFonts w:ascii="Times New Roman" w:hAnsi="Times New Roman"/>
          <w:sz w:val="24"/>
        </w:rPr>
        <w:t>Če se vloga za podaljšanje dovoljenja za promet s sredstvom, ki ni insekticid in akaricid, vloži v več kot 30 mesecih po začetku veljavnosti te uredbe, se lahko navedeno sredstvo kot prehodni ukrep uporablja na privlačnih kmetijskih rastlinah med cvetenjem in na območjih prehranjevanja pod pogoji iz členov 3 do 5, dokler Anses ne odloči o oceni tveganja iz člena 2, pod pogojem da so bili dodatni elementi predloženi v 48 mesecih od začetka veljavnosti te uredbe.</w:t>
      </w:r>
      <w:r>
        <w:rPr>
          <w:rFonts w:ascii="Times New Roman" w:hAnsi="Times New Roman"/>
          <w:sz w:val="24"/>
        </w:rPr>
        <w:br/>
        <w:t xml:space="preserve">IV. </w:t>
      </w:r>
      <w:r w:rsidR="0042304A">
        <w:rPr>
          <w:rFonts w:ascii="Times New Roman" w:hAnsi="Times New Roman"/>
          <w:sz w:val="24"/>
        </w:rPr>
        <w:t xml:space="preserve">- </w:t>
      </w:r>
      <w:r>
        <w:rPr>
          <w:rFonts w:ascii="Times New Roman" w:hAnsi="Times New Roman"/>
          <w:sz w:val="24"/>
        </w:rPr>
        <w:t>Če se v rokih, določenih v naslovih II in III tega člena, ne predložijo dodatne informacije, je uporaba na privlačnih kmetijskih rastlinah med cvetenjem in območjih prehranjevanja prepovedana, oznake zadevnih sredstev pa se posodobijo v skladu z odstavkom I člena 7.</w:t>
      </w:r>
      <w:r>
        <w:rPr>
          <w:rFonts w:ascii="Times New Roman" w:hAnsi="Times New Roman"/>
          <w:sz w:val="24"/>
        </w:rPr>
        <w:br/>
        <w:t xml:space="preserve">V. </w:t>
      </w:r>
      <w:r w:rsidR="0042304A">
        <w:rPr>
          <w:rFonts w:ascii="Times New Roman" w:hAnsi="Times New Roman"/>
          <w:sz w:val="24"/>
        </w:rPr>
        <w:t xml:space="preserve">- </w:t>
      </w:r>
      <w:r>
        <w:rPr>
          <w:rFonts w:ascii="Times New Roman" w:hAnsi="Times New Roman"/>
          <w:sz w:val="24"/>
        </w:rPr>
        <w:t>Vlagatelji obvestijo Anses 18 mesecev pred vložitvijo dodatnih elementov iz naslovov II in III tega člena o svoji nameri, da bodo predložili te dodatne elemente, pri čemer navedejo zadevne uporabe.</w:t>
      </w:r>
      <w:r>
        <w:rPr>
          <w:rFonts w:ascii="Times New Roman" w:hAnsi="Times New Roman"/>
          <w:sz w:val="24"/>
        </w:rPr>
        <w:br/>
        <w:t xml:space="preserve">VI. </w:t>
      </w:r>
      <w:r w:rsidR="0042304A">
        <w:rPr>
          <w:rFonts w:ascii="Times New Roman" w:hAnsi="Times New Roman"/>
          <w:sz w:val="24"/>
        </w:rPr>
        <w:t xml:space="preserve">- </w:t>
      </w:r>
      <w:r>
        <w:rPr>
          <w:rFonts w:ascii="Times New Roman" w:hAnsi="Times New Roman"/>
          <w:sz w:val="24"/>
        </w:rPr>
        <w:t>Določbe iz odstavkov III do V se ne uporabljajo za kmetijske rastline, ki se ne štejejo za zelo pomembne v enem od severnih ali južnih območij Francije v katalogu uporab iz člena D. 253-8 zakonika o podeželju in pomorskem ribištvu. Za te kmetijske rastline se ob podaljšanju dovoljenja za promet zahtevajo preskusi in ocene tveganja za opraševalce, ki jih zahtevajo veljavni predpisi, zadevna sredstva pa se lahko uporabljajo na privlačnih kmetijskih rastlinah med cvetenjem ali na območjih prehranjevanja pod pogoji iz členov 3 do 5, dokler Anses ne odloči o oceni tveganja iz člena 2.</w:t>
      </w:r>
      <w:r>
        <w:rPr>
          <w:rFonts w:ascii="Times New Roman" w:hAnsi="Times New Roman"/>
          <w:sz w:val="24"/>
        </w:rPr>
        <w:br/>
        <w:t xml:space="preserve">VII. </w:t>
      </w:r>
      <w:r w:rsidR="0042304A">
        <w:rPr>
          <w:rFonts w:ascii="Times New Roman" w:hAnsi="Times New Roman"/>
          <w:sz w:val="24"/>
        </w:rPr>
        <w:t xml:space="preserve">- </w:t>
      </w:r>
      <w:r>
        <w:rPr>
          <w:rFonts w:ascii="Times New Roman" w:hAnsi="Times New Roman"/>
          <w:sz w:val="24"/>
        </w:rPr>
        <w:t>Anses redno objavlja in posodablja seznam uporab odobrenih sredstev pod pogoji iz člena 2.</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9</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Uredba z dne 28. novembra 2003 o pogojih uporabe kmetijskih insekticidov in akaricidov za varstvo čebel in drugih žuželk opraševalk se razveljavi.</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10</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 uredba začne veljati 1. januarja 2022.</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11</w:t>
      </w:r>
    </w:p>
    <w:p w14:paraId="581C8E66" w14:textId="0563AEDF"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Za izvajanje te uredbe, ki bo objavljena v Uradnem listu Francoske republike, so odgovorni generalni direktor za prehrano, generalni direktor za preprečevanje tveganj, generalni direktor za konkurenco, varstvo potrošnikov in nadzor nad goljufijami in generalni direktor za zdravje.</w:t>
      </w:r>
    </w:p>
    <w:p w14:paraId="5C38559C" w14:textId="77777777" w:rsidR="0042304A" w:rsidRPr="00FF1A38" w:rsidRDefault="0042304A" w:rsidP="00FF1A38">
      <w:pPr>
        <w:spacing w:before="100" w:beforeAutospacing="1" w:after="100" w:afterAutospacing="1" w:line="240" w:lineRule="auto"/>
        <w:ind w:left="750"/>
        <w:rPr>
          <w:rFonts w:ascii="Times New Roman" w:eastAsia="Times New Roman" w:hAnsi="Times New Roman" w:cs="Times New Roman"/>
          <w:sz w:val="24"/>
          <w:szCs w:val="24"/>
        </w:rPr>
      </w:pP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Priloga</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32CB1B17" w14:textId="39336DD6"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Priloga 1 </w:t>
      </w:r>
      <w:r w:rsidR="001C3E9B">
        <w:rPr>
          <w:rFonts w:ascii="Times New Roman" w:hAnsi="Times New Roman"/>
          <w:caps/>
          <w:sz w:val="24"/>
        </w:rPr>
        <w:br/>
      </w:r>
      <w:r>
        <w:rPr>
          <w:rFonts w:ascii="Times New Roman" w:hAnsi="Times New Roman"/>
          <w:caps/>
          <w:sz w:val="24"/>
        </w:rPr>
        <w:t>Seznam uporab, ki izključujejo izpostavljenost opraševalcev v obdobju cvetenja</w:t>
      </w:r>
    </w:p>
    <w:p w14:paraId="34DB028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Uporabe, ki se izvajajo na rastlinjakih in varovanih kmetijskih rastlinah, saj so med cvetenjem nedostopne opraševalcem.</w:t>
      </w: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Dne 20. novembra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kmetijstvo in prehrano,</w:t>
      </w:r>
      <w:r>
        <w:rPr>
          <w:rFonts w:ascii="Times New Roman" w:hAnsi="Times New Roman"/>
          <w:sz w:val="24"/>
        </w:rPr>
        <w:br/>
        <w:t>za ministra in po njegovem pooblastilu:</w:t>
      </w:r>
      <w:r>
        <w:rPr>
          <w:rFonts w:ascii="Times New Roman" w:hAnsi="Times New Roman"/>
          <w:sz w:val="24"/>
        </w:rPr>
        <w:br/>
        <w:t>Generalni direktor za prehrano,</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ekološki prehod,</w:t>
      </w:r>
      <w:r>
        <w:rPr>
          <w:rFonts w:ascii="Times New Roman" w:hAnsi="Times New Roman"/>
          <w:sz w:val="24"/>
        </w:rPr>
        <w:br/>
        <w:t>za ministra in po njegovem pooblastilu:</w:t>
      </w:r>
      <w:r>
        <w:rPr>
          <w:rFonts w:ascii="Times New Roman" w:hAnsi="Times New Roman"/>
          <w:sz w:val="24"/>
        </w:rPr>
        <w:br/>
        <w:t>Generalni direktor za preprečevanje tveganj,</w:t>
      </w:r>
      <w:r>
        <w:rPr>
          <w:rFonts w:ascii="Times New Roman" w:hAnsi="Times New Roman"/>
          <w:sz w:val="24"/>
        </w:rPr>
        <w:br/>
        <w:t>C. Bourillet</w:t>
      </w:r>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gospodarstvo, finance in okrevanje,</w:t>
      </w:r>
      <w:r>
        <w:rPr>
          <w:rFonts w:ascii="Times New Roman" w:hAnsi="Times New Roman"/>
          <w:sz w:val="24"/>
        </w:rPr>
        <w:br/>
        <w:t>za ministra in po njegovem pooblastilu:</w:t>
      </w:r>
      <w:r>
        <w:rPr>
          <w:rFonts w:ascii="Times New Roman" w:hAnsi="Times New Roman"/>
          <w:sz w:val="24"/>
        </w:rPr>
        <w:br/>
        <w:t>Generalni direktor za konkurenco, varstvo potrošnikov in nadzor nad goljufijami,</w:t>
      </w:r>
      <w:r>
        <w:rPr>
          <w:rFonts w:ascii="Times New Roman" w:hAnsi="Times New Roman"/>
          <w:sz w:val="24"/>
        </w:rPr>
        <w:br/>
        <w:t>V. Beaumeunier</w:t>
      </w:r>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solidarnost in zdravje,</w:t>
      </w:r>
      <w:r>
        <w:rPr>
          <w:rFonts w:ascii="Times New Roman" w:hAnsi="Times New Roman"/>
          <w:sz w:val="24"/>
        </w:rPr>
        <w:br/>
        <w:t>za ministra in po njegovem pooblastilu:</w:t>
      </w:r>
      <w:r>
        <w:rPr>
          <w:rFonts w:ascii="Times New Roman" w:hAnsi="Times New Roman"/>
          <w:sz w:val="24"/>
        </w:rPr>
        <w:br/>
        <w:t>Generalni direktor za zdravje,</w:t>
      </w:r>
      <w:r>
        <w:rPr>
          <w:rFonts w:ascii="Times New Roman" w:hAnsi="Times New Roman"/>
          <w:sz w:val="24"/>
        </w:rPr>
        <w:br/>
        <w:t>J. Salomon</w:t>
      </w:r>
    </w:p>
    <w:p w14:paraId="26A05D50" w14:textId="77777777" w:rsidR="00C74177" w:rsidRDefault="00C74177"/>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1C3E9B"/>
    <w:rsid w:val="0042304A"/>
    <w:rsid w:val="00462526"/>
    <w:rsid w:val="007A2F67"/>
    <w:rsid w:val="00906B70"/>
    <w:rsid w:val="00C7417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2006</Words>
  <Characters>11437</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3</cp:revision>
  <dcterms:created xsi:type="dcterms:W3CDTF">2022-03-04T13:11:00Z</dcterms:created>
  <dcterms:modified xsi:type="dcterms:W3CDTF">2022-03-06T16:16:00Z</dcterms:modified>
</cp:coreProperties>
</file>