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>Propisi švedske Agencije za javno zdravstvo</w:t>
      </w:r>
      <w:r>
        <w:br/>
        <w:t xml:space="preserve">o nikotinskim proizvodima bez duhana;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doneseno dana </w:t>
      </w:r>
      <w:r>
        <w:rPr>
          <w:highlight w:val="yellow"/>
        </w:rPr>
        <w:t>DD MM</w:t>
      </w:r>
      <w:r>
        <w:t> 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Na temelju članka 4. Pravilnika (2022:1263) o nikotinskim proizvodima bez duhana Agencija za javno zdravstvo utvrđuje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sljedeće.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Uvodne odredbe</w:t>
      </w:r>
    </w:p>
    <w:p w14:paraId="78C85C8F" w14:textId="77777777" w:rsidR="009902B0" w:rsidRDefault="009902B0" w:rsidP="000509F1">
      <w:pPr>
        <w:pStyle w:val="HSLF-FS-Rubrik-3"/>
      </w:pPr>
      <w:r>
        <w:t>Područje primjene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Članak 1.</w:t>
      </w:r>
      <w:r>
        <w:t xml:space="preserve">  Ovim se Propisima dopunjuju odredbe Zakona (2022:1257) o nikotinskim proizvodima bez duhana i Pravilnika (2022:1263) o nikotinskim proizvodima bez duhana.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Članak 2.</w:t>
      </w:r>
      <w:r>
        <w:t xml:space="preserve">  Ove Propise moraju primjenjivati proizvođači, uvoznici i distributeri nikotinskih proizvoda bez duhana koji će biti stavljeni na raspolaganje potrošačima na tržištu.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Propisi sadržavaju odredbe o prijavljivanju proizvoda, označivanju, obvezama izvješćivanja i obvezama obavješćivanja.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B60553">
      <w:pPr>
        <w:pStyle w:val="HSLF-FS-Rubrik-3"/>
        <w:pageBreakBefore/>
      </w:pPr>
      <w:r>
        <w:lastRenderedPageBreak/>
        <w:t>Definicije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Članak 3.</w:t>
      </w:r>
      <w:r>
        <w:t xml:space="preserve">  Izrazi i pojmovi upotrijebljeni u Zakonu (2022:1257) o nikotinskim proizvodima bez duhana i Pravilniku (2022:1263) o nikotinskim proizvodima bez duhana imaju isto značenje u ovim Propisima.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Članak 4.</w:t>
      </w:r>
      <w:r>
        <w:t xml:space="preserve">  U ovim se Propisima također upotrebljavaju sljedeći izrazi: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distributer:</w:t>
      </w:r>
      <w:r>
        <w:t xml:space="preserve"> svaka fizička ili pravna osoba u opskrbnom lancu osim proizvođača i uvoznika koja nikotinske proizvode bez duhana stavlja na raspolaganje na tržištu;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marketinško područje:</w:t>
      </w:r>
      <w:r>
        <w:t xml:space="preserve"> područje namijenjeno komercijalnom oglašavanju u medijima kako je navedeno u članku 10. stavku 1. točkama 1. i 2. Zakona (2022:1257) o nikotinskim proizvodima bez duhana;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jedinično pakiranje: </w:t>
      </w:r>
      <w:r>
        <w:t>najmanje pojedinačno pakiranje nikotinskih proizvoda bez duhana koje se stavlja na tržište;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vanjska ambalaža</w:t>
      </w:r>
      <w:r>
        <w:t xml:space="preserve">: svako pakiranje u kojem se nikotinski proizvodi bez duhana stavljaju na tržište, a sadrži jedinično pakiranje ili više jediničnih pakiranja; prozirni omoti ne smatraju se vanjskom ambalažom.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Prijavljivanje proizvoda</w:t>
      </w:r>
    </w:p>
    <w:p w14:paraId="2EBE1B3B" w14:textId="77777777" w:rsidR="00B274C8" w:rsidRDefault="00B274C8" w:rsidP="00B274C8">
      <w:r>
        <w:rPr>
          <w:b/>
        </w:rPr>
        <w:t>Članak 5.</w:t>
      </w:r>
      <w:r>
        <w:t xml:space="preserve">  Prijava proizvoda u skladu s člankom 5. Zakona (2022:1257) o nikotinskim proizvodima bez duhana podnosi se u formatu koji se upotrebljava u tehničkom rješenju za prijavu proizvoda koje stavlja na raspolaganje Agencija za javno zdravstvo.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Označivanje</w:t>
      </w:r>
    </w:p>
    <w:p w14:paraId="37B24B72" w14:textId="77777777" w:rsidR="00B274C8" w:rsidRDefault="00B274C8" w:rsidP="00B274C8">
      <w:pPr>
        <w:pStyle w:val="HSLF-FS-Rubrik-3"/>
      </w:pPr>
      <w:r>
        <w:t>Deklaracija sadržaja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Članak 6.</w:t>
      </w:r>
      <w:r>
        <w:t xml:space="preserve">  </w:t>
      </w:r>
      <w:r>
        <w:rPr>
          <w:sz w:val="21"/>
        </w:rPr>
        <w:t>Deklaracija sadržaja u skladu s člankom 11. Pravilnika (2022:1263) o nikotinskim proizvodima bez duhana navodi se na jednoj od najvećih površina jediničnog pakiranja i vanjske ambalaže te pokriva 20 % te površine. U svim ostalim pogledima deklaracija mora biti u skladu sa zahtjevima utvrđenima u članku 9. točkama od (c) do (e) i točki (g).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Članak 7.</w:t>
      </w:r>
      <w:r>
        <w:rPr>
          <w:sz w:val="21"/>
        </w:rPr>
        <w:t xml:space="preserve">  Deklaracija sadržaja mora biti na švedskom jeziku.</w:t>
      </w:r>
    </w:p>
    <w:p w14:paraId="5A867DE5" w14:textId="77777777" w:rsidR="00B274C8" w:rsidRPr="00B274C8" w:rsidRDefault="00B274C8" w:rsidP="00B274C8">
      <w:r>
        <w:rPr>
          <w:b/>
          <w:sz w:val="21"/>
        </w:rPr>
        <w:lastRenderedPageBreak/>
        <w:t>Članak 8.</w:t>
      </w:r>
      <w:r>
        <w:rPr>
          <w:sz w:val="21"/>
        </w:rPr>
        <w:t xml:space="preserve">  Deklaracija sadržaja u skladu s člankom 6. može se pričvrstiti pomoću naljepnica, pod uvjetom da se takve naljepnice ne mogu ukloniti.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Zdravstveno upozorenje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Članak 9.</w:t>
      </w:r>
      <w:r>
        <w:rPr>
          <w:sz w:val="21"/>
        </w:rPr>
        <w:t xml:space="preserve">  Zdravstveno upozorenje iz članka 12. Pravilnika (2022:1263) o nikotinskim proizvodima bez duhana mora ispunjavati sljedeće zahtjeve: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(a) mora biti otisnuto na dvjema najvećim površinama jediničnog pakiranja i vanjske ambalaže;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(b) mora pokrivati 30 % površina jediničnog pakiranja i vanjskog pakiranja;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(c) mora biti ispisano podebljanim fontom Helvetica;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(d) mora biti ispisano crnom bojom na bijeloj pozadini;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(e) mora biti ispisano fontom čija je veličina takva da tekst pokriva najveći mogući postotak područja predviđenog za označavanje;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(f) mora biti smješteno u središtu predviđenog područja te na pravokutnom pakiranju i vanjskoj ambalaži paralelno s bočnim rubom jediničnog pakiranja ili vanjske ambalaže; i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(g) mora biti paralelno s glavnim tekstom u području predviđenom za ta upozorenja.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Članak 10.</w:t>
      </w:r>
      <w:r>
        <w:rPr>
          <w:sz w:val="21"/>
        </w:rPr>
        <w:t xml:space="preserve">  Zdravstvena upozorenja u skladu s člankom 9. mogu se pričvrstiti pomoću naljepnica, pod uvjetom da se takve naljepnice ne mogu ukloniti.</w:t>
      </w:r>
    </w:p>
    <w:p w14:paraId="61CF3BF9" w14:textId="11E7944F" w:rsidR="00DA031C" w:rsidRDefault="00DA031C" w:rsidP="00144DE9">
      <w:pPr>
        <w:pStyle w:val="HSLF-FS-Rubrik-2"/>
      </w:pPr>
      <w:r>
        <w:t>Zdravstvena upozorenja u oglašavanju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 xml:space="preserve">Članak 11.  </w:t>
      </w:r>
      <w:r>
        <w:rPr>
          <w:color w:val="000000"/>
          <w:sz w:val="21"/>
        </w:rPr>
        <w:t xml:space="preserve">Tijekom oglašavanja u skladu s člankom 10. stavkom 1. točkama 1. i 2. Zakona (2022:1257) o nikotinskim proizvodima bez duhana, zdravstveno upozorenje u skladu s člankom 12. </w:t>
      </w:r>
      <w:r>
        <w:rPr>
          <w:sz w:val="21"/>
        </w:rPr>
        <w:t xml:space="preserve">Pravilnika (2022:1263) o nikotinskim proizvodima bez duhana mora biti jasno vidljivo svaki put kada je prikazan proizvod ili njegov zaštitni znak. Zdravstveno upozorenje mora pokrivati 30 % oglašivačke površine, a u svim ostalim pogledima mora ispunjavati zahtjeve članka 9. točaka od (c) do (e) i točke (g) ovih Propisa.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 xml:space="preserve">Tijekom oglašavanja u skladu s člankom 10. stavkom 1. točkom 3. Zakona (2022:1257) o nikotinskim proizvodima bez duhana, zdravstveno upozorenje u skladu s člankom 12. </w:t>
      </w:r>
      <w:r>
        <w:rPr>
          <w:sz w:val="21"/>
        </w:rPr>
        <w:t xml:space="preserve">Pravilnika (2022:1263) o nikotinskim proizvodima bez duhana mora biti jasno vidljivo svaki put kada je prikazan proizvod ili njegov zaštitni znak. </w:t>
      </w:r>
      <w:r>
        <w:rPr>
          <w:sz w:val="21"/>
        </w:rPr>
        <w:lastRenderedPageBreak/>
        <w:t xml:space="preserve">Zdravstveno upozorenje u svim ostalim pogledima mora biti u skladu s odredbama članka 9. točaka od (c) do (e) ovih Propisa.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Obveza izvješćivanja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Članak 12.</w:t>
      </w:r>
      <w:r>
        <w:rPr>
          <w:sz w:val="21"/>
        </w:rPr>
        <w:t xml:space="preserve">  Izvješćivanje u skladu s člankom 14. Zakona (2022:1257) o nikotinskim proizvodima bez duhana vrši se primjenom istog tehničkog rješenja kao što je ono koje se upotrebljava za prijavu proizvoda u skladu s člankom 5. ovih Propisa.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Obveza obavješćivanja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Članak 13.</w:t>
      </w:r>
      <w:r>
        <w:rPr>
          <w:b w:val="0"/>
        </w:rPr>
        <w:t xml:space="preserve">  </w:t>
      </w:r>
      <w:r>
        <w:rPr>
          <w:b w:val="0"/>
          <w:i w:val="0"/>
          <w:sz w:val="21"/>
        </w:rPr>
        <w:t xml:space="preserve">Obavijest proizvođača, uvoznika i distributera u skladu s člankom 16. stavkom 2. Zakona (2022:1257) o nikotinskim proizvodima bez duhana dostavlja se primjenom istog tehničkog rješenja kao što je ono koje se upotrebljava za prijavu proizvoda u skladu s člankom 5. ovih Propisa.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Članci 5., 11. i 12. ovih Propisa stupaju na snagu 1. siječnja 2024.; svi ostali članci stupaju na snagu 1. srpnja 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Švedska agencija za javno zdravstvo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Obavijest je priopćena u skladu s Direktivom (EU) 2015/1535 Europskog parlamenta i Vijeća od 9. rujna 2015. o utvrđivanju postupka pružanja informacija u području tehničkih propisa i pravila o uslugama informacijskog društva.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B60553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NACR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B60553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NACR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B60553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NACRT"/>
          <w10:wrap anchorx="margin" anchory="margin"/>
        </v:shape>
      </w:pict>
    </w:r>
    <w:r w:rsidR="00BB6229">
      <w:t xml:space="preserve">Zajednički </w:t>
    </w:r>
    <w:r w:rsidR="00BB6229">
      <w:t>zbornik propisa o zdravstvenoj skrbi, medicinskoj skrbi, socijalnim službama, medicinskim proizvodima, javnom zdravstvu itd.</w:t>
    </w:r>
  </w:p>
  <w:p w14:paraId="1C104ACA" w14:textId="77777777" w:rsidR="00DB331A" w:rsidRDefault="004D7ACB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4D261791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Objavljeno na dan xx. srpnja 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 xml:space="preserve">Objavljeno na dan xx. srpnja 20xx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7468C2AA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76547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D3fAwM2gAAAAYBAAAPAAAAZHJzL2Rvd25y&#10;ZXYueG1sTI69TsMwFIV3JN7Bukhs1KGq0hDiVAjBglgSOsDmxrdxRHydxk4T3p6LGGA8PzrnK3aL&#10;68UZx9B5UnC7SkAgNd501CrYvz3fZCBC1GR07wkVfGGAXXl5Uejc+JkqPNexFTxCIdcKbIxDLmVo&#10;LDodVn5A4uzoR6cjy7GVZtQzj7terpMklU53xA9WD/hosfmsJ6fg5fQa9pu0eqreT1k9fxwn23pU&#10;6vpqebgHEXGJf2X4wWd0KJnp4CcyQfQKUu4p2GZ3IDjdbrI1iMOvIctC/scvvwE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D3fAwM2gAAAAYBAAAPAAAAAAAAAAAAAAAAABQEAABkcnMv&#10;ZG93bnJldi54bWxQSwUGAAAAAAQABADzAAAAGwUAAAAA&#10;" strokecolor="black [3213]"/>
          </w:pict>
        </mc:Fallback>
      </mc:AlternateContent>
    </w:r>
    <w:r>
      <w:t>ISSN xxx-xxxx, broj članka xxxxxxxx</w:t>
    </w:r>
    <w:r>
      <w:br/>
      <w:t>Izdavač: voditelj pravne službe, Pär Ödman, Nacionalni odbor za zdravstvo i socijalnu skrb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0553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15</TotalTime>
  <Pages>4</Pages>
  <Words>769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