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574D" w14:textId="77777777" w:rsidR="000D7BDA" w:rsidRDefault="000D7BDA" w:rsidP="000D7BDA">
      <w:r>
        <w:t>Odlok št. 2022-1541 z dne 7. decembra 2022 o izvajanju člena 20-7 Zakona št. 86-1067 z dne 30. septembra 1986 o svobodi komunikacije, ki določa sprožilne pragove in rok za izvajanje obveznosti za spodbujanje storitev splošnega interesa</w:t>
      </w:r>
    </w:p>
    <w:p w14:paraId="67AC15D0" w14:textId="77777777" w:rsidR="000D7BDA" w:rsidRDefault="000D7BDA" w:rsidP="000D7BDA">
      <w:r>
        <w:t>NOR: MICE2200636D</w:t>
      </w:r>
    </w:p>
    <w:p w14:paraId="4FCDBBAE" w14:textId="77777777" w:rsidR="000D7BDA" w:rsidRDefault="000D7BDA" w:rsidP="000D7BDA">
      <w:r>
        <w:t>ELI: https://www.legifrance.gouv.fr/eli/decret/2022/12/7/MICE2200636D/jo/texte</w:t>
      </w:r>
    </w:p>
    <w:p w14:paraId="22A5EA5D" w14:textId="77777777" w:rsidR="000D7BDA" w:rsidRDefault="000D7BDA" w:rsidP="000D7BDA">
      <w:r>
        <w:t>Alias: https://www.legifrance.gouv.fr/eli/decret/2022/12/7/2022-1541/jo/texte</w:t>
      </w:r>
    </w:p>
    <w:p w14:paraId="521CB7B1" w14:textId="77777777" w:rsidR="000D7BDA" w:rsidRDefault="000D7BDA" w:rsidP="000D7BDA">
      <w:r>
        <w:t>JORF št. 0285 z dne 9. decembra 2022</w:t>
      </w:r>
    </w:p>
    <w:p w14:paraId="32BFED33" w14:textId="77777777" w:rsidR="000D7BDA" w:rsidRDefault="000D7BDA" w:rsidP="000D7BDA">
      <w:r>
        <w:t>Besedilo št. 37</w:t>
      </w:r>
    </w:p>
    <w:p w14:paraId="07FB8696" w14:textId="77777777" w:rsidR="000D7BDA" w:rsidRDefault="000D7BDA" w:rsidP="000D7BDA"/>
    <w:p w14:paraId="5766DFCA" w14:textId="77777777" w:rsidR="000D7BDA" w:rsidRDefault="000D7BDA" w:rsidP="000D7BDA">
      <w:r>
        <w:t>Zadevna javnost: Regulativni organ za avdiovizualne in digitalne komunikacije, operaterji iz člena 20-7(II) Zakona št. 86-1067 z dne 30. septembra 1986 o svobodi komunikacije.</w:t>
      </w:r>
    </w:p>
    <w:p w14:paraId="20A4242C" w14:textId="77777777" w:rsidR="000D7BDA" w:rsidRDefault="000D7BDA" w:rsidP="000D7BDA">
      <w:r>
        <w:t>Predmet: določitev sprožilnega praga in roka za izvajanje obveznosti za spodbujanje storitev splošnega interesa.</w:t>
      </w:r>
    </w:p>
    <w:p w14:paraId="540C7304" w14:textId="77777777" w:rsidR="000D7BDA" w:rsidRDefault="000D7BDA" w:rsidP="000D7BDA">
      <w:r>
        <w:t>Začetek veljavnosti: besedilo začne veljati na dan po njegovi oddaji.</w:t>
      </w:r>
    </w:p>
    <w:p w14:paraId="7CA541C8" w14:textId="77777777" w:rsidR="000D7BDA" w:rsidRDefault="000D7BDA" w:rsidP="000D7BDA">
      <w:r>
        <w:t>Obvestilo: Odlok določa sprožilni prag in rok za izvajanje obveznosti za spodbujanje storitev splošnega interesa, ki veljajo za operaterje iz člena 20-7(II) Zakona št. 86-1067 z dne 30. septembra 1986 o svobodi komunikacije.</w:t>
      </w:r>
    </w:p>
    <w:p w14:paraId="6AD993FC" w14:textId="77777777" w:rsidR="000D7BDA" w:rsidRDefault="000D7BDA" w:rsidP="000D7BDA">
      <w:r>
        <w:t>Sklicevanja: Odlok je na voljo na spletnem mestu Légifrance (https://www.legifrance.gouv.fr).</w:t>
      </w:r>
    </w:p>
    <w:p w14:paraId="380F0DFA" w14:textId="77777777" w:rsidR="000D7BDA" w:rsidRDefault="000D7BDA" w:rsidP="000D7BDA"/>
    <w:p w14:paraId="34980B29" w14:textId="77777777" w:rsidR="000D7BDA" w:rsidRDefault="000D7BDA" w:rsidP="000D7BDA"/>
    <w:p w14:paraId="47F0E77B" w14:textId="77777777" w:rsidR="000D7BDA" w:rsidRDefault="000D7BDA" w:rsidP="000D7BDA">
      <w:r>
        <w:t>Predsednik vlade,</w:t>
      </w:r>
    </w:p>
    <w:p w14:paraId="7FED2D60" w14:textId="77777777" w:rsidR="000D7BDA" w:rsidRDefault="000D7BDA" w:rsidP="000D7BDA">
      <w:r>
        <w:t>Na podlagi poročila ministra za kulturo,</w:t>
      </w:r>
    </w:p>
    <w:p w14:paraId="48F2B7F5" w14:textId="77777777" w:rsidR="000D7BDA" w:rsidRDefault="000D7BDA" w:rsidP="000D7BDA">
      <w:r>
        <w:t>ob upoštevanju Direktive (EU) 2015/1535 Evropskega parlamenta in Sveta z dne 9. septembra 2015 o določitvi postopka za zbiranje informacij na področju tehničnih predpisov in pravil za storitve informacijske družbe ter zlasti uradnega obvestila št. 2022/194/F z dne 6. aprila 2022;</w:t>
      </w:r>
    </w:p>
    <w:p w14:paraId="2288040D" w14:textId="77777777" w:rsidR="000D7BDA" w:rsidRDefault="000D7BDA" w:rsidP="000D7BDA">
      <w:r>
        <w:t>ob upoštevanju Direktive 2010/13/EU Evropskega parlamenta in Sveta z dne 10. marca 2010 o usklajevanju nekaterih zakonov in drugih predpisov držav članic o opravljanju avdiovizualnih medijskih storitev (Direktiva o avdiovizualnih medijskih storitvah), kakor je bila spremenjena z Direktivo (EU) 2018/1808 Evropskega parlamenta in Sveta z dne 14. novembra 2018;</w:t>
      </w:r>
    </w:p>
    <w:p w14:paraId="57103C97" w14:textId="77777777" w:rsidR="000D7BDA" w:rsidRDefault="000D7BDA" w:rsidP="000D7BDA">
      <w:r>
        <w:t>ob upoštevanju spremenjenega Zakona št. 86-1067 z dne 30. septembra 1986 o svobodi komunikacije, zlasti člena 20-7;</w:t>
      </w:r>
    </w:p>
    <w:p w14:paraId="24F14CD7" w14:textId="77777777" w:rsidR="000D7BDA" w:rsidRDefault="000D7BDA" w:rsidP="000D7BDA">
      <w:r>
        <w:t>ob upoštevanju Mnenja št. 2022-0497 regulativnega organa za elektronske komunikacije, pošto in distribucijo tiska z dne 17. marca 2022;</w:t>
      </w:r>
    </w:p>
    <w:p w14:paraId="581DA1BB" w14:textId="77777777" w:rsidR="000D7BDA" w:rsidRDefault="000D7BDA" w:rsidP="000D7BDA">
      <w:r>
        <w:t>ob upoštevanju Mnenja št. 2022-12 regulativnega organa za avdiovizualne in digitalne komunikacije z dne 20. julija 2022,</w:t>
      </w:r>
    </w:p>
    <w:p w14:paraId="03D263AC" w14:textId="77777777" w:rsidR="000D7BDA" w:rsidRDefault="000D7BDA" w:rsidP="000D7BDA">
      <w:r>
        <w:t>odreja naslednje:</w:t>
      </w:r>
    </w:p>
    <w:p w14:paraId="39465DB4" w14:textId="77777777" w:rsidR="000D7BDA" w:rsidRDefault="000D7BDA" w:rsidP="000D7BDA"/>
    <w:p w14:paraId="5B85A046" w14:textId="77777777" w:rsidR="000D7BDA" w:rsidRDefault="000D7BDA" w:rsidP="000D7BDA">
      <w:r>
        <w:t>Člen 1</w:t>
      </w:r>
    </w:p>
    <w:p w14:paraId="30628E20" w14:textId="77777777" w:rsidR="000D7BDA" w:rsidRDefault="000D7BDA" w:rsidP="000D7BDA"/>
    <w:p w14:paraId="4FF31C4B" w14:textId="77777777" w:rsidR="000D7BDA" w:rsidRDefault="000D7BDA" w:rsidP="000D7BDA">
      <w:r>
        <w:t>Prag iz člena 20-7(II) navedenega zakona z dne 30. septembra 1986 se določi v skladu s pravili iz členov 2 in 3 tega odloka.</w:t>
      </w:r>
    </w:p>
    <w:p w14:paraId="3C914BB4" w14:textId="77777777" w:rsidR="000D7BDA" w:rsidRDefault="000D7BDA" w:rsidP="000D7BDA"/>
    <w:p w14:paraId="2D1205CB" w14:textId="77777777" w:rsidR="000D7BDA" w:rsidRDefault="000D7BDA" w:rsidP="000D7BDA">
      <w:r>
        <w:t>Člen 2</w:t>
      </w:r>
    </w:p>
    <w:p w14:paraId="27750893" w14:textId="77777777" w:rsidR="000D7BDA" w:rsidRDefault="000D7BDA" w:rsidP="000D7BDA"/>
    <w:p w14:paraId="4FD6C259" w14:textId="77777777" w:rsidR="000D7BDA" w:rsidRDefault="000D7BDA" w:rsidP="000D7BDA">
      <w:r>
        <w:t>I. – Za uporabniške vmesnike iz odstavka 1 in 2 oddelka I navedenega člena 20-7 je prag 150 000 uporabniških vmesnikov, ki se tržijo in dajejo na voljo v okviru pogodbe o naročninah ali izposojenih v zadnjem koledarskem letu v Franciji.</w:t>
      </w:r>
    </w:p>
    <w:p w14:paraId="7CEAAD17" w14:textId="77777777" w:rsidR="000D7BDA" w:rsidRDefault="000D7BDA" w:rsidP="000D7BDA">
      <w:r>
        <w:t>II. – Za uporabo praga iz odstavka I se uporabniški vmesniki, ki izpolnjujejo naslednje tri pogoje, štejejo za isti uporabniški vmesnik:</w:t>
      </w:r>
    </w:p>
    <w:p w14:paraId="51FF469D" w14:textId="77777777" w:rsidR="000D7BDA" w:rsidRDefault="000D7BDA" w:rsidP="000D7BDA"/>
    <w:p w14:paraId="4944C73B" w14:textId="77777777" w:rsidR="000D7BDA" w:rsidRDefault="000D7BDA" w:rsidP="000D7BDA"/>
    <w:p w14:paraId="6E9C063C" w14:textId="77777777" w:rsidR="000D7BDA" w:rsidRDefault="000D7BDA" w:rsidP="000D7BDA">
      <w:r>
        <w:t>– nameščeni so na opremo iste kategorije, in sicer izmed kategorij, ki so določene v odstavku 1 in 2 oddelka I omenjenega člena 20-7;</w:t>
      </w:r>
    </w:p>
    <w:p w14:paraId="72A829E6" w14:textId="77777777" w:rsidR="000D7BDA" w:rsidRDefault="000D7BDA" w:rsidP="000D7BDA">
      <w:r>
        <w:t>– nameščeni so na opremo iste blagovne znamke;</w:t>
      </w:r>
    </w:p>
    <w:p w14:paraId="385C515E" w14:textId="77777777" w:rsidR="000D7BDA" w:rsidRDefault="000D7BDA" w:rsidP="000D7BDA">
      <w:r>
        <w:t>– nameščeni so na opremo, ki uporablja isti operacijski sistem, v kateri koli različici.</w:t>
      </w:r>
    </w:p>
    <w:p w14:paraId="48AA63E1" w14:textId="77777777" w:rsidR="000D7BDA" w:rsidRDefault="000D7BDA" w:rsidP="000D7BDA"/>
    <w:p w14:paraId="4BC69BAF" w14:textId="77777777" w:rsidR="000D7BDA" w:rsidRDefault="000D7BDA" w:rsidP="000D7BDA">
      <w:r>
        <w:t>Člen 3</w:t>
      </w:r>
    </w:p>
    <w:p w14:paraId="1D4F6676" w14:textId="77777777" w:rsidR="000D7BDA" w:rsidRDefault="000D7BDA" w:rsidP="000D7BDA"/>
    <w:p w14:paraId="0A1A8733" w14:textId="77777777" w:rsidR="000D7BDA" w:rsidRDefault="000D7BDA" w:rsidP="000D7BDA">
      <w:r>
        <w:t>Za uporabniške vmesnike iz odstavka 3 in 4 oddelka I zgoraj omenjenega člena 20-7 se prag določi na 3 milijone enkratnih obiskovalcev na mesec za vsak uporabniški vmesnik v Franciji. Ta prag se izračuna na podlagi zadnjega koledarskega leta.</w:t>
      </w:r>
    </w:p>
    <w:p w14:paraId="36C16A32" w14:textId="77777777" w:rsidR="000D7BDA" w:rsidRDefault="000D7BDA" w:rsidP="000D7BDA"/>
    <w:p w14:paraId="3513E29F" w14:textId="77777777" w:rsidR="000D7BDA" w:rsidRDefault="000D7BDA" w:rsidP="000D7BDA">
      <w:r>
        <w:t>Člen 4</w:t>
      </w:r>
    </w:p>
    <w:p w14:paraId="56E9BB29" w14:textId="77777777" w:rsidR="000D7BDA" w:rsidRDefault="000D7BDA" w:rsidP="000D7BDA"/>
    <w:p w14:paraId="5FBE0615" w14:textId="77777777" w:rsidR="000D7BDA" w:rsidRDefault="000D7BDA" w:rsidP="000D7BDA">
      <w:r>
        <w:t>Regulativni organ za avdiovizualne in digitalne komunikacije najpozneje do 15. marca vsako leto objavi seznam uporabniških vmesnikov, ki presegajo pragova iz členov 2 in 3.</w:t>
      </w:r>
    </w:p>
    <w:p w14:paraId="17FC4CF1" w14:textId="77777777" w:rsidR="000D7BDA" w:rsidRDefault="000D7BDA" w:rsidP="000D7BDA">
      <w:r>
        <w:t>Gospodarski subjekti iz oddelka II zgoraj navedenega člena 20-7 imajo na voljo devet mesecev od objave seznama iz prvega odstavka, da izpolnijo obveznost iz oddelka II tega člena.</w:t>
      </w:r>
    </w:p>
    <w:p w14:paraId="45206FF3" w14:textId="77777777" w:rsidR="000D7BDA" w:rsidRDefault="000D7BDA" w:rsidP="000D7BDA"/>
    <w:p w14:paraId="0240D246" w14:textId="77777777" w:rsidR="008C3B6C" w:rsidRDefault="008C3B6C" w:rsidP="000D7BDA"/>
    <w:p w14:paraId="0873922D" w14:textId="1E035E2E" w:rsidR="000D7BDA" w:rsidRDefault="000D7BDA" w:rsidP="000D7BDA">
      <w:r>
        <w:lastRenderedPageBreak/>
        <w:t>Člen 5</w:t>
      </w:r>
    </w:p>
    <w:p w14:paraId="54BB741B" w14:textId="77777777" w:rsidR="000D7BDA" w:rsidRDefault="000D7BDA" w:rsidP="000D7BDA"/>
    <w:p w14:paraId="36620CA5" w14:textId="77777777" w:rsidR="000D7BDA" w:rsidRDefault="000D7BDA" w:rsidP="000D7BDA">
      <w:r>
        <w:t>Določbe te uredbe se uporabljajo v Novi Kaledoniji, Francoski Polineziji, na Wallisu in Futuni ter Francoskih južnih in antarktičnih ozemljih.</w:t>
      </w:r>
    </w:p>
    <w:p w14:paraId="6A8BF1CD" w14:textId="77777777" w:rsidR="000D7BDA" w:rsidRDefault="000D7BDA" w:rsidP="000D7BDA"/>
    <w:p w14:paraId="15C839D7" w14:textId="77777777" w:rsidR="000D7BDA" w:rsidRDefault="000D7BDA" w:rsidP="000D7BDA">
      <w:r>
        <w:t>Člen 6</w:t>
      </w:r>
    </w:p>
    <w:p w14:paraId="3D5FA3F4" w14:textId="77777777" w:rsidR="000D7BDA" w:rsidRDefault="000D7BDA" w:rsidP="000D7BDA"/>
    <w:p w14:paraId="19219FFC" w14:textId="77777777" w:rsidR="000D7BDA" w:rsidRDefault="000D7BDA" w:rsidP="000D7BDA">
      <w:r>
        <w:t>Minister za notranje zadeve in čezmorska ozemlja, minister za kulturo in ministrski pooblaščenec pri ministru za notranje zadeve in čezmorska ozemlja, pristojen za čezmorska ozemlja, so vsak v svojem področju odgovorni za izvajanje tega odloka, ki bo objavljen v Uradnem listu Francoske republike.</w:t>
      </w:r>
    </w:p>
    <w:p w14:paraId="3A033FF1" w14:textId="77777777" w:rsidR="000D7BDA" w:rsidRDefault="000D7BDA" w:rsidP="000D7BDA"/>
    <w:p w14:paraId="29B8DFA3" w14:textId="77777777" w:rsidR="000D7BDA" w:rsidRDefault="000D7BDA" w:rsidP="000D7BDA"/>
    <w:p w14:paraId="346836F3" w14:textId="77777777" w:rsidR="000D7BDA" w:rsidRDefault="000D7BDA" w:rsidP="000D7BDA">
      <w:r>
        <w:t>Sprejeto dne 7. decembra 2022.</w:t>
      </w:r>
    </w:p>
    <w:p w14:paraId="1D10CDBD" w14:textId="77777777" w:rsidR="000D7BDA" w:rsidRDefault="000D7BDA" w:rsidP="000D7BDA"/>
    <w:p w14:paraId="28B18DC0" w14:textId="77777777" w:rsidR="000D7BDA" w:rsidRDefault="000D7BDA" w:rsidP="000D7BDA"/>
    <w:p w14:paraId="3E97BA2B" w14:textId="77777777" w:rsidR="000D7BDA" w:rsidRDefault="000D7BDA" w:rsidP="000D7BDA">
      <w:r>
        <w:t>Élisabeth Borne</w:t>
      </w:r>
    </w:p>
    <w:p w14:paraId="5DCDDF08" w14:textId="77777777" w:rsidR="000D7BDA" w:rsidRDefault="000D7BDA" w:rsidP="000D7BDA">
      <w:r>
        <w:t>Za predsednika vlade:</w:t>
      </w:r>
    </w:p>
    <w:p w14:paraId="3DF226D3" w14:textId="77777777" w:rsidR="000D7BDA" w:rsidRDefault="000D7BDA" w:rsidP="000D7BDA"/>
    <w:p w14:paraId="0DC83C3B" w14:textId="77777777" w:rsidR="000D7BDA" w:rsidRDefault="000D7BDA" w:rsidP="000D7BDA"/>
    <w:p w14:paraId="55BB5329" w14:textId="77777777" w:rsidR="000D7BDA" w:rsidRDefault="000D7BDA" w:rsidP="000D7BDA">
      <w:r>
        <w:t>Ministrica za kulturo,</w:t>
      </w:r>
    </w:p>
    <w:p w14:paraId="0E7240C9" w14:textId="77777777" w:rsidR="000D7BDA" w:rsidRDefault="000D7BDA" w:rsidP="000D7BDA">
      <w:r>
        <w:t>Rima Abdul-Malak</w:t>
      </w:r>
    </w:p>
    <w:p w14:paraId="502C2048" w14:textId="77777777" w:rsidR="000D7BDA" w:rsidRDefault="000D7BDA" w:rsidP="000D7BDA"/>
    <w:p w14:paraId="47DF4C03" w14:textId="77777777" w:rsidR="000D7BDA" w:rsidRDefault="000D7BDA" w:rsidP="000D7BDA"/>
    <w:p w14:paraId="5C73F178" w14:textId="77777777" w:rsidR="000D7BDA" w:rsidRDefault="000D7BDA" w:rsidP="000D7BDA">
      <w:r>
        <w:t>Minister za notranje zadeve in čezmorska ozemlja,</w:t>
      </w:r>
    </w:p>
    <w:p w14:paraId="67037563" w14:textId="77777777" w:rsidR="000D7BDA" w:rsidRDefault="000D7BDA" w:rsidP="000D7BDA">
      <w:r>
        <w:t>Gérald Darmanin</w:t>
      </w:r>
    </w:p>
    <w:p w14:paraId="0ABB4D48" w14:textId="77777777" w:rsidR="000D7BDA" w:rsidRDefault="000D7BDA" w:rsidP="000D7BDA"/>
    <w:p w14:paraId="4E906F5D" w14:textId="77777777" w:rsidR="000D7BDA" w:rsidRDefault="000D7BDA" w:rsidP="000D7BDA"/>
    <w:p w14:paraId="160D2312" w14:textId="77777777" w:rsidR="000D7BDA" w:rsidRDefault="000D7BDA" w:rsidP="000D7BDA">
      <w:r>
        <w:t>Pooblaščenec ministra za notranje zadeve in čezmorska ozemlja, pristojen za čezmorska ozemlja,</w:t>
      </w:r>
    </w:p>
    <w:p w14:paraId="11072CAE" w14:textId="77777777" w:rsidR="00C55609" w:rsidRDefault="000D7BDA" w:rsidP="000D7BDA">
      <w:r>
        <w:t>Jean-François Carenco</w:t>
      </w:r>
    </w:p>
    <w:sectPr w:rsidR="00C5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DA"/>
    <w:rsid w:val="000D7BDA"/>
    <w:rsid w:val="008C3B6C"/>
    <w:rsid w:val="00C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670F"/>
  <w15:chartTrackingRefBased/>
  <w15:docId w15:val="{68483E26-7F3B-4476-AC1B-0C0989BD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3766</Characters>
  <Application>Microsoft Office Word</Application>
  <DocSecurity>0</DocSecurity>
  <Lines>99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2023-01-11T08:55:00Z</dcterms:created>
  <dcterms:modified xsi:type="dcterms:W3CDTF">2023-01-11T08:55:00Z</dcterms:modified>
</cp:coreProperties>
</file>