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886F4E" w14:textId="157964E8" w:rsidR="002720FF" w:rsidRPr="00683CE0" w:rsidRDefault="002720FF" w:rsidP="00EA1D8C">
      <w:pPr>
        <w:spacing w:after="240" w:line="360" w:lineRule="auto"/>
        <w:rPr>
          <w:sz w:val="26"/>
          <w:szCs w:val="26"/>
          <w:rFonts w:ascii="Arial" w:hAnsi="Arial" w:cs="Arial"/>
        </w:rPr>
      </w:pPr>
      <w:r>
        <w:rPr>
          <w:sz w:val="26"/>
          <w:rFonts w:ascii="Arial" w:hAnsi="Arial"/>
        </w:rPr>
        <w:t xml:space="preserve">Spolkové ministerstvo spravodlivosti a ochrany spotrebiteľa</w:t>
      </w:r>
    </w:p>
    <w:p w14:paraId="4622CA11" w14:textId="77777777" w:rsidR="002720FF" w:rsidRPr="00683CE0" w:rsidRDefault="002720FF" w:rsidP="00EA1D8C">
      <w:pPr>
        <w:pStyle w:val="DokumentkopfTitel"/>
      </w:pPr>
      <w:r>
        <w:t xml:space="preserve">Návrh na zmenu</w:t>
      </w:r>
    </w:p>
    <w:p w14:paraId="3FAED9FF" w14:textId="77777777" w:rsidR="002720FF" w:rsidRPr="00683CE0" w:rsidRDefault="002720FF" w:rsidP="00EA1D8C">
      <w:pPr>
        <w:pStyle w:val="DokumentkopfBezeichnung"/>
      </w:pPr>
      <w:r>
        <w:t xml:space="preserve">návrhu zákona spolkovej vlády</w:t>
      </w:r>
    </w:p>
    <w:p w14:paraId="31EDF417" w14:textId="77777777" w:rsidR="002720FF" w:rsidRPr="00683CE0" w:rsidRDefault="002720FF" w:rsidP="00EA1D8C">
      <w:pPr>
        <w:pStyle w:val="DokumentkopfBezeichnung"/>
      </w:pPr>
      <w:r>
        <w:t xml:space="preserve">— dokument 19/26915 —</w:t>
      </w:r>
    </w:p>
    <w:p w14:paraId="10B9D1C7" w14:textId="77777777" w:rsidR="002720FF" w:rsidRPr="00683CE0" w:rsidRDefault="0021568B" w:rsidP="00EA1D8C">
      <w:pPr>
        <w:spacing w:before="240" w:after="480" w:line="360" w:lineRule="auto"/>
        <w:rPr>
          <w:b/>
          <w:sz w:val="26"/>
          <w:szCs w:val="26"/>
          <w:rFonts w:ascii="Arial" w:hAnsi="Arial" w:cs="Arial"/>
        </w:rPr>
      </w:pPr>
      <w:r>
        <w:rPr>
          <w:b/>
          <w:sz w:val="26"/>
          <w:rFonts w:ascii="Arial" w:hAnsi="Arial"/>
        </w:rPr>
        <w:t xml:space="preserve">Návrh zákona o spravodlivých spotrebiteľských zmluvách</w:t>
      </w:r>
    </w:p>
    <w:p w14:paraId="43B17458" w14:textId="77777777" w:rsidR="002720FF" w:rsidRDefault="002720FF" w:rsidP="00EA1D8C">
      <w:pPr>
        <w:spacing w:line="360" w:lineRule="auto"/>
        <w:rPr>
          <w:sz w:val="22"/>
          <w:rFonts w:ascii="Arial" w:hAnsi="Arial" w:cs="Arial"/>
        </w:rPr>
      </w:pPr>
      <w:r>
        <w:rPr>
          <w:sz w:val="22"/>
          <w:rFonts w:ascii="Arial" w:hAnsi="Arial"/>
        </w:rPr>
        <w:t xml:space="preserve">Navrhuje sa, aby Bundestag (parlament) rozhodol</w:t>
      </w:r>
    </w:p>
    <w:p w14:paraId="09C91E87" w14:textId="77777777" w:rsidR="002720FF" w:rsidRPr="00AB4C70" w:rsidRDefault="002720FF" w:rsidP="00EA1D8C">
      <w:pPr>
        <w:spacing w:line="360" w:lineRule="auto"/>
        <w:rPr>
          <w:sz w:val="22"/>
          <w:rFonts w:ascii="Arial" w:hAnsi="Arial" w:cs="Arial"/>
        </w:rPr>
      </w:pPr>
      <w:r>
        <w:rPr>
          <w:sz w:val="22"/>
          <w:rFonts w:ascii="Arial" w:hAnsi="Arial"/>
        </w:rPr>
        <w:t xml:space="preserve">o prijatí návrhu zákona v dokumente 19/26915 s týmito podmienkami, ale inak nezmeneného:</w:t>
      </w:r>
    </w:p>
    <w:p w14:paraId="27B616A6" w14:textId="77777777" w:rsidR="00826E52" w:rsidRDefault="00826E52" w:rsidP="00826E52">
      <w:pPr>
        <w:sectPr w:rsidR="00826E52" w:rsidSect="00012A1D">
          <w:headerReference w:type="even" r:id="rId8"/>
          <w:headerReference w:type="default" r:id="rId9"/>
          <w:pgSz w:w="11907" w:h="16839"/>
          <w:pgMar w:top="1134" w:right="3883" w:bottom="1417" w:left="1219" w:header="709" w:footer="709" w:gutter="0"/>
          <w:pgNumType w:start="1"/>
          <w:cols w:space="708"/>
          <w:titlePg/>
          <w:docGrid w:linePitch="360"/>
        </w:sectPr>
      </w:pPr>
    </w:p>
    <w:p w14:paraId="33337284" w14:textId="138C0023" w:rsidR="002F6967" w:rsidRDefault="002F6967" w:rsidP="00416421">
      <w:pPr>
        <w:pStyle w:val="EmpfehlungNummerierungStufe1"/>
      </w:pPr>
      <w:r>
        <w:t xml:space="preserve">K nadpisu sa dopĺňa táto poznámka pod čiarou:</w:t>
      </w:r>
      <w:r>
        <w:t xml:space="preserve"> </w:t>
      </w:r>
    </w:p>
    <w:p w14:paraId="7CEDE7EC" w14:textId="725FED5E" w:rsidR="002F6967" w:rsidRPr="00693751" w:rsidRDefault="002F6967" w:rsidP="009B1298">
      <w:pPr>
        <w:pStyle w:val="RevisionNummerierungStufe1manuell"/>
        <w:tabs>
          <w:tab w:val="clear" w:pos="425"/>
          <w:tab w:val="left" w:pos="940"/>
        </w:tabs>
        <w:ind w:left="940" w:hanging="515"/>
      </w:pPr>
      <w:r>
        <w:rPr>
          <w:vertAlign w:val="superscript"/>
        </w:rPr>
        <w:t xml:space="preserve">*</w:t>
      </w:r>
      <w:r>
        <w:tab/>
      </w:r>
      <w:r>
        <w:t xml:space="preserve">Oznámené v súlade so smernicou Európskeho parlamentu a Rady (EÚ) 2015/1535 z 9. septembra 2015, ktorou sa stanovuje postup pri poskytovaní informácií v oblasti technických predpisov a pravidiel vzťahujúcich sa na služby informačnej spoločnosti (Ú. v. EÚ L 241, 17.9.2015, s. 1).</w:t>
      </w:r>
    </w:p>
    <w:p w14:paraId="321F69E0" w14:textId="6E4A4B30" w:rsidR="00826E52" w:rsidRDefault="00826E52" w:rsidP="00416421">
      <w:pPr>
        <w:pStyle w:val="EmpfehlungNummerierungStufe1"/>
      </w:pPr>
      <w:r>
        <w:t xml:space="preserve">Článok 1 sa mení takto:</w:t>
      </w:r>
    </w:p>
    <w:p w14:paraId="63EFF5B4" w14:textId="6CD7E956" w:rsidR="0021568B" w:rsidRPr="0021568B" w:rsidRDefault="0021568B" w:rsidP="00DA2D64">
      <w:pPr>
        <w:pStyle w:val="EmpfehlungNummerierungStufe2"/>
      </w:pPr>
      <w:r>
        <w:t xml:space="preserve">Za bod 3 sa vkladajú tieto body 4 až 6:</w:t>
      </w:r>
    </w:p>
    <w:p w14:paraId="07B1EF48" w14:textId="67DC30C7" w:rsidR="0021568B" w:rsidRDefault="0021568B" w:rsidP="009D590D">
      <w:pPr>
        <w:pStyle w:val="RevisionNummerierungStufe1manuell"/>
        <w:tabs>
          <w:tab w:val="clear" w:pos="425"/>
          <w:tab w:val="left" w:pos="1345"/>
        </w:tabs>
        <w:ind w:left="1345" w:hanging="495"/>
      </w:pPr>
      <w:r>
        <w:t xml:space="preserve">„4.</w:t>
      </w:r>
      <w:r>
        <w:tab/>
      </w:r>
      <w:r>
        <w:t xml:space="preserve">V § 312 ods. 7 prvej vete sa slová „§ 312l“ nahrádzajú slovami „§ 312m“.</w:t>
      </w:r>
    </w:p>
    <w:p w14:paraId="50355E6B" w14:textId="6FBBEDCE" w:rsidR="00FC63C3" w:rsidRDefault="0021568B" w:rsidP="009D590D">
      <w:pPr>
        <w:pStyle w:val="RevisionNummerierungStufe1manuell"/>
        <w:tabs>
          <w:tab w:val="clear" w:pos="425"/>
          <w:tab w:val="left" w:pos="1345"/>
        </w:tabs>
        <w:ind w:left="1345"/>
      </w:pPr>
      <w:r>
        <w:t xml:space="preserve">5.</w:t>
      </w:r>
      <w:r>
        <w:tab/>
      </w:r>
      <w:r>
        <w:t xml:space="preserve">Za § 312j sa vkladá tento § 312k:</w:t>
      </w:r>
    </w:p>
    <w:p w14:paraId="2A7410BB" w14:textId="77777777" w:rsidR="0075168F" w:rsidRPr="00E574A2" w:rsidRDefault="0075168F" w:rsidP="009D590D">
      <w:pPr>
        <w:pStyle w:val="RevisionParagraphBezeichnermanuell"/>
        <w:spacing w:after="120"/>
        <w:ind w:left="1345" w:hanging="90"/>
        <w:outlineLvl w:val="7"/>
      </w:pPr>
      <w:r>
        <w:t xml:space="preserve">„§ 312k</w:t>
      </w:r>
    </w:p>
    <w:p w14:paraId="41B291F4" w14:textId="486B3F04" w:rsidR="0075168F" w:rsidRPr="00416421" w:rsidRDefault="0075168F" w:rsidP="009D590D">
      <w:pPr>
        <w:pStyle w:val="RevisionParagraphberschrift"/>
        <w:spacing w:before="120" w:after="120"/>
        <w:ind w:left="1345"/>
        <w:outlineLvl w:val="7"/>
      </w:pPr>
      <w:r>
        <w:t xml:space="preserve">Ukončenie spotrebiteľských zmlúv v elektronickom obchode</w:t>
      </w:r>
    </w:p>
    <w:p w14:paraId="4B99D571" w14:textId="07F42C55" w:rsidR="00C10FA1" w:rsidRDefault="00DC3B1E" w:rsidP="009D590D">
      <w:pPr>
        <w:pStyle w:val="RevisionJuristischerAbsatz"/>
        <w:numPr>
          <w:ilvl w:val="2"/>
          <w:numId w:val="1"/>
        </w:numPr>
        <w:tabs>
          <w:tab w:val="clear" w:pos="850"/>
          <w:tab w:val="num" w:pos="2195"/>
        </w:tabs>
        <w:ind w:left="1345"/>
      </w:pPr>
      <w:r>
        <w:t xml:space="preserve">Ak webová stránka umožňuje spotrebiteľom uzavrieť zmluvu o elektronickom obchode, ktorej cieľom je vytvorenie trvalého záväzkového vzťahu a zaviazanie sa spoločnosti vykonávať službu ako protihodnotu, spoločnosť plní povinnosti stanovené v tomto ustanovení.</w:t>
      </w:r>
      <w:r>
        <w:t xml:space="preserve"> </w:t>
      </w:r>
      <w:r>
        <w:t xml:space="preserve">Toto sa nevzťahuje na</w:t>
      </w:r>
    </w:p>
    <w:p w14:paraId="2FF8D6A4" w14:textId="14FBFEC6" w:rsidR="00C10FA1" w:rsidRPr="0090252A" w:rsidRDefault="0052341C" w:rsidP="009D590D">
      <w:pPr>
        <w:pStyle w:val="RevisionNummerierungStufe1"/>
        <w:tabs>
          <w:tab w:val="clear" w:pos="425"/>
          <w:tab w:val="num" w:pos="1770"/>
        </w:tabs>
        <w:ind w:left="1770"/>
      </w:pPr>
      <w:r>
        <w:t xml:space="preserve">zmluvy, ktorých ukončenie je stanovené len v prísnejšej forme, ako je textová forma; a</w:t>
      </w:r>
    </w:p>
    <w:p w14:paraId="3F8AA9D7" w14:textId="7C181D21" w:rsidR="00E57275" w:rsidRPr="00AE662A" w:rsidRDefault="006F7B3A" w:rsidP="009D590D">
      <w:pPr>
        <w:pStyle w:val="RevisionNummerierungStufe1"/>
        <w:tabs>
          <w:tab w:val="clear" w:pos="425"/>
          <w:tab w:val="num" w:pos="1770"/>
        </w:tabs>
        <w:ind w:left="1770"/>
      </w:pPr>
      <w:r>
        <w:t xml:space="preserve">vo vzťahu k webovým stránkam týkajúcim sa finančných služieb alebo zmlúv týkajúcich sa finančných služieb.</w:t>
      </w:r>
    </w:p>
    <w:p w14:paraId="45A2845B" w14:textId="6F37F124" w:rsidR="009E06E3" w:rsidRDefault="00AE3F1C" w:rsidP="009D590D">
      <w:pPr>
        <w:pStyle w:val="RevisionJuristischerAbsatz"/>
        <w:tabs>
          <w:tab w:val="clear" w:pos="850"/>
          <w:tab w:val="num" w:pos="2195"/>
        </w:tabs>
        <w:ind w:left="1345"/>
      </w:pPr>
      <w:r>
        <w:t xml:space="preserve">Spoločnosť musí zabezpečiť, aby bol spotrebiteľ na webovej stránke schopný urobiť vyhlásenie o riadnom alebo mimoriadnom ukončení zmluvy uzatvorenej na webovej stránke v súlade s prvou vetou ods. 1 prostredníctvom tlačidla na ukončenie zmluvy.</w:t>
      </w:r>
      <w:r>
        <w:t xml:space="preserve"> </w:t>
      </w:r>
      <w:r>
        <w:t xml:space="preserve">Tlačidlo na ukončenie zmluvy musí byť ľahko čitateľné obsahujúce len slová „zrušiť zmluvy tu“, alebo musí byť označené vhodným jednoznačným znením.</w:t>
      </w:r>
      <w:r>
        <w:t xml:space="preserve"> </w:t>
      </w:r>
      <w:r>
        <w:t xml:space="preserve">Musí viesť spotrebiteľa priamo k potvrdzovacej stránke, ktorá</w:t>
      </w:r>
    </w:p>
    <w:p w14:paraId="63A70429" w14:textId="0658A2E9" w:rsidR="002A3FE5" w:rsidRDefault="006E2F12" w:rsidP="009D590D">
      <w:pPr>
        <w:pStyle w:val="RevisionNummerierungStufe1"/>
        <w:tabs>
          <w:tab w:val="clear" w:pos="425"/>
          <w:tab w:val="num" w:pos="1770"/>
        </w:tabs>
        <w:ind w:left="1770"/>
      </w:pPr>
      <w:r>
        <w:t xml:space="preserve">vyzve spotrebiteľa a umožní mu poskytnúť informácie,</w:t>
      </w:r>
    </w:p>
    <w:p w14:paraId="1A0A97F8" w14:textId="04EE9D94" w:rsidR="006E2F12" w:rsidRDefault="002A3FE5" w:rsidP="009D590D">
      <w:pPr>
        <w:pStyle w:val="RevisionNummerierungStufe2"/>
        <w:tabs>
          <w:tab w:val="clear" w:pos="850"/>
          <w:tab w:val="num" w:pos="2195"/>
        </w:tabs>
        <w:ind w:left="2195"/>
      </w:pPr>
      <w:r>
        <w:t xml:space="preserve">pokiaľ ide o povahu ukončenia zmluvy a v prípade mimoriadneho ukončenia, o dôvode ukončenia zmluvy,</w:t>
      </w:r>
    </w:p>
    <w:p w14:paraId="459452DE" w14:textId="5BCFA0A2" w:rsidR="002A3FE5" w:rsidRDefault="002A3FE5" w:rsidP="009D590D">
      <w:pPr>
        <w:pStyle w:val="RevisionNummerierungStufe2"/>
        <w:tabs>
          <w:tab w:val="clear" w:pos="850"/>
          <w:tab w:val="num" w:pos="2195"/>
        </w:tabs>
        <w:ind w:left="2195"/>
      </w:pPr>
      <w:r>
        <w:t xml:space="preserve">pokiaľ ide o jeho jednoznačnú identifikáciu,</w:t>
      </w:r>
    </w:p>
    <w:p w14:paraId="0B7A6589" w14:textId="2A8E4FF6" w:rsidR="002A3FE5" w:rsidRDefault="002A3FE5" w:rsidP="009D590D">
      <w:pPr>
        <w:pStyle w:val="RevisionNummerierungStufe2"/>
        <w:tabs>
          <w:tab w:val="clear" w:pos="850"/>
          <w:tab w:val="num" w:pos="2195"/>
        </w:tabs>
        <w:ind w:left="2195"/>
      </w:pPr>
      <w:r>
        <w:t xml:space="preserve">pokiaľ ide o jednoznačné určenie zmluvy,</w:t>
      </w:r>
    </w:p>
    <w:p w14:paraId="309E68B5" w14:textId="4790EC1D" w:rsidR="00846EFD" w:rsidRDefault="00846EFD" w:rsidP="009D590D">
      <w:pPr>
        <w:pStyle w:val="RevisionNummerierungStufe2"/>
        <w:tabs>
          <w:tab w:val="clear" w:pos="850"/>
          <w:tab w:val="num" w:pos="2195"/>
        </w:tabs>
        <w:ind w:left="2195"/>
      </w:pPr>
      <w:r>
        <w:t xml:space="preserve">v čase, keď má ukončenie zmluvy ukončiť zmluvný vzťah,</w:t>
      </w:r>
    </w:p>
    <w:p w14:paraId="1E1303B1" w14:textId="2C482F67" w:rsidR="002A3FE5" w:rsidRDefault="00AE3F1C" w:rsidP="00846EFD">
      <w:pPr>
        <w:pStyle w:val="RevisionNummerierungStufe2"/>
        <w:tabs>
          <w:tab w:val="clear" w:pos="850"/>
          <w:tab w:val="num" w:pos="2195"/>
        </w:tabs>
        <w:ind w:left="2195"/>
      </w:pPr>
      <w:r>
        <w:t xml:space="preserve">na rýchly elektronický prenos potvrdenia o ukončení k nemu a</w:t>
      </w:r>
    </w:p>
    <w:p w14:paraId="4F18B29F" w14:textId="576EFA0F" w:rsidR="00222EE0" w:rsidRDefault="009E06E3" w:rsidP="009D590D">
      <w:pPr>
        <w:pStyle w:val="RevisionNummerierungStufe1"/>
        <w:tabs>
          <w:tab w:val="clear" w:pos="425"/>
          <w:tab w:val="num" w:pos="1770"/>
        </w:tabs>
        <w:ind w:left="1770"/>
      </w:pPr>
      <w:r>
        <w:t xml:space="preserve">obsahuje potvrdzovacie tlačidlo, prostredníctvom ktorého môže spotrebiteľ predložiť oznámenie o ukončení zmluvy a ktoré je ľahko čitateľné a obsahuje len slová „zrušiť teraz“, alebo je označené vhodným jednoznačným znením.</w:t>
      </w:r>
    </w:p>
    <w:p w14:paraId="41B87BA6" w14:textId="4412EB32" w:rsidR="00591E40" w:rsidRDefault="009F7F4E" w:rsidP="009D590D">
      <w:pPr>
        <w:pStyle w:val="RevisionJuristischerAbsatzFolgeabsatz"/>
        <w:ind w:left="1345"/>
      </w:pPr>
      <w:r>
        <w:t xml:space="preserve">Používateľské rozhrania a potvrdzovacia stránka musia byť trvalo dostupné a okamžite a ľahko prístupné.</w:t>
      </w:r>
    </w:p>
    <w:p w14:paraId="01895F53" w14:textId="274AB82F" w:rsidR="00F15270" w:rsidRDefault="0075168F" w:rsidP="009D590D">
      <w:pPr>
        <w:pStyle w:val="RevisionJuristischerAbsatz"/>
        <w:tabs>
          <w:tab w:val="clear" w:pos="850"/>
          <w:tab w:val="num" w:pos="2195"/>
        </w:tabs>
        <w:ind w:left="1345"/>
      </w:pPr>
      <w:r>
        <w:t xml:space="preserve">Spotrebiteľ musí mať možnosť skladovať na trvalom nosiči svoje vyhlásenie o ukončení predložené stlačením potvrdzovacieho tlačidla s dátumom a časom doručenia tak, aby bolo možné vidieť, že vyhlásenie o ukončení bolo predložené stlačením tlačidla na potvrdenie.</w:t>
      </w:r>
    </w:p>
    <w:p w14:paraId="0E1A934D" w14:textId="79962F83" w:rsidR="0075168F" w:rsidRPr="004C591F" w:rsidRDefault="0075168F" w:rsidP="009D590D">
      <w:pPr>
        <w:pStyle w:val="RevisionJuristischerAbsatz"/>
        <w:tabs>
          <w:tab w:val="clear" w:pos="850"/>
          <w:tab w:val="num" w:pos="2195"/>
        </w:tabs>
        <w:ind w:left="1345"/>
      </w:pPr>
      <w:r>
        <w:t xml:space="preserve">Spoločnosť bezodkladne potvrdí spotrebiteľovi obsah, dátum a čas prijatia oznámenia o ukončení, ako aj dátum ukončenia zmluvy v písomnej forme elektronickými prostriedkami.</w:t>
      </w:r>
      <w:r>
        <w:t xml:space="preserve"> </w:t>
      </w:r>
      <w:r>
        <w:t xml:space="preserve">Predpokladá sa, že spoločnosti bolo oznámenie o ukončení zaslané ihneď po jeho predložení prostredníctvom stlačenia tlačidla na potvrdenie.</w:t>
      </w:r>
    </w:p>
    <w:p w14:paraId="2C91A187" w14:textId="77777777" w:rsidR="00852306" w:rsidRPr="000C76EB" w:rsidRDefault="00AF1427" w:rsidP="009D590D">
      <w:pPr>
        <w:pStyle w:val="RevisionJuristischerAbsatz"/>
        <w:tabs>
          <w:tab w:val="clear" w:pos="850"/>
          <w:tab w:val="left" w:pos="2195"/>
        </w:tabs>
        <w:spacing w:before="120" w:after="120"/>
        <w:ind w:left="1345"/>
        <w:outlineLvl w:val="8"/>
      </w:pPr>
      <w:r>
        <w:t xml:space="preserve">Ak spotrebiteľ pri predkladaní oznámenia o ukončení zmluvy neuvádza čas, v ktorom sa má ukončiť zmluvný vzťah, potom sa ukončenie zmluvy bude predpokladať v čo najskoršom možnom čase.</w:t>
      </w:r>
    </w:p>
    <w:p w14:paraId="0063AC95" w14:textId="2CD687CE" w:rsidR="0075168F" w:rsidRPr="000C76EB" w:rsidRDefault="003C1CD0" w:rsidP="009D590D">
      <w:pPr>
        <w:pStyle w:val="RevisionJuristischerAbsatz"/>
        <w:tabs>
          <w:tab w:val="clear" w:pos="850"/>
          <w:tab w:val="num" w:pos="2195"/>
        </w:tabs>
        <w:ind w:left="1345"/>
      </w:pPr>
      <w:r>
        <w:t xml:space="preserve">Ak tlačidlá a potvrdzovacia stránka nie sú sprístupnené v súlade s odsekmi 1 a 2, spotrebiteľ môže ukončiť zmluvu, pre ktorú musia byť tlačidlá a potvrdzovacia stránka k dispozícii, kedykoľvek a bez dodržania výpovednej lehoty.</w:t>
      </w:r>
      <w:r>
        <w:t xml:space="preserve"> </w:t>
      </w:r>
      <w:r>
        <w:t xml:space="preserve">To nemá vplyv na schopnosť spotrebiteľa výnimočne ukončiť zmluvu.“</w:t>
      </w:r>
    </w:p>
    <w:p w14:paraId="0AE0901F" w14:textId="0375EB9F" w:rsidR="001B688F" w:rsidRDefault="0021568B" w:rsidP="009D590D">
      <w:pPr>
        <w:pStyle w:val="RevisionNummerierungStufe1manuell"/>
        <w:tabs>
          <w:tab w:val="clear" w:pos="425"/>
          <w:tab w:val="left" w:pos="1345"/>
        </w:tabs>
        <w:ind w:left="1345"/>
      </w:pPr>
      <w:r>
        <w:t xml:space="preserve">6.</w:t>
      </w:r>
      <w:r>
        <w:tab/>
      </w:r>
      <w:r>
        <w:t xml:space="preserve">Predchádzajúce § 312k a § 312l sa stanú § 312l a §312m.“</w:t>
      </w:r>
    </w:p>
    <w:p w14:paraId="6405AD62" w14:textId="2EED1D99" w:rsidR="0021568B" w:rsidRDefault="0021568B" w:rsidP="00DA2D64">
      <w:pPr>
        <w:pStyle w:val="EmpfehlungNummerierungStufe2"/>
      </w:pPr>
      <w:r>
        <w:t xml:space="preserve">Predchádzajúce číslo 4 sa stáva číslom 7.</w:t>
      </w:r>
    </w:p>
    <w:p w14:paraId="2D9EE4F1" w14:textId="49ED0B65" w:rsidR="00D663F5" w:rsidRDefault="00D663F5" w:rsidP="008E21D5">
      <w:pPr>
        <w:pStyle w:val="EmpfehlungNummerierungStufe1"/>
      </w:pPr>
      <w:r>
        <w:t xml:space="preserve">Článok 2 znie takto:</w:t>
      </w:r>
    </w:p>
    <w:p w14:paraId="2A51C349" w14:textId="28141D5E" w:rsidR="008657B1" w:rsidRPr="008657B1" w:rsidRDefault="008657B1" w:rsidP="009D590D">
      <w:pPr>
        <w:pStyle w:val="RevisionArtikelBezeichnermanuell"/>
        <w:ind w:left="425" w:hanging="70"/>
      </w:pPr>
      <w:r>
        <w:t xml:space="preserve">„Článok 2</w:t>
      </w:r>
    </w:p>
    <w:p w14:paraId="5837AD5B" w14:textId="0C0D5684" w:rsidR="008657B1" w:rsidRPr="008657B1" w:rsidRDefault="008657B1" w:rsidP="009D590D">
      <w:pPr>
        <w:pStyle w:val="RevisionArtikelberschrift"/>
        <w:ind w:left="425"/>
      </w:pPr>
      <w:r>
        <w:t xml:space="preserve">Zmena úvodného zákona Občianskeho zákonníka</w:t>
      </w:r>
    </w:p>
    <w:p w14:paraId="460ABE0F" w14:textId="5A512474" w:rsidR="008657B1" w:rsidRPr="004F1B81" w:rsidRDefault="007B6582" w:rsidP="009D590D">
      <w:pPr>
        <w:pStyle w:val="RevisionJuristischerAbsatzmanuell"/>
        <w:tabs>
          <w:tab w:val="clear" w:pos="850"/>
          <w:tab w:val="left" w:pos="1275"/>
        </w:tabs>
        <w:ind w:left="425"/>
      </w:pPr>
      <w:r>
        <w:t xml:space="preserve">Úvodný zákon Občianskeho zákonníka v znení uverejnenom 21. septembra 1994 (Spolkový právny vestník I, s. 2494, 1997; I, s. 1061), naposledy zmenený článkom 10 zákona z 22. decembra 2020 (Spolkový vestník I s. 3328) sa mení takto:</w:t>
      </w:r>
    </w:p>
    <w:p w14:paraId="6B027298" w14:textId="034AC32F" w:rsidR="008657B1" w:rsidRPr="004F1B81" w:rsidRDefault="008657B1" w:rsidP="009D590D">
      <w:pPr>
        <w:pStyle w:val="RevisionNummerierungStufe1"/>
        <w:tabs>
          <w:tab w:val="clear" w:pos="425"/>
          <w:tab w:val="num" w:pos="850"/>
        </w:tabs>
        <w:ind w:left="850"/>
      </w:pPr>
      <w:r>
        <w:t xml:space="preserve">Do článku 229 sa dopĺňa tento §...</w:t>
      </w:r>
      <w:r>
        <w:t xml:space="preserve"> </w:t>
      </w:r>
      <w:r>
        <w:t xml:space="preserve">[uviesť: ďalšie voľné označenie v poradí pri uverejnení]:</w:t>
      </w:r>
    </w:p>
    <w:p w14:paraId="57F318B2" w14:textId="77777777" w:rsidR="008657B1" w:rsidRPr="004F1B81" w:rsidRDefault="008657B1" w:rsidP="009D590D">
      <w:pPr>
        <w:pStyle w:val="RevisionParagraphBezeichnermanuell"/>
        <w:ind w:left="850" w:hanging="90"/>
      </w:pPr>
      <w:r>
        <w:t xml:space="preserve">„§...</w:t>
      </w:r>
      <w:r>
        <w:t xml:space="preserve"> </w:t>
      </w:r>
      <w:r>
        <w:t xml:space="preserve">[uviesť: ďalšie voľné označenie v poradí pri uverejnení]</w:t>
      </w:r>
    </w:p>
    <w:p w14:paraId="240738A9" w14:textId="77777777" w:rsidR="008657B1" w:rsidRPr="004F1B81" w:rsidRDefault="008657B1" w:rsidP="009D590D">
      <w:pPr>
        <w:pStyle w:val="RevisionParagraphberschrift"/>
        <w:ind w:left="850"/>
      </w:pPr>
      <w:r>
        <w:t xml:space="preserve">Prechodné ustanovenie zákona o spravodlivých spotrebiteľských zmluvách</w:t>
      </w:r>
    </w:p>
    <w:p w14:paraId="48E37EC8" w14:textId="49D04865" w:rsidR="008657B1" w:rsidRPr="008657B1" w:rsidRDefault="008657B1" w:rsidP="009D590D">
      <w:pPr>
        <w:pStyle w:val="RevisionJuristischerAbsatzmanuell"/>
        <w:tabs>
          <w:tab w:val="clear" w:pos="850"/>
          <w:tab w:val="left" w:pos="1700"/>
        </w:tabs>
        <w:ind w:left="850"/>
      </w:pPr>
      <w:r>
        <w:t xml:space="preserve">Na záväzok, ktorý vznikol pred ...</w:t>
      </w:r>
      <w:r>
        <w:t xml:space="preserve"> </w:t>
      </w:r>
      <w:r>
        <w:t xml:space="preserve">[uviesť:</w:t>
      </w:r>
      <w:r>
        <w:t xml:space="preserve"> </w:t>
      </w:r>
      <w:r>
        <w:t xml:space="preserve">Dátum nadobudnutia účinnosti podľa článku 5 ods. 3 tohto zákona], sa uplatňujú ustanovenia Občianskeho zákonníka, v znení zmien do tohto dátumu.“</w:t>
      </w:r>
    </w:p>
    <w:p w14:paraId="28F84168" w14:textId="767BCDD5" w:rsidR="0062256C" w:rsidRPr="008657B1" w:rsidRDefault="00D663F5" w:rsidP="009D590D">
      <w:pPr>
        <w:pStyle w:val="RevisionNummerierungStufe1"/>
        <w:tabs>
          <w:tab w:val="clear" w:pos="425"/>
          <w:tab w:val="num" w:pos="850"/>
        </w:tabs>
        <w:ind w:left="850"/>
      </w:pPr>
      <w:r>
        <w:t xml:space="preserve">V článku 246e ods. 1 bode 2 čísle 10 sa slová „§ 312k“ nahrádzajú slovami „§ 312l“.</w:t>
      </w:r>
    </w:p>
    <w:p w14:paraId="7A235F18" w14:textId="116CF696" w:rsidR="008E21D5" w:rsidRDefault="007B6582" w:rsidP="004F1B81">
      <w:pPr>
        <w:pStyle w:val="EmpfehlungNummerierungStufe1"/>
      </w:pPr>
      <w:r>
        <w:t xml:space="preserve">Za prvú vetu článku 5 sa vkladá táto veta:</w:t>
      </w:r>
    </w:p>
    <w:p w14:paraId="0316D114" w14:textId="7AD83BCB" w:rsidR="008E21D5" w:rsidRDefault="0052608D" w:rsidP="009D590D">
      <w:pPr>
        <w:pStyle w:val="RevisionJuristischerAbsatzFolgeabsatz"/>
        <w:ind w:left="425"/>
      </w:pPr>
      <w:r>
        <w:t xml:space="preserve">„Článok 1 ods. 4 až 6 a článok 2 ods. 2 nadobúdajú účinnosť 1. júla 2022.“</w:t>
      </w:r>
    </w:p>
    <w:p w14:paraId="41B3EABB" w14:textId="77777777" w:rsidR="00826E52" w:rsidRDefault="00826E52" w:rsidP="00826E52">
      <w:pPr>
        <w:sectPr w:rsidR="00826E52" w:rsidSect="00012A1D">
          <w:type w:val="continuous"/>
          <w:pgSz w:w="11907" w:h="16839"/>
          <w:pgMar w:top="1134" w:right="3883" w:bottom="1417" w:left="1219" w:header="709" w:footer="709" w:gutter="0"/>
          <w:cols w:space="708"/>
          <w:docGrid w:linePitch="360"/>
        </w:sectPr>
      </w:pPr>
    </w:p>
    <w:p w14:paraId="48D972B1" w14:textId="3F1C74A6" w:rsidR="002720FF" w:rsidRDefault="002720FF" w:rsidP="00FF6FE5">
      <w:pPr>
        <w:pStyle w:val="BegrndungTitel"/>
      </w:pPr>
      <w:r>
        <w:t xml:space="preserve">Dôvodová správa</w:t>
      </w:r>
    </w:p>
    <w:p w14:paraId="6FB976A8" w14:textId="1D90AF45" w:rsidR="00B56435" w:rsidRDefault="00B56435" w:rsidP="00910B03">
      <w:pPr>
        <w:pStyle w:val="Text"/>
        <w:spacing w:before="120" w:after="120"/>
        <w:rPr>
          <w:b/>
          <w:sz w:val="22"/>
          <w:rFonts w:ascii="Arial" w:hAnsi="Arial" w:cs="Arial"/>
        </w:rPr>
      </w:pPr>
      <w:r>
        <w:rPr>
          <w:b/>
          <w:sz w:val="22"/>
          <w:rFonts w:ascii="Arial" w:hAnsi="Arial"/>
        </w:rPr>
        <w:t xml:space="preserve">K bodu 1</w:t>
      </w:r>
    </w:p>
    <w:p w14:paraId="52A0ADE0" w14:textId="23FAA1FA" w:rsidR="00B358A3" w:rsidRPr="009B1298" w:rsidRDefault="00B358A3" w:rsidP="009B1298">
      <w:pPr>
        <w:pStyle w:val="Text"/>
        <w:rPr>
          <w:sz w:val="22"/>
        </w:rPr>
      </w:pPr>
      <w:r>
        <w:rPr>
          <w:sz w:val="22"/>
        </w:rPr>
        <w:t xml:space="preserve">Dodatok je potrebný, pretože ustanovenie uvedené v bode 2 písm. a) (článok 1 ods. 5) podlieha oznamovaniu </w:t>
      </w:r>
      <w:r>
        <w:t xml:space="preserve">podľa smernice Európskeho parlamentu a Rady (EÚ) 2015/1535 z 9. septembra 2015, ktorou sa stanovuje postup pri poskytovaní informácií v oblasti technických predpisov a pravidiel vzťahujúcich sa na služby informačnej spoločnosti.</w:t>
      </w:r>
    </w:p>
    <w:p w14:paraId="53DCFDC3" w14:textId="7A9DE1EC" w:rsidR="00B358A3" w:rsidRDefault="00B358A3" w:rsidP="00910B03">
      <w:pPr>
        <w:pStyle w:val="Text"/>
        <w:spacing w:before="120" w:after="120"/>
        <w:rPr>
          <w:b/>
          <w:sz w:val="22"/>
          <w:rFonts w:ascii="Arial" w:hAnsi="Arial" w:cs="Arial"/>
        </w:rPr>
      </w:pPr>
      <w:r>
        <w:rPr>
          <w:b/>
          <w:sz w:val="22"/>
          <w:rFonts w:ascii="Arial" w:hAnsi="Arial"/>
        </w:rPr>
        <w:t xml:space="preserve">K bodu 2</w:t>
      </w:r>
    </w:p>
    <w:p w14:paraId="1CDBD418" w14:textId="66377B48" w:rsidR="00395EE9" w:rsidRPr="00DA2D64" w:rsidRDefault="000F009A" w:rsidP="00DA2D64">
      <w:pPr>
        <w:pStyle w:val="Text"/>
        <w:rPr>
          <w:sz w:val="22"/>
        </w:rPr>
      </w:pPr>
      <w:r>
        <w:rPr>
          <w:sz w:val="22"/>
        </w:rPr>
        <w:t xml:space="preserve">Bod 2 obsahuje zmeny článku 1 návrhu zákona, v ktorom sa stanovujú zmeny Občianskeho zákonníka (BGB).</w:t>
      </w:r>
    </w:p>
    <w:p w14:paraId="5911C2A5" w14:textId="19E46F24" w:rsidR="00910B03" w:rsidRDefault="00910B03" w:rsidP="00910B03">
      <w:pPr>
        <w:pStyle w:val="Text"/>
        <w:spacing w:before="120" w:after="120"/>
        <w:rPr>
          <w:b/>
          <w:sz w:val="22"/>
          <w:rFonts w:ascii="Arial" w:hAnsi="Arial" w:cs="Arial"/>
        </w:rPr>
      </w:pPr>
      <w:r>
        <w:rPr>
          <w:b/>
          <w:sz w:val="22"/>
          <w:rFonts w:ascii="Arial" w:hAnsi="Arial"/>
        </w:rPr>
        <w:t xml:space="preserve">K písmenu a)</w:t>
      </w:r>
    </w:p>
    <w:p w14:paraId="3BCE5677" w14:textId="7A163C5E" w:rsidR="000F009A" w:rsidRPr="00DA2D64" w:rsidRDefault="000F009A" w:rsidP="00DA2D64">
      <w:pPr>
        <w:pStyle w:val="Text"/>
        <w:rPr>
          <w:sz w:val="22"/>
        </w:rPr>
      </w:pPr>
      <w:r>
        <w:rPr>
          <w:sz w:val="22"/>
        </w:rPr>
        <w:t xml:space="preserve">Písmeno a) obsahuje zmeny BGB potrebné z dôvodu vloženia § 312k BGB v návrhu znenia.</w:t>
      </w:r>
    </w:p>
    <w:p w14:paraId="7BAADA35" w14:textId="3DFF40F6" w:rsidR="009F2923" w:rsidRDefault="009F2923" w:rsidP="00910B03">
      <w:pPr>
        <w:pStyle w:val="Text"/>
        <w:spacing w:before="120" w:after="120"/>
        <w:rPr>
          <w:b/>
          <w:sz w:val="22"/>
          <w:rFonts w:ascii="Arial" w:hAnsi="Arial" w:cs="Arial"/>
        </w:rPr>
      </w:pPr>
      <w:r>
        <w:rPr>
          <w:b/>
          <w:sz w:val="22"/>
          <w:rFonts w:ascii="Arial" w:hAnsi="Arial"/>
        </w:rPr>
        <w:t xml:space="preserve">K článku 1 bodu 4</w:t>
      </w:r>
    </w:p>
    <w:p w14:paraId="196525AF" w14:textId="07A1B367" w:rsidR="00910B03" w:rsidRDefault="00910B03" w:rsidP="0052608D">
      <w:pPr>
        <w:pStyle w:val="Text"/>
        <w:rPr>
          <w:sz w:val="22"/>
        </w:rPr>
      </w:pPr>
      <w:r>
        <w:rPr>
          <w:sz w:val="22"/>
        </w:rPr>
        <w:t xml:space="preserve">Ide o následnú zmenu, ktorá je podmienená vložením nového § 312k BGB v návrhu znenia.</w:t>
      </w:r>
      <w:r>
        <w:rPr>
          <w:sz w:val="22"/>
        </w:rPr>
        <w:t xml:space="preserve"> </w:t>
      </w:r>
      <w:r>
        <w:rPr>
          <w:sz w:val="22"/>
        </w:rPr>
        <w:t xml:space="preserve">Očakáva sa, že § 312k nemeckého Občianskeho zákonníka sa vykoná so skorším dátumom nadobudnutia účinnosti návrhom zákona, ktorým sa mení Občiansky zákonník a úvodný zákon Občianskeho zákonníka pri vykonávaní smernice EÚ na lepšie presadzovanie a modernizáciu právnych predpisov Únie v oblasti ochrany spotrebiteľa a ktorým sa zrušuje nariadenie o prenose zodpovednosti za vykonávanie nariadenia (ES) č. 2006/2004 na Spolkové ministerstvo spravodlivosti a ochrany spotrebiteľa (dokument Spolkovej rady 61/21, ďalej len</w:t>
      </w:r>
      <w:r>
        <w:rPr>
          <w:sz w:val="22"/>
        </w:rPr>
        <w:t xml:space="preserve"> </w:t>
      </w:r>
      <w:r>
        <w:rPr>
          <w:sz w:val="22"/>
        </w:rPr>
        <w:t xml:space="preserve">Návrh zákona o vykonávaní smernice o modernizácii).</w:t>
      </w:r>
    </w:p>
    <w:p w14:paraId="58637A12" w14:textId="3F86D1C5" w:rsidR="00910B03" w:rsidRDefault="00910B03" w:rsidP="00910B03">
      <w:pPr>
        <w:pStyle w:val="Text"/>
        <w:rPr>
          <w:b/>
          <w:sz w:val="22"/>
          <w:rFonts w:ascii="Arial" w:hAnsi="Arial" w:cs="Arial"/>
        </w:rPr>
      </w:pPr>
      <w:r>
        <w:rPr>
          <w:b/>
          <w:sz w:val="22"/>
          <w:rFonts w:ascii="Arial" w:hAnsi="Arial"/>
        </w:rPr>
        <w:t xml:space="preserve">K článku 1 bodu 5</w:t>
      </w:r>
    </w:p>
    <w:p w14:paraId="29FC6254" w14:textId="01CF6BCB" w:rsidR="000F009A" w:rsidRDefault="000F009A" w:rsidP="00FF6FE5">
      <w:pPr>
        <w:pStyle w:val="Text"/>
        <w:rPr>
          <w:sz w:val="22"/>
        </w:rPr>
      </w:pPr>
      <w:r>
        <w:rPr>
          <w:sz w:val="22"/>
        </w:rPr>
        <w:t xml:space="preserve">Článkom 1 ods. 5 sa do nemeckého Občianskeho zákonníka zavádza nový § 312k BGB.</w:t>
      </w:r>
    </w:p>
    <w:p w14:paraId="7B4EFA06" w14:textId="328EC3DA" w:rsidR="00910D9D" w:rsidRDefault="00F24FDD" w:rsidP="00FF6FE5">
      <w:pPr>
        <w:pStyle w:val="Text"/>
        <w:rPr>
          <w:sz w:val="22"/>
        </w:rPr>
      </w:pPr>
      <w:r>
        <w:rPr>
          <w:sz w:val="22"/>
        </w:rPr>
        <w:t xml:space="preserve">Ukončenie zmlúv uzavretých v elektronickom obchode často predstavuje pre spotrebiteľov osobitné výzvy.</w:t>
      </w:r>
      <w:r>
        <w:rPr>
          <w:sz w:val="22"/>
        </w:rPr>
        <w:t xml:space="preserve"> </w:t>
      </w:r>
      <w:r>
        <w:rPr>
          <w:sz w:val="22"/>
        </w:rPr>
        <w:t xml:space="preserve">V porovnaní s jednoduchým uzatvorením príslušnej zmluvy nie je jej ukončenie čiastočne možné priamo prostredníctvom webovej stránky, alebo je často komplikované dizajnom webových stránok.</w:t>
      </w:r>
    </w:p>
    <w:p w14:paraId="1FDAB131" w14:textId="77777777" w:rsidR="00910D9D" w:rsidRDefault="00993AD2" w:rsidP="00FF6FE5">
      <w:pPr>
        <w:pStyle w:val="Text"/>
        <w:rPr>
          <w:sz w:val="22"/>
        </w:rPr>
      </w:pPr>
      <w:r>
        <w:rPr>
          <w:sz w:val="22"/>
        </w:rPr>
        <w:t xml:space="preserve">Povinnosti spoločnosti navrhované v § 312k BGB v návrhu znenia majú umožniť spotrebiteľom vyhotoviť vyhlásenia o ukončení v elektronickom obchode porovnateľným jednoduchým spôsobom, berúc do úvahy špecifiká vyhlásení o ukončení zmluvy, a porovnateľným spôsobom ako vyhlásenia o uzavretí zodpovedajúcich zmlúv.</w:t>
      </w:r>
    </w:p>
    <w:p w14:paraId="23CC65C4" w14:textId="1A6BC79E" w:rsidR="009019C7" w:rsidRDefault="00C50448" w:rsidP="00FF6FE5">
      <w:pPr>
        <w:pStyle w:val="Text"/>
        <w:rPr>
          <w:sz w:val="22"/>
        </w:rPr>
      </w:pPr>
      <w:r>
        <w:rPr>
          <w:sz w:val="22"/>
        </w:rPr>
        <w:t xml:space="preserve">Rozsah pôsobnosti tohto ustanovenia je určený v § 312k ods. 1 nemeckého Občianskeho zákonníka (BGB) v návrhu znenia.</w:t>
      </w:r>
      <w:r>
        <w:rPr>
          <w:sz w:val="22"/>
        </w:rPr>
        <w:t xml:space="preserve"> </w:t>
      </w:r>
      <w:r>
        <w:rPr>
          <w:sz w:val="22"/>
        </w:rPr>
        <w:t xml:space="preserve">§ 312k ods. 2 nemeckého Občianskeho zákonníka (BGB) v návrhu uvádza povinnosť spoločnosti zachovať tlačidlo na ukončenie zmluvy a spresňuje návrh technických prostriedkov, ktoré má spoločnosť sprístupniť na predloženie oznámenia o ukončení zmluvy.</w:t>
      </w:r>
      <w:r>
        <w:rPr>
          <w:sz w:val="22"/>
        </w:rPr>
        <w:t xml:space="preserve"> </w:t>
      </w:r>
      <w:r>
        <w:rPr>
          <w:sz w:val="22"/>
        </w:rPr>
        <w:t xml:space="preserve">§ 312k ods. 3 nemeckého Občianskeho zákonníka (BGB) v návrhu nariadenia upravuje možnosti spotrebiteľa uložiť si vyhlásenie o ukončení zmluvy, ktoré predložil.</w:t>
      </w:r>
      <w:r>
        <w:rPr>
          <w:sz w:val="22"/>
        </w:rPr>
        <w:t xml:space="preserve"> </w:t>
      </w:r>
      <w:r>
        <w:rPr>
          <w:sz w:val="22"/>
        </w:rPr>
        <w:t xml:space="preserve">§ 312k ods. 4 nemeckého Občianskeho zákonníka (BGB) v návrhu stanovuje povinnosť spoločnosti potvrdiť prijatie oznámenia o ukončení zmluvy, ako aj domnienku týkajúcu sa prístupu k oznámeniu o ukončení zmluvy.</w:t>
      </w:r>
      <w:r>
        <w:rPr>
          <w:sz w:val="22"/>
        </w:rPr>
        <w:t xml:space="preserve"> </w:t>
      </w:r>
      <w:r>
        <w:rPr>
          <w:sz w:val="22"/>
        </w:rPr>
        <w:t xml:space="preserve">§ 312k ods. 5</w:t>
      </w:r>
      <w:r>
        <w:rPr>
          <w:sz w:val="22"/>
          <w:b/>
        </w:rPr>
        <w:t xml:space="preserve"> </w:t>
      </w:r>
      <w:r>
        <w:rPr>
          <w:sz w:val="22"/>
        </w:rPr>
        <w:t xml:space="preserve">BGB v návrhu obsahuje ustanovenie o pochybnostiach o dátume ukončenia.</w:t>
      </w:r>
      <w:r>
        <w:rPr>
          <w:sz w:val="22"/>
        </w:rPr>
        <w:t xml:space="preserve"> </w:t>
      </w:r>
      <w:r>
        <w:rPr>
          <w:sz w:val="22"/>
        </w:rPr>
        <w:t xml:space="preserve">§ 312k ods. 6 BGB v návrhu znenia stanovuje, že ak spoločnosť neplní povinnosti stanovené v § 312k ods. 1 a 2 BGB v návrhu znenia, zmluva sa môže ukončiť kedykoľvek a bez dodržania výpovednej lehoty.</w:t>
      </w:r>
    </w:p>
    <w:p w14:paraId="7368D62F" w14:textId="77777777" w:rsidR="00EA1D8C" w:rsidRPr="00623468" w:rsidRDefault="00EA1D8C" w:rsidP="00FC63C3">
      <w:pPr>
        <w:pStyle w:val="Text"/>
        <w:spacing w:before="120" w:after="120"/>
        <w:rPr>
          <w:b/>
          <w:sz w:val="22"/>
          <w:rFonts w:ascii="Arial" w:hAnsi="Arial" w:cs="Arial"/>
        </w:rPr>
      </w:pPr>
      <w:r>
        <w:rPr>
          <w:b/>
          <w:sz w:val="22"/>
          <w:rFonts w:ascii="Arial" w:hAnsi="Arial"/>
        </w:rPr>
        <w:t xml:space="preserve">K § 312k ods. 1 BGB-E:</w:t>
      </w:r>
    </w:p>
    <w:p w14:paraId="17EDBBF1" w14:textId="7D78ECB9" w:rsidR="007E1EA0" w:rsidRPr="00FF6FE5" w:rsidRDefault="007E1EA0" w:rsidP="00FF6FE5">
      <w:pPr>
        <w:pStyle w:val="Text"/>
        <w:rPr>
          <w:sz w:val="22"/>
        </w:rPr>
      </w:pPr>
      <w:r>
        <w:rPr>
          <w:sz w:val="22"/>
        </w:rPr>
        <w:t xml:space="preserve">§ 312k ods. 1 BGB v návrhu znenia obsahuje požiadavky na záväzky spoločnosti podľa § 312k BGB v návrhu znenia, ako aj niekoľko výnimiek.</w:t>
      </w:r>
    </w:p>
    <w:p w14:paraId="79AB8D0A" w14:textId="6D12DF24" w:rsidR="005E1C0F" w:rsidRDefault="00297295" w:rsidP="005E1C0F">
      <w:pPr>
        <w:pStyle w:val="Text"/>
        <w:rPr>
          <w:sz w:val="22"/>
        </w:rPr>
      </w:pPr>
      <w:r>
        <w:rPr>
          <w:sz w:val="22"/>
        </w:rPr>
        <w:t xml:space="preserve">Povinnosť podľa § 312k ods. 1 nemeckého Občianskeho zákonníka (BGB) v návrhu znenia sa vzťahuje na spoločnosť vždy, keď je spotrebiteľom umožnené uzatvárať zmluvy v zmysle § 312k ods. 1 prvej vety nemeckého Občianskeho zákonníka (BGB) v návrhu znenia.</w:t>
      </w:r>
    </w:p>
    <w:p w14:paraId="14C929D8" w14:textId="579E8842" w:rsidR="005E1C0F" w:rsidRDefault="005E1C0F" w:rsidP="005E1C0F">
      <w:pPr>
        <w:pStyle w:val="Text"/>
        <w:rPr>
          <w:sz w:val="22"/>
        </w:rPr>
      </w:pPr>
      <w:r>
        <w:rPr>
          <w:sz w:val="22"/>
        </w:rPr>
        <w:t xml:space="preserve">§ 312k ods. 1 prvá veta BGB v návrhu znenia obsahuje výraz „zmluva v elektronickom obchode“, ktorý je právne definovaný v § 312i ods. 1 prvej vete nemeckého Občianskeho zákonníka.</w:t>
      </w:r>
    </w:p>
    <w:p w14:paraId="2230FA64" w14:textId="64CB3F4D" w:rsidR="004025EB" w:rsidRDefault="005E1C0F" w:rsidP="005E1C0F">
      <w:pPr>
        <w:pStyle w:val="Text"/>
        <w:rPr>
          <w:sz w:val="22"/>
        </w:rPr>
      </w:pPr>
      <w:r>
        <w:rPr>
          <w:sz w:val="22"/>
        </w:rPr>
        <w:t xml:space="preserve">Uzavretie týchto zmlúv musí byť umožnené v návrhu verzie prostredníctvom „webovej stránky“ v súlade s § 312k ods. 1 prvou vetou BGB.</w:t>
      </w:r>
      <w:r>
        <w:rPr>
          <w:sz w:val="22"/>
        </w:rPr>
        <w:t xml:space="preserve"> </w:t>
      </w:r>
      <w:r>
        <w:rPr>
          <w:sz w:val="22"/>
        </w:rPr>
        <w:t xml:space="preserve">Na účely výkladu pojmu „webová stránka“ sa môže použiť judikatúra týkajúca sa rovnakého pojmu v § 312j ods. 1 nemeckého Občianskeho zákonníka.</w:t>
      </w:r>
    </w:p>
    <w:p w14:paraId="6AA292BC" w14:textId="470333E1" w:rsidR="005E1C0F" w:rsidRDefault="005E1C0F" w:rsidP="005E1C0F">
      <w:pPr>
        <w:pStyle w:val="Text"/>
        <w:rPr>
          <w:sz w:val="22"/>
        </w:rPr>
      </w:pPr>
      <w:r>
        <w:rPr>
          <w:sz w:val="22"/>
        </w:rPr>
        <w:t xml:space="preserve">Na odôvodnenie záväzku spoločnosti podľa § 312k BGB v návrhu znenia nie je podstatné, či uzatvorenie zmluvy prostredníctvom webovej stránky prevádzkuje samotná spoločnosť, alebo – napríklad v prípade sprostredkovateľských platforiem – sa uskutoční prostredníctvom webovej stránky prevádzkovanej treťou stranou.</w:t>
      </w:r>
      <w:r>
        <w:rPr>
          <w:sz w:val="22"/>
        </w:rPr>
        <w:t xml:space="preserve"> </w:t>
      </w:r>
      <w:r>
        <w:rPr>
          <w:sz w:val="22"/>
        </w:rPr>
        <w:t xml:space="preserve">V oboch prípadoch musí spoločnosť zabezpečiť, aby spotrebiteľ mohol predložiť ukončenie v súlade s požiadavkami § 312k BGB v návrhu znenia.</w:t>
      </w:r>
      <w:r>
        <w:rPr>
          <w:sz w:val="22"/>
        </w:rPr>
        <w:t xml:space="preserve"> </w:t>
      </w:r>
      <w:r>
        <w:rPr>
          <w:sz w:val="22"/>
        </w:rPr>
        <w:t xml:space="preserve">Ak je možné uzavrieť zmluvu na webovej stránke, ktorú neprevádzkuje samotná spoločnosť, potom musí spoločnosť zmluvne zaviazať tretiu stranu ako prevádzkovateľa webovej stránky tretej strany.</w:t>
      </w:r>
    </w:p>
    <w:p w14:paraId="16B2E46F" w14:textId="04A80DFB" w:rsidR="005E1C0F" w:rsidRDefault="005E1C0F" w:rsidP="005E1C0F">
      <w:pPr>
        <w:pStyle w:val="Text"/>
        <w:rPr>
          <w:sz w:val="22"/>
        </w:rPr>
      </w:pPr>
      <w:r>
        <w:rPr>
          <w:sz w:val="22"/>
        </w:rPr>
        <w:t xml:space="preserve">Povinnosť spoločnosti v súlade s § 312k ods. 1 prvou vetou BGB v návrhu znenia je obmedzená na zmluvy medzi spoločnosťami a spotrebiteľmi o vytvorení trvalých záväzkových vzťahov, ktoré zaväzujú spoločnosť poskytovať odmenu.</w:t>
      </w:r>
      <w:r>
        <w:rPr>
          <w:sz w:val="22"/>
        </w:rPr>
        <w:t xml:space="preserve"> </w:t>
      </w:r>
      <w:r>
        <w:rPr>
          <w:sz w:val="22"/>
        </w:rPr>
        <w:t xml:space="preserve">Obmedzenie trvalého záväzku sa vykonáva z hľadiska ochrany spotrebiteľa, pretože majú osobitnú potrebu uľahčiť možnosť ukončenia zmluvy.</w:t>
      </w:r>
      <w:r>
        <w:rPr>
          <w:sz w:val="22"/>
        </w:rPr>
        <w:t xml:space="preserve"> </w:t>
      </w:r>
      <w:r>
        <w:rPr>
          <w:sz w:val="22"/>
        </w:rPr>
        <w:t xml:space="preserve">Dlhodobé záväzkové vzťahy sa často môžu ukázať ako „nákladové pasce“ z dôvodu dlhodobého záväzku pre spotrebiteľov.</w:t>
      </w:r>
      <w:r>
        <w:rPr>
          <w:sz w:val="22"/>
        </w:rPr>
        <w:t xml:space="preserve"> </w:t>
      </w:r>
      <w:r>
        <w:rPr>
          <w:sz w:val="22"/>
        </w:rPr>
        <w:t xml:space="preserve">Na druhej strane ukončenie ostatných záväzkov ako trvalých záväzkov môže mať v určitých prípadoch právne dôsledky pre spotrebiteľa, ktoré sa z pohľadu spotrebiteľa javia ako neočakávané (napr. pretrvávajúca povinnosť platiť kupujúcemu v prípade práva na odstúpenie od zmluvy podľa § 648 BGB).</w:t>
      </w:r>
      <w:r>
        <w:rPr>
          <w:sz w:val="22"/>
        </w:rPr>
        <w:t xml:space="preserve"> </w:t>
      </w:r>
      <w:r>
        <w:rPr>
          <w:sz w:val="22"/>
        </w:rPr>
        <w:t xml:space="preserve">Tieto právne dôsledky by spôsobili najmä to, že štandardizované plnenie povinnosti spoločnosti poskytovať informácie v súlade s § 312k ods. 2 treťou vetou bodom 2 nemeckého Občianskeho zákonníka v návrhu znenia by sa značne sťažilo.</w:t>
      </w:r>
      <w:r>
        <w:rPr>
          <w:sz w:val="22"/>
        </w:rPr>
        <w:t xml:space="preserve"> </w:t>
      </w:r>
      <w:r>
        <w:rPr>
          <w:sz w:val="22"/>
        </w:rPr>
        <w:t xml:space="preserve">Z tohto dôvodu by sa na iné zmluvy ako zmluvy týkajúce sa trvalého záväzku z dôvodu osobitných dôsledkov ukončenia v jednotlivých prípadoch nemal vzťahovať § 312k BGB v návrhu znenia.</w:t>
      </w:r>
    </w:p>
    <w:p w14:paraId="7CBE89AF" w14:textId="39C4CA64" w:rsidR="00021CCF" w:rsidRDefault="00AA0FD6" w:rsidP="00FF6FE5">
      <w:pPr>
        <w:pStyle w:val="Text"/>
        <w:rPr>
          <w:sz w:val="22"/>
        </w:rPr>
      </w:pPr>
      <w:r>
        <w:rPr>
          <w:sz w:val="22"/>
        </w:rPr>
        <w:t xml:space="preserve">Podľa § 312k ods. 1 druhej vety bodu 1 nemeckého Občianskeho zákonníka (BGB) v návrhu znenia sa § 312k BGB v návrhu znenia neuplatňuje, ak sa má ukončenie predmetnej zmluvy na základe právnych formálnych požiadaviek predložiť výlučne v prísnejšej forme, ako je textová forma.</w:t>
      </w:r>
      <w:r>
        <w:rPr>
          <w:sz w:val="22"/>
        </w:rPr>
        <w:t xml:space="preserve"> </w:t>
      </w:r>
      <w:r>
        <w:rPr>
          <w:sz w:val="22"/>
        </w:rPr>
        <w:t xml:space="preserve">To teda zahŕňa aj formálnu požiadavku – prísnejšiu v porovnaní s textovou formou – elektronickej formy podľa § 126a nemeckého Občianskeho zákonníka alebo písomnú formu.</w:t>
      </w:r>
      <w:r>
        <w:rPr>
          <w:sz w:val="22"/>
        </w:rPr>
        <w:t xml:space="preserve"> </w:t>
      </w:r>
      <w:r>
        <w:rPr>
          <w:sz w:val="22"/>
        </w:rPr>
        <w:t xml:space="preserve">To vylučuje aj vyhlásenia o ukončení, ktoré sa vydávajú na notársky overenom formulári.</w:t>
      </w:r>
    </w:p>
    <w:p w14:paraId="5AC9F0DA" w14:textId="10D6BCB1" w:rsidR="00FF6FE5" w:rsidRDefault="00FF6FE5" w:rsidP="00FF6FE5">
      <w:pPr>
        <w:pStyle w:val="Text"/>
        <w:rPr>
          <w:sz w:val="22"/>
        </w:rPr>
      </w:pPr>
      <w:r>
        <w:rPr>
          <w:sz w:val="22"/>
        </w:rPr>
        <w:t xml:space="preserve">§ 312k BGB v návrhu znenia má za cieľ rozšíriť možnosti spotrebiteľa na ukončenie zmluvy, ale nie obmedziť ani vylúčiť predloženie oznámení o ukončení zmluvy inými prostriedkami.</w:t>
      </w:r>
      <w:r>
        <w:rPr>
          <w:sz w:val="22"/>
        </w:rPr>
        <w:t xml:space="preserve"> </w:t>
      </w:r>
      <w:r>
        <w:rPr>
          <w:sz w:val="22"/>
        </w:rPr>
        <w:t xml:space="preserve">Predovšetkým dohoda prostredníctvom vopred formulovaných zmluvných podmienok, ktorú môže spotrebiteľ ukončiť len prostredníctvom tlačidla, ktoré má byť k dispozícii v súlade s § 312k BGB v návrhu znenia, zostáva neúčinná v súlade s § 309 ods. 13 písm. c) nemeckého Občianskeho zákonníka (BGB).</w:t>
      </w:r>
    </w:p>
    <w:p w14:paraId="31DAAE9B" w14:textId="75A60568" w:rsidR="00D663F5" w:rsidRDefault="0020302D" w:rsidP="00FF6FE5">
      <w:pPr>
        <w:pStyle w:val="Text"/>
        <w:rPr>
          <w:sz w:val="22"/>
        </w:rPr>
      </w:pPr>
      <w:r>
        <w:rPr>
          <w:sz w:val="22"/>
        </w:rPr>
        <w:t xml:space="preserve">V § 312k ods. 1 druhej vete bode 2 BGB v návrhu znenia sa stanovuje, že spoločnosti sú oslobodené od povinností podľa § 312k BGB v návrhu znenia, ak sa webová stránka týka finančných služieb, alebo dotknuté zmluvy sú zmluvami o finančných službách.</w:t>
      </w:r>
      <w:r>
        <w:rPr>
          <w:sz w:val="22"/>
        </w:rPr>
        <w:t xml:space="preserve"> </w:t>
      </w:r>
      <w:r>
        <w:rPr>
          <w:sz w:val="22"/>
        </w:rPr>
        <w:t xml:space="preserve">Vzorom tohto ustanovenia je § 312j ods. 5 druhá veta BGB; pojem „finančné služby“ je právne vymedzený v § 312 BGB ods. 5 prvej vete.</w:t>
      </w:r>
    </w:p>
    <w:p w14:paraId="1029C765" w14:textId="77777777" w:rsidR="00157A5E" w:rsidRPr="00623468" w:rsidRDefault="00157A5E" w:rsidP="00157A5E">
      <w:pPr>
        <w:pStyle w:val="Text"/>
        <w:spacing w:before="120" w:after="120"/>
        <w:rPr>
          <w:b/>
          <w:sz w:val="22"/>
          <w:rFonts w:ascii="Arial" w:hAnsi="Arial" w:cs="Arial"/>
        </w:rPr>
      </w:pPr>
      <w:r>
        <w:rPr>
          <w:b/>
          <w:sz w:val="22"/>
          <w:rFonts w:ascii="Arial" w:hAnsi="Arial"/>
        </w:rPr>
        <w:t xml:space="preserve">K § 312k ods. 2 BGB-E:</w:t>
      </w:r>
    </w:p>
    <w:p w14:paraId="2DD32C42" w14:textId="0A95DE40" w:rsidR="006F0DAE" w:rsidRDefault="006F0DAE" w:rsidP="006F0DAE">
      <w:pPr>
        <w:pStyle w:val="Text"/>
        <w:rPr>
          <w:sz w:val="22"/>
        </w:rPr>
      </w:pPr>
      <w:r>
        <w:rPr>
          <w:sz w:val="22"/>
        </w:rPr>
        <w:t xml:space="preserve">§ 312k ods. 2 nemeckého Občianskeho zákonníka (BGB) v návrhu špecifikuje povinnosť spoločnosti a stanovuje dvojstupňový postup na predloženie oznámenia o ukončení zmluvy.</w:t>
      </w:r>
    </w:p>
    <w:p w14:paraId="180E6231" w14:textId="20BA4C93" w:rsidR="006257ED" w:rsidRDefault="006257ED" w:rsidP="006257ED">
      <w:pPr>
        <w:pStyle w:val="Text"/>
        <w:rPr>
          <w:sz w:val="22"/>
        </w:rPr>
      </w:pPr>
      <w:r>
        <w:rPr>
          <w:sz w:val="22"/>
        </w:rPr>
        <w:t xml:space="preserve">§ 312k ods. 2 prvá veta nemeckého Občianskeho zákonníka (BGB) v návrhu znenia obmedzuje povinnosť spoločnosti na riadne a mimoriadne ukončenie zmluvy v súlade s § 312k BGB v návrhu znenia.</w:t>
      </w:r>
      <w:r>
        <w:rPr>
          <w:sz w:val="22"/>
        </w:rPr>
        <w:t xml:space="preserve"> </w:t>
      </w:r>
      <w:r>
        <w:rPr>
          <w:sz w:val="22"/>
        </w:rPr>
        <w:t xml:space="preserve">Toto nariadenie sa nevzťahuje na záručné listy a iné práva na ukončenie trvalých záväzkových vzťahov (vrátane odstúpenia a ukončenia zmluvy z dôvodu neposkytnutia, chyby alebo nepriaznivej úpravy digitálnych produktov v súlade s návrhom zákona, ktorým sa vykonáva smernica o určitých zmluvných aspektoch poskytovania digitálneho obsahu a digitálnych služieb – dokument Spolkovej rady 60/21).</w:t>
      </w:r>
    </w:p>
    <w:p w14:paraId="7AD9A1FA" w14:textId="77777777" w:rsidR="006257ED" w:rsidRDefault="006257ED" w:rsidP="006257ED">
      <w:pPr>
        <w:pStyle w:val="Text"/>
        <w:rPr>
          <w:sz w:val="22"/>
        </w:rPr>
      </w:pPr>
      <w:r>
        <w:rPr>
          <w:sz w:val="22"/>
        </w:rPr>
        <w:t xml:space="preserve">Rozsah pôsobnosti sa nevzťahuje na ukončenia zmlúv ustanovujúcich zákonné práva, pretože nie sú uzatvorené v elektronickom obchode.</w:t>
      </w:r>
      <w:r>
        <w:rPr>
          <w:sz w:val="22"/>
        </w:rPr>
        <w:t xml:space="preserve"> </w:t>
      </w:r>
      <w:r>
        <w:rPr>
          <w:sz w:val="22"/>
        </w:rPr>
        <w:t xml:space="preserve">Hoci hypotéky alebo služby môžu byť formálne ukončené, nepredstavujú zmluvy o elektronickom obchode medzi spoločnosťami a spotrebiteľmi.</w:t>
      </w:r>
    </w:p>
    <w:p w14:paraId="0A27EC29" w14:textId="7090A24C" w:rsidR="006257ED" w:rsidRDefault="006257ED" w:rsidP="006257ED">
      <w:pPr>
        <w:pStyle w:val="Text"/>
        <w:rPr>
          <w:sz w:val="22"/>
        </w:rPr>
      </w:pPr>
      <w:r>
        <w:rPr>
          <w:sz w:val="22"/>
        </w:rPr>
        <w:t xml:space="preserve">Pokiaľ ide o odôvodnenie povinnosti spoločnosti, povinnosť nezávisí od toho, či bola zmluva, ktorá má byť oznámená, uzatvorená aj v elektronickom obchode.</w:t>
      </w:r>
      <w:r>
        <w:rPr>
          <w:sz w:val="22"/>
        </w:rPr>
        <w:t xml:space="preserve"> </w:t>
      </w:r>
      <w:r>
        <w:rPr>
          <w:sz w:val="22"/>
        </w:rPr>
        <w:t xml:space="preserve">Je skôr podstatné, či spoločnosť umožňuje uzatvárať elektronický obchod v čase ukončenia zmluvy.</w:t>
      </w:r>
    </w:p>
    <w:p w14:paraId="327BEF9A" w14:textId="482C4A2C" w:rsidR="006257ED" w:rsidRDefault="006257ED" w:rsidP="006F0DAE">
      <w:pPr>
        <w:pStyle w:val="Text"/>
        <w:rPr>
          <w:sz w:val="22"/>
        </w:rPr>
      </w:pPr>
      <w:r>
        <w:rPr>
          <w:sz w:val="22"/>
        </w:rPr>
        <w:t xml:space="preserve">Povinnosť spoločnosti je nezávislá od toho, do akej miery má spotrebiteľ v jednotlivých prípadoch právo na ukončenie zmluvy.</w:t>
      </w:r>
      <w:r>
        <w:rPr>
          <w:sz w:val="22"/>
        </w:rPr>
        <w:t xml:space="preserve"> </w:t>
      </w:r>
      <w:r>
        <w:rPr>
          <w:sz w:val="22"/>
        </w:rPr>
        <w:t xml:space="preserve">Tlačidlo je určené len na vytvorenie ďalšej možnosti vyhlásiť ukončenie zo strany spotrebiteľa.</w:t>
      </w:r>
      <w:r>
        <w:rPr>
          <w:sz w:val="22"/>
        </w:rPr>
        <w:t xml:space="preserve"> </w:t>
      </w:r>
      <w:r>
        <w:rPr>
          <w:sz w:val="22"/>
        </w:rPr>
        <w:t xml:space="preserve">Hmotné právo spotrebiteľa na ukončenie nie je požiadavkou na použitie tlačidla podľa § 312k BGB v návrhu znenia.</w:t>
      </w:r>
    </w:p>
    <w:p w14:paraId="1955AD28" w14:textId="3F43B095" w:rsidR="006F0DAE" w:rsidRDefault="006F0DAE" w:rsidP="006F0DAE">
      <w:pPr>
        <w:pStyle w:val="Text"/>
        <w:rPr>
          <w:sz w:val="22"/>
        </w:rPr>
      </w:pPr>
      <w:r>
        <w:rPr>
          <w:sz w:val="22"/>
        </w:rPr>
        <w:t xml:space="preserve">Podľa § 312k ods. 2 druhej vety nemeckého Občianskeho zákonníka (BGB) v návrhu znenia musí spoločnosť najprv uviesť tlačidlo označené slovami „zrušiť zmluvy tu“, ktoré privedie spotrebiteľa na inú stránku s názvom „potvrdzovacia stránka“.</w:t>
      </w:r>
      <w:r>
        <w:rPr>
          <w:sz w:val="22"/>
        </w:rPr>
        <w:t xml:space="preserve"> </w:t>
      </w:r>
      <w:r>
        <w:rPr>
          <w:sz w:val="22"/>
        </w:rPr>
        <w:t xml:space="preserve">Iné označenia ako „zrušenie zmlúv“ sú povolené len vtedy, ak sú rovnako jasné.</w:t>
      </w:r>
      <w:r>
        <w:rPr>
          <w:sz w:val="22"/>
        </w:rPr>
        <w:t xml:space="preserve"> </w:t>
      </w:r>
      <w:r>
        <w:rPr>
          <w:sz w:val="22"/>
        </w:rPr>
        <w:t xml:space="preserve">Je potrebné poznamenať, že v prípade potreby musí byť tiež z iného označenia jasné, že tlačidlo ukončenia ešte nie je vyhlásením, ale len začatím procesu ukončenia.</w:t>
      </w:r>
      <w:r>
        <w:rPr>
          <w:sz w:val="22"/>
        </w:rPr>
        <w:t xml:space="preserve"> </w:t>
      </w:r>
      <w:r>
        <w:rPr>
          <w:sz w:val="22"/>
        </w:rPr>
        <w:t xml:space="preserve">V každom prípade je cieľom znenia objasniť spotrebiteľom, že stlačením tlačidla môžu poskytnúť ďalšie informácie pred predložením vyhlásenia o ukončení zmluvy.</w:t>
      </w:r>
    </w:p>
    <w:p w14:paraId="33C9D851" w14:textId="2B1CF4CC" w:rsidR="00035D26" w:rsidRDefault="00AF7B14" w:rsidP="006F0DAE">
      <w:pPr>
        <w:pStyle w:val="Text"/>
        <w:rPr>
          <w:sz w:val="22"/>
        </w:rPr>
      </w:pPr>
      <w:r>
        <w:rPr>
          <w:sz w:val="22"/>
        </w:rPr>
        <w:t xml:space="preserve">Na to, aby sa zmluva mohla ukončiť oznámením o ukončení zmluvy, musí byť navrhnuté tak, aby príjemca mohol rozpoznať, kto vyhlasuje ukončenie zmluvy a ktorá zmluva sa má ukončiť.</w:t>
      </w:r>
      <w:r>
        <w:rPr>
          <w:sz w:val="22"/>
        </w:rPr>
        <w:t xml:space="preserve"> </w:t>
      </w:r>
      <w:r>
        <w:rPr>
          <w:sz w:val="22"/>
        </w:rPr>
        <w:t xml:space="preserve">Potvrdzovacia stránka musí preto od spotrebiteľa požadovať, aby zadal potrebné informácie, v súlade s § 312k ods. 2 treťou vetou bodom 1 písm. a) až e) BGB v návrhu znenia, a umožnila mu tak urobiť.</w:t>
      </w:r>
      <w:r>
        <w:rPr>
          <w:sz w:val="22"/>
        </w:rPr>
        <w:t xml:space="preserve"> </w:t>
      </w:r>
      <w:r>
        <w:rPr>
          <w:sz w:val="22"/>
        </w:rPr>
        <w:t xml:space="preserve">Na tento účel by spotrebiteľ mal byť najprv schopný uviesť charakter ukončenia zmluvy a v prípade mimoriadneho ukončenia zmluvy uviesť základný dôvod ukončenia zmluvy (písmeno a).</w:t>
      </w:r>
      <w:r>
        <w:rPr>
          <w:sz w:val="22"/>
        </w:rPr>
        <w:t xml:space="preserve"> </w:t>
      </w:r>
      <w:r>
        <w:rPr>
          <w:sz w:val="22"/>
        </w:rPr>
        <w:t xml:space="preserve">Okrem toho musí byť spotrebiteľ schopný poskytnúť informácie potrebné na jeho identifikáciu (písmeno b) a na jednoznačný opis zmluvy (písmeno c).</w:t>
      </w:r>
      <w:r>
        <w:rPr>
          <w:sz w:val="22"/>
        </w:rPr>
        <w:t xml:space="preserve"> </w:t>
      </w:r>
      <w:r>
        <w:rPr>
          <w:sz w:val="22"/>
        </w:rPr>
        <w:t xml:space="preserve">Zvyčajne môže byť potrebné meno a adresa na identifikáciu.</w:t>
      </w:r>
      <w:r>
        <w:rPr>
          <w:sz w:val="22"/>
        </w:rPr>
        <w:t xml:space="preserve"> </w:t>
      </w:r>
      <w:r>
        <w:rPr>
          <w:sz w:val="22"/>
        </w:rPr>
        <w:t xml:space="preserve">Na určenie zmluvy môže spoločnosť požadovať číslo zákazníka, objednávky alebo zmluvy.</w:t>
      </w:r>
      <w:r>
        <w:rPr>
          <w:sz w:val="22"/>
        </w:rPr>
        <w:t xml:space="preserve"> </w:t>
      </w:r>
      <w:r>
        <w:rPr>
          <w:sz w:val="22"/>
        </w:rPr>
        <w:t xml:space="preserve">V súlade s písmenom d) by mal mať spotrebiteľ tiež možnosť uviesť dátum nadobudnutia účinnosti ukončenia zmluvy.</w:t>
      </w:r>
      <w:r>
        <w:rPr>
          <w:sz w:val="22"/>
        </w:rPr>
        <w:t xml:space="preserve"> </w:t>
      </w:r>
      <w:r>
        <w:rPr>
          <w:sz w:val="22"/>
        </w:rPr>
        <w:t xml:space="preserve">To sa však nemusí vyžadovať ako povinné, bez čoho nie je možné vyhlásiť ukončenie prostredníctvom webovej stránky.</w:t>
      </w:r>
      <w:r>
        <w:rPr>
          <w:sz w:val="22"/>
        </w:rPr>
        <w:t xml:space="preserve"> </w:t>
      </w:r>
      <w:r>
        <w:rPr>
          <w:sz w:val="22"/>
        </w:rPr>
        <w:t xml:space="preserve">To už vyplýva z § 312k ods. 5 nemeckého Občianskeho zákonníka (BGB) v návrhu znenia, podľa ktorého oznámenie o ukončení zmluvy nadobúda účinnosť v najskoršom možnom čase, keď nie je uvedený dátum ukončenia.</w:t>
      </w:r>
      <w:r>
        <w:rPr>
          <w:sz w:val="22"/>
        </w:rPr>
        <w:t xml:space="preserve"> </w:t>
      </w:r>
      <w:r>
        <w:rPr>
          <w:sz w:val="22"/>
        </w:rPr>
        <w:t xml:space="preserve">V tejto súvislosti by sa malo umožniť označenie „čo najskôr“ alebo podobné znenie, ktoré vyjadruje zodpovedajúce želanie ukončiť zmluvu v čo najkratšom čase, spolu s možnosťou zadania konkrétneho dátumu.</w:t>
      </w:r>
      <w:r>
        <w:rPr>
          <w:sz w:val="22"/>
        </w:rPr>
        <w:t xml:space="preserve"> </w:t>
      </w:r>
      <w:r>
        <w:rPr>
          <w:sz w:val="22"/>
        </w:rPr>
        <w:t xml:space="preserve">Okrem toho musí byť spotrebiteľ podľa písmena e) schopný poskytnúť spoločnosti informácie, ktoré umožnia spoločnosti zaslať spotrebiteľovi potvrdenie o ukončení zmluvy v súlade s § 312k ods. 4 prvou vetou nemeckého Občianskeho zákonníka v návrhu znenia (zvyčajne e-mailová adresa).</w:t>
      </w:r>
    </w:p>
    <w:p w14:paraId="6FC5D772" w14:textId="10CA55D4" w:rsidR="00AF7B14" w:rsidRDefault="00BF30DD" w:rsidP="006F0DAE">
      <w:pPr>
        <w:pStyle w:val="Text"/>
        <w:rPr>
          <w:sz w:val="22"/>
        </w:rPr>
      </w:pPr>
      <w:r>
        <w:rPr>
          <w:sz w:val="22"/>
        </w:rPr>
        <w:t xml:space="preserve">§ 312k ods. 2 tretia veta bod 1 nemeckého Občianskeho zákonníka (BGB) v návrhu znenia teda zabezpečuje, aby spotrebiteľ mohol poskytnúť informácie potrebné na dostatočne presné spresnenie vyhlásenia o ukončení zmluvy, najmä pokiaľ ide o zmluvu, ktorá sa má ukončiť.</w:t>
      </w:r>
      <w:r>
        <w:rPr>
          <w:sz w:val="22"/>
        </w:rPr>
        <w:t xml:space="preserve"> </w:t>
      </w:r>
      <w:r>
        <w:rPr>
          <w:sz w:val="22"/>
        </w:rPr>
        <w:t xml:space="preserve">Cieľom obmedzenia požadovaných informácií je zabrániť nastaveniam na potvrdzovacej stránke, aby spoločnosť mohla žiadať o ďalšie údaje, ktoré nie sú spotrebiteľovi ľahko dostupné a tiež nie sú potrebné na nespochybniteľné priradenie, čo sťažuje ukončenie jednoduchým a nekomplikovaným spôsobom.</w:t>
      </w:r>
      <w:r>
        <w:rPr>
          <w:sz w:val="22"/>
        </w:rPr>
        <w:t xml:space="preserve"> </w:t>
      </w:r>
      <w:r>
        <w:rPr>
          <w:sz w:val="22"/>
        </w:rPr>
        <w:t xml:space="preserve">Konzultácie by zároveň mali byť v súlade so zásadou minimalizácie údajov stanovenou v článku 5 ods. 1 písm. c) nariadenia Európskeho parlamentu a Rady (EÚ) 2016/679 z 27. apríla 2016 o ochrane fyzických osôb pri spracúvaní osobných údajov a o voľnom pohybe takýchto údajov, ktorým sa zrušuje smernica 95/46/ES.</w:t>
      </w:r>
    </w:p>
    <w:p w14:paraId="52C9326B" w14:textId="5C0D9C17" w:rsidR="009F726F" w:rsidRPr="006F0DAE" w:rsidRDefault="00060631" w:rsidP="009F726F">
      <w:pPr>
        <w:pStyle w:val="Text"/>
        <w:rPr>
          <w:sz w:val="22"/>
        </w:rPr>
      </w:pPr>
      <w:r>
        <w:rPr>
          <w:sz w:val="22"/>
        </w:rPr>
        <w:t xml:space="preserve">Podľa § 312k ods. 2 tretej vety bodu 2 BGB v návrhu znenia sa musí na potvrdzovacej stránke nachádzať tlačidlo s názvom „potvrdzovacie tlačidlo“, prostredníctvom ktorého môže spotrebiteľ predložiť vyhlásenie o ukončení zmluvy.</w:t>
      </w:r>
      <w:r>
        <w:rPr>
          <w:sz w:val="22"/>
        </w:rPr>
        <w:t xml:space="preserve"> </w:t>
      </w:r>
      <w:r>
        <w:rPr>
          <w:sz w:val="22"/>
        </w:rPr>
        <w:t xml:space="preserve">Toto potvrdzovacie tlačidlo musí byť označené slovami „zrušiť teraz“.</w:t>
      </w:r>
      <w:r>
        <w:rPr>
          <w:sz w:val="22"/>
        </w:rPr>
        <w:t xml:space="preserve"> </w:t>
      </w:r>
      <w:r>
        <w:rPr>
          <w:sz w:val="22"/>
        </w:rPr>
        <w:t xml:space="preserve">Ostatné označenia sú povolené len vtedy, ak sú rovnako jednoznačné.</w:t>
      </w:r>
    </w:p>
    <w:p w14:paraId="2785EC0B" w14:textId="576F478D" w:rsidR="00285780" w:rsidRDefault="006F0DAE" w:rsidP="00285780">
      <w:pPr>
        <w:pStyle w:val="Text"/>
        <w:rPr>
          <w:sz w:val="22"/>
        </w:rPr>
      </w:pPr>
      <w:r>
        <w:rPr>
          <w:sz w:val="22"/>
        </w:rPr>
        <w:t xml:space="preserve">Tieto dve tlačidlá a potvrdzovacia stránka musia byť „trvalo dostupné a priamo a ľahko prístupné“ v súlade s § 312k ods. 2 štvrtou vetou nemeckého Občianskeho zákonníka v návrhu znenia .</w:t>
      </w:r>
      <w:r>
        <w:rPr>
          <w:sz w:val="22"/>
        </w:rPr>
        <w:t xml:space="preserve"> </w:t>
      </w:r>
      <w:r>
        <w:rPr>
          <w:sz w:val="22"/>
        </w:rPr>
        <w:t xml:space="preserve">Pokiaľ ide o požiadavku „trvalo dostupné“, toto nariadenie je založené na príslušnej požiadavke uvedenej v § 5 ods. 1 zákona o telemédiách.</w:t>
      </w:r>
      <w:r>
        <w:rPr>
          <w:sz w:val="22"/>
        </w:rPr>
        <w:t xml:space="preserve"> </w:t>
      </w:r>
      <w:r>
        <w:rPr>
          <w:sz w:val="22"/>
        </w:rPr>
        <w:t xml:space="preserve">Spotrebitelia preto musia mať možnosť prístupu k týmto dvom tlačidlám a potvrdzovacej stránke kedykoľvek a bez toho, aby sa najprv museli zaregistrovať na webovej stránke na tento účel.</w:t>
      </w:r>
      <w:r>
        <w:rPr>
          <w:sz w:val="22"/>
        </w:rPr>
        <w:t xml:space="preserve"> </w:t>
      </w:r>
      <w:r>
        <w:rPr>
          <w:sz w:val="22"/>
        </w:rPr>
        <w:t xml:space="preserve">Na druhej strane je dočasná technická nedostupnosť z dôvodu údržby neškodná (pozri rozsudok vyššieho regionálneho súdu v Düsseldorfe zo 4. novembra 2008, číslo spisu:</w:t>
      </w:r>
      <w:r>
        <w:rPr>
          <w:sz w:val="22"/>
        </w:rPr>
        <w:t xml:space="preserve"> </w:t>
      </w:r>
      <w:r>
        <w:rPr>
          <w:sz w:val="22"/>
        </w:rPr>
        <w:t xml:space="preserve">I-20 U 125/08).</w:t>
      </w:r>
      <w:r>
        <w:rPr>
          <w:sz w:val="22"/>
        </w:rPr>
        <w:t xml:space="preserve"> </w:t>
      </w:r>
      <w:r>
        <w:rPr>
          <w:sz w:val="22"/>
        </w:rPr>
        <w:t xml:space="preserve">Požiadavka „priamo a ľahko prístupné“ vychádza z článku 246d ods. 2 bodu 2 úvodného zákona Občianskeho zákonníka (EGBGB) v znení návrhu zákona, ktorým sa vykonáva smernica o modernizácii; odkazuje sa na príslušné vysvetlenia (dokument Spolkovej rady 61/21, strana 37 f.).</w:t>
      </w:r>
    </w:p>
    <w:p w14:paraId="584AC89F" w14:textId="77777777" w:rsidR="00306B62" w:rsidRDefault="00306B62" w:rsidP="006F0DAE">
      <w:pPr>
        <w:pStyle w:val="Text"/>
        <w:rPr>
          <w:b/>
          <w:sz w:val="22"/>
          <w:rFonts w:ascii="Arial" w:hAnsi="Arial" w:cs="Arial"/>
        </w:rPr>
      </w:pPr>
      <w:r>
        <w:rPr>
          <w:b/>
          <w:sz w:val="22"/>
          <w:rFonts w:ascii="Arial" w:hAnsi="Arial"/>
        </w:rPr>
        <w:t xml:space="preserve">K § 312k ods. 3 BGB-E:</w:t>
      </w:r>
    </w:p>
    <w:p w14:paraId="0F548D72" w14:textId="7AAA2D18" w:rsidR="00D528F9" w:rsidRPr="006F0DAE" w:rsidRDefault="00D528F9" w:rsidP="006F0DAE">
      <w:pPr>
        <w:pStyle w:val="Text"/>
        <w:rPr>
          <w:sz w:val="22"/>
        </w:rPr>
      </w:pPr>
      <w:r>
        <w:rPr>
          <w:sz w:val="22"/>
        </w:rPr>
        <w:t xml:space="preserve">Cieľom § 312k ods. 3 nemeckého Občianskeho zákonníka (BGB) v návrhu znenia je zabezpečiť, aby spotrebiteľ mohol zdokumentovať oznámenie o ukončení zmluvy.</w:t>
      </w:r>
      <w:r>
        <w:rPr>
          <w:sz w:val="22"/>
        </w:rPr>
        <w:t xml:space="preserve"> </w:t>
      </w:r>
      <w:r>
        <w:rPr>
          <w:sz w:val="22"/>
        </w:rPr>
        <w:t xml:space="preserve">To sa môže realizovať napríklad prostredníctvom stiahnuteľného zhrnutia obsahu vyhlásenia o ukončení predloženého prostredníctvom tlačidla ukončenia, ktoré dokumentuje najmä dátum a čas stlačenia tlačidla.</w:t>
      </w:r>
      <w:r>
        <w:rPr>
          <w:sz w:val="22"/>
        </w:rPr>
        <w:t xml:space="preserve"> </w:t>
      </w:r>
      <w:r>
        <w:rPr>
          <w:sz w:val="22"/>
        </w:rPr>
        <w:t xml:space="preserve">Táto dokumentácia zaručuje možnosť uloženia vyhlásenia spotrebiteľa, ako sa ustanovuje § 126b druhej vete bode 1 BGB.</w:t>
      </w:r>
    </w:p>
    <w:p w14:paraId="5BEA629B" w14:textId="77777777" w:rsidR="00306B62" w:rsidRPr="00C50448" w:rsidRDefault="00306B62" w:rsidP="00306B62">
      <w:pPr>
        <w:pStyle w:val="Text"/>
        <w:spacing w:before="120" w:after="120"/>
        <w:rPr>
          <w:b/>
          <w:sz w:val="22"/>
          <w:rFonts w:ascii="Arial" w:hAnsi="Arial" w:cs="Arial"/>
        </w:rPr>
      </w:pPr>
      <w:r>
        <w:rPr>
          <w:b/>
          <w:sz w:val="22"/>
          <w:rFonts w:ascii="Arial" w:hAnsi="Arial"/>
        </w:rPr>
        <w:t xml:space="preserve">K § 312k ods. 4 BGB-E:</w:t>
      </w:r>
    </w:p>
    <w:p w14:paraId="0BB31C68" w14:textId="009FC109" w:rsidR="00956726" w:rsidRDefault="00956726" w:rsidP="00DA2D64">
      <w:pPr>
        <w:pStyle w:val="Text"/>
        <w:spacing w:before="120" w:after="120"/>
        <w:rPr>
          <w:sz w:val="22"/>
        </w:rPr>
      </w:pPr>
      <w:r>
        <w:rPr>
          <w:sz w:val="22"/>
        </w:rPr>
        <w:t xml:space="preserve">Povinnosť spoločnosti potvrdiť v súlade s § 312k ods. 4 prvou vetou BGB v návrhu znenia sa týka prijatia vyhlásenia o ukončení zo strany spoločnosti.</w:t>
      </w:r>
      <w:r>
        <w:rPr>
          <w:sz w:val="22"/>
        </w:rPr>
        <w:t xml:space="preserve"> </w:t>
      </w:r>
      <w:r>
        <w:rPr>
          <w:sz w:val="22"/>
        </w:rPr>
        <w:t xml:space="preserve">Okamžité potvrdenie v textovej forme v elektronickom obchode môže byť automatizované.</w:t>
      </w:r>
    </w:p>
    <w:p w14:paraId="71556E49" w14:textId="6DB1B010" w:rsidR="00623468" w:rsidRPr="006F0DAE" w:rsidRDefault="00D00DD2" w:rsidP="006F0DAE">
      <w:pPr>
        <w:pStyle w:val="Text"/>
        <w:rPr>
          <w:sz w:val="22"/>
        </w:rPr>
      </w:pPr>
      <w:r>
        <w:rPr>
          <w:sz w:val="22"/>
        </w:rPr>
        <w:t xml:space="preserve">Protichodná domnienka uvedená v § 312k ods. 4 druhej vete nemeckého Občianskeho zákonníka (BGB) v návrhu znenia má za cieľ zabezpečiť spotrebiteľovi, ktorý nemá prehľad o technických procesoch súvisiacich s odoslaním oznámenia o ukončení zmluvy, dôkazy týkajúce sa prijatia oznámenia o ukončení zmluvy zo strany spoločnosti.</w:t>
      </w:r>
    </w:p>
    <w:p w14:paraId="1B056C12" w14:textId="77777777" w:rsidR="00306B62" w:rsidRPr="00C50448" w:rsidRDefault="00306B62" w:rsidP="00306B62">
      <w:pPr>
        <w:pStyle w:val="Text"/>
        <w:spacing w:before="120" w:after="120"/>
        <w:rPr>
          <w:b/>
          <w:sz w:val="22"/>
          <w:rFonts w:ascii="Arial" w:hAnsi="Arial" w:cs="Arial"/>
        </w:rPr>
      </w:pPr>
      <w:r>
        <w:rPr>
          <w:b/>
          <w:sz w:val="22"/>
          <w:rFonts w:ascii="Arial" w:hAnsi="Arial"/>
        </w:rPr>
        <w:t xml:space="preserve">K § 312k ods. 5 BGB-E:</w:t>
      </w:r>
    </w:p>
    <w:p w14:paraId="2028DFF1" w14:textId="02BEE66D" w:rsidR="009B3F4B" w:rsidRDefault="00D528F9" w:rsidP="006F0DAE">
      <w:pPr>
        <w:pStyle w:val="Text"/>
        <w:rPr>
          <w:sz w:val="22"/>
        </w:rPr>
      </w:pPr>
      <w:r>
        <w:rPr>
          <w:sz w:val="22"/>
        </w:rPr>
        <w:t xml:space="preserve">Cieľom § 312k ods, 5 nemeckého Občianskeho zákonníka (BGB) v návrhu znenia je zabezpečiť, aby v prípade, že spotrebiteľ neposkytne žiadne ďalšie informácie, bolo ukončenie účinné v čo najskoršom čase.</w:t>
      </w:r>
      <w:r>
        <w:rPr>
          <w:sz w:val="22"/>
        </w:rPr>
        <w:t xml:space="preserve"> </w:t>
      </w:r>
      <w:r>
        <w:rPr>
          <w:sz w:val="22"/>
        </w:rPr>
        <w:t xml:space="preserve">Spotrebitelia a spoločnosti však môžu zabezpečiť, aby o tom neboli žiadne pochybnosti prostredníctvom príslušných vyhlásení alebo požiadavkou na uvedenie času ukončenia zmluvy.</w:t>
      </w:r>
    </w:p>
    <w:p w14:paraId="326A689B" w14:textId="6FD0D69C" w:rsidR="00306B62" w:rsidRDefault="00306B62" w:rsidP="00DA2D64">
      <w:pPr>
        <w:pStyle w:val="Text"/>
        <w:spacing w:before="120" w:after="120"/>
        <w:rPr>
          <w:b/>
          <w:sz w:val="22"/>
          <w:rFonts w:ascii="Arial" w:hAnsi="Arial" w:cs="Arial"/>
        </w:rPr>
      </w:pPr>
      <w:r>
        <w:rPr>
          <w:b/>
          <w:sz w:val="22"/>
          <w:rFonts w:ascii="Arial" w:hAnsi="Arial"/>
        </w:rPr>
        <w:t xml:space="preserve">K § 312k ods. 6 BGB-E:</w:t>
      </w:r>
    </w:p>
    <w:p w14:paraId="231F3872" w14:textId="6E37B134" w:rsidR="00481CA0" w:rsidRDefault="000C76EB" w:rsidP="006F0DAE">
      <w:pPr>
        <w:pStyle w:val="Text"/>
        <w:rPr>
          <w:sz w:val="22"/>
        </w:rPr>
      </w:pPr>
      <w:r>
        <w:rPr>
          <w:sz w:val="22"/>
        </w:rPr>
        <w:t xml:space="preserve">§ 312k ods. 6 v návrhu znenia obsahuje v tomto prípade normu pre sankcie.</w:t>
      </w:r>
      <w:r>
        <w:rPr>
          <w:sz w:val="22"/>
        </w:rPr>
        <w:t xml:space="preserve"> </w:t>
      </w:r>
      <w:r>
        <w:rPr>
          <w:sz w:val="22"/>
        </w:rPr>
        <w:t xml:space="preserve">Ak sa tlačidlá a potvrdzujúca stránka nesprístupnia v súlade s odsekmi 1 a 2, spotrebiteľ môže ukončiť zmluvu, pre ktorej ukončenie musia byť tieto tlačidlá k dispozícii, kedykoľvek a bez dodržania výpovednej lehoty.</w:t>
      </w:r>
      <w:r>
        <w:rPr>
          <w:sz w:val="22"/>
        </w:rPr>
        <w:t xml:space="preserve"> </w:t>
      </w:r>
      <w:r>
        <w:rPr>
          <w:sz w:val="22"/>
        </w:rPr>
        <w:t xml:space="preserve">Spoločnosti, ktoré neprijali opatrenia uvedené v § 312k ods. 1 a 2 BGB v návrhu znenia, musia spotrebiteľovi umožniť zodpovedajúcim spôsobom ukončiť zmluvný vzťah voči nim.</w:t>
      </w:r>
      <w:r>
        <w:rPr>
          <w:sz w:val="22"/>
        </w:rPr>
        <w:t xml:space="preserve"> </w:t>
      </w:r>
      <w:r>
        <w:rPr>
          <w:sz w:val="22"/>
        </w:rPr>
        <w:t xml:space="preserve">Miernejšia forma sankcií sa nezdá byť účinná rovnakým spôsobom.</w:t>
      </w:r>
      <w:r>
        <w:rPr>
          <w:sz w:val="22"/>
        </w:rPr>
        <w:t xml:space="preserve"> </w:t>
      </w:r>
      <w:r>
        <w:rPr>
          <w:sz w:val="22"/>
        </w:rPr>
        <w:t xml:space="preserve">Ak, v prípade § 312j ods. 3 BGB, má spoločnosť motiváciu poskytnúť tu uvedené tlačidlo na potvrdenie uzavretia zmluvy, pretože inak zmluva so spotrebiteľom nenadobudne účinnosť podľa § 312j ods.4 BGB, v opačnom prípade pri ukončení zmluvy takýto stimul chýba.</w:t>
      </w:r>
      <w:r>
        <w:rPr>
          <w:sz w:val="22"/>
        </w:rPr>
        <w:t xml:space="preserve"> </w:t>
      </w:r>
      <w:r>
        <w:rPr>
          <w:sz w:val="22"/>
        </w:rPr>
        <w:t xml:space="preserve">Preto by spoločnosť, ktorá spotrebiteľovi berie jednoduchú a nekomplikovanú možnosť ukončenia zmluvy ustanovenú zákonom, mala byť sankcionovaná možnosťou spotrebiteľa ukončiť zmluvu kedykoľvek a bez dodržania výpovednej lehoty.</w:t>
      </w:r>
      <w:r>
        <w:rPr>
          <w:sz w:val="22"/>
        </w:rPr>
        <w:t xml:space="preserve"> </w:t>
      </w:r>
      <w:r>
        <w:rPr>
          <w:sz w:val="22"/>
        </w:rPr>
        <w:t xml:space="preserve">Krátkodobé technické prerušenia z dôvodu údržby sú neškodné vzhľadom na vysvetlenia v dôvodovej správe k § 312k ods. 2 štvrtej vete BGB v návrhu znenia.</w:t>
      </w:r>
    </w:p>
    <w:p w14:paraId="544C65C8" w14:textId="7048DB19" w:rsidR="00481CA0" w:rsidRDefault="00021C4F" w:rsidP="006F0DAE">
      <w:pPr>
        <w:pStyle w:val="Text"/>
        <w:rPr>
          <w:sz w:val="22"/>
        </w:rPr>
      </w:pPr>
      <w:r>
        <w:rPr>
          <w:sz w:val="22"/>
        </w:rPr>
        <w:t xml:space="preserve">Pre existenciu predpokladov uvedených v § 312k ods. 6 prvej vete nemeckého Občianskeho zákonníka (BGB) v návrhu znenia je spotrebiteľ povinný poskytnúť informácie a dôkazy.</w:t>
      </w:r>
    </w:p>
    <w:p w14:paraId="0861A407" w14:textId="595606B6" w:rsidR="00285780" w:rsidRPr="006F0DAE" w:rsidRDefault="001C5507" w:rsidP="006F0DAE">
      <w:pPr>
        <w:pStyle w:val="Text"/>
        <w:rPr>
          <w:sz w:val="22"/>
        </w:rPr>
      </w:pPr>
      <w:r>
        <w:rPr>
          <w:sz w:val="22"/>
        </w:rPr>
        <w:t xml:space="preserve">§ 312k ods. 6 druhá veta nemeckého Občianskeho zákonníka (BGB) objasňuje, že možnosť spotrebiteľa ukončiť zmluvu zostáva nedotknutá.</w:t>
      </w:r>
    </w:p>
    <w:p w14:paraId="24DE66E7" w14:textId="63FE02DC" w:rsidR="009B3F4B" w:rsidRPr="00416421" w:rsidRDefault="00910B03" w:rsidP="00FC63C3">
      <w:pPr>
        <w:pStyle w:val="Text"/>
        <w:spacing w:before="120" w:after="120"/>
        <w:rPr>
          <w:b/>
          <w:sz w:val="22"/>
          <w:rFonts w:ascii="Arial" w:hAnsi="Arial" w:cs="Arial"/>
        </w:rPr>
      </w:pPr>
      <w:r>
        <w:rPr>
          <w:b/>
          <w:sz w:val="22"/>
          <w:rFonts w:ascii="Arial" w:hAnsi="Arial"/>
        </w:rPr>
        <w:t xml:space="preserve">K článku 1 bodu 6</w:t>
      </w:r>
    </w:p>
    <w:p w14:paraId="031E74E7" w14:textId="1D6D2F7A" w:rsidR="00D528F9" w:rsidRDefault="00910B03" w:rsidP="00910B03">
      <w:pPr>
        <w:pStyle w:val="Text"/>
        <w:rPr>
          <w:sz w:val="22"/>
        </w:rPr>
      </w:pPr>
      <w:r>
        <w:rPr>
          <w:sz w:val="22"/>
        </w:rPr>
        <w:t xml:space="preserve">Vložením § 312k BGB v návrhu znenia sa v dôsledku následnej zmeny stáva § 312k, o ktorom sa predpokladá, že bude vložený v čase nadobudnutia účinnosti navrhovaného nariadenia, § 312l BGB, ako je opísané v dôvodovej správe k článku 1 ods. 4.</w:t>
      </w:r>
      <w:r>
        <w:rPr>
          <w:sz w:val="22"/>
        </w:rPr>
        <w:t xml:space="preserve"> </w:t>
      </w:r>
      <w:r>
        <w:rPr>
          <w:sz w:val="22"/>
        </w:rPr>
        <w:t xml:space="preserve">§ 312l BGB, o ktorom sa tiež predpokladá, že bude vložený s návrhom zákona, ktorým sa vykonáva smernica o modernizácii, sa tak stáva § 312m nemeckého Občianskeho zákonníka.</w:t>
      </w:r>
    </w:p>
    <w:p w14:paraId="217F3C46" w14:textId="1EA645AE" w:rsidR="009F2923" w:rsidRDefault="009F2923" w:rsidP="00DA2D64">
      <w:pPr>
        <w:pStyle w:val="Text"/>
        <w:spacing w:before="120" w:after="120"/>
        <w:rPr>
          <w:b/>
          <w:sz w:val="22"/>
          <w:rFonts w:ascii="Arial" w:hAnsi="Arial" w:cs="Arial"/>
        </w:rPr>
      </w:pPr>
      <w:r>
        <w:rPr>
          <w:b/>
          <w:sz w:val="22"/>
          <w:rFonts w:ascii="Arial" w:hAnsi="Arial"/>
        </w:rPr>
        <w:t xml:space="preserve">K písmenu b)</w:t>
      </w:r>
    </w:p>
    <w:p w14:paraId="6BCBE8EB" w14:textId="55DABD77" w:rsidR="000F009A" w:rsidRPr="000F009A" w:rsidRDefault="000F009A" w:rsidP="00DA2D64">
      <w:pPr>
        <w:pStyle w:val="Text"/>
        <w:spacing w:before="120" w:after="120"/>
        <w:rPr>
          <w:sz w:val="22"/>
        </w:rPr>
      </w:pPr>
      <w:r>
        <w:rPr>
          <w:sz w:val="22"/>
        </w:rPr>
        <w:t xml:space="preserve">Písmeno b) obsahuje následnú zmenu, pokiaľ ide o číslovanie článkov v návrhu zákona.</w:t>
      </w:r>
    </w:p>
    <w:p w14:paraId="6273D65D" w14:textId="0B9BE9D8" w:rsidR="00B56435" w:rsidRDefault="00B56435" w:rsidP="00DA2D64">
      <w:pPr>
        <w:pStyle w:val="Text"/>
        <w:spacing w:before="120" w:after="120"/>
        <w:rPr>
          <w:b/>
          <w:sz w:val="22"/>
          <w:rFonts w:ascii="Arial" w:hAnsi="Arial" w:cs="Arial"/>
        </w:rPr>
      </w:pPr>
      <w:r>
        <w:rPr>
          <w:b/>
          <w:sz w:val="22"/>
          <w:rFonts w:ascii="Arial" w:hAnsi="Arial"/>
        </w:rPr>
        <w:t xml:space="preserve">K bodu 3</w:t>
      </w:r>
    </w:p>
    <w:p w14:paraId="4A814002" w14:textId="6AF38C59" w:rsidR="00A7355E" w:rsidRDefault="000F009A" w:rsidP="000F009A">
      <w:pPr>
        <w:pStyle w:val="Text"/>
        <w:rPr>
          <w:sz w:val="22"/>
        </w:rPr>
      </w:pPr>
      <w:r>
        <w:rPr>
          <w:sz w:val="22"/>
        </w:rPr>
        <w:t xml:space="preserve">Následná zmena EGBGB sa zavádza bodom 3 prepracovaním článku 2 v návrhu zákona.</w:t>
      </w:r>
    </w:p>
    <w:p w14:paraId="51AC3A1B" w14:textId="150ECB80" w:rsidR="009F2923" w:rsidRDefault="00A7355E" w:rsidP="002E70FE">
      <w:pPr>
        <w:pStyle w:val="Text"/>
        <w:rPr>
          <w:b/>
          <w:sz w:val="22"/>
          <w:rFonts w:ascii="Arial" w:hAnsi="Arial" w:cs="Arial"/>
        </w:rPr>
      </w:pPr>
      <w:r>
        <w:rPr>
          <w:sz w:val="22"/>
        </w:rPr>
        <w:t xml:space="preserve">Očakáva sa, že návrh zákona, ktorým sa vykonáva smernica o modernizácii, zavedie do EGBGB nový článok 246e, ktorý v odseku 2 bode 10 návrhu znenia obsahuje odkaz na § 312k BGB, ako sa uvádza v dôvodovej správe k bodu 1 písm. a) (článok 1 bod 4).</w:t>
      </w:r>
      <w:r>
        <w:rPr>
          <w:sz w:val="22"/>
        </w:rPr>
        <w:t xml:space="preserve"> </w:t>
      </w:r>
      <w:r>
        <w:rPr>
          <w:sz w:val="22"/>
        </w:rPr>
        <w:t xml:space="preserve">Tento odkaz sa musí upraviť.</w:t>
      </w:r>
    </w:p>
    <w:p w14:paraId="03B474E7" w14:textId="4ACD06E1" w:rsidR="009F2923" w:rsidRPr="00DA2D64" w:rsidRDefault="009F2923" w:rsidP="00DA2D64">
      <w:pPr>
        <w:pStyle w:val="Text"/>
        <w:spacing w:before="120" w:after="120"/>
        <w:rPr>
          <w:b/>
          <w:sz w:val="22"/>
          <w:rFonts w:ascii="Arial" w:hAnsi="Arial" w:cs="Arial"/>
        </w:rPr>
      </w:pPr>
      <w:r>
        <w:rPr>
          <w:b/>
          <w:sz w:val="22"/>
          <w:rFonts w:ascii="Arial" w:hAnsi="Arial"/>
        </w:rPr>
        <w:t xml:space="preserve">K bodu 4</w:t>
      </w:r>
    </w:p>
    <w:p w14:paraId="5DE9D023" w14:textId="63527F64" w:rsidR="00EE546D" w:rsidRPr="00EE546D" w:rsidRDefault="00EE546D" w:rsidP="00EE546D">
      <w:pPr>
        <w:pStyle w:val="Text"/>
        <w:rPr>
          <w:sz w:val="22"/>
        </w:rPr>
      </w:pPr>
      <w:r>
        <w:rPr>
          <w:sz w:val="22"/>
        </w:rPr>
        <w:t xml:space="preserve">Implementácia požiadaviek na splnenie povinnosti podľa § 312k BGB v návrhu znenia bude v niektorých prípadoch znamenať značné organizačné a časové úsilie pre spoločnosti.</w:t>
      </w:r>
      <w:r>
        <w:rPr>
          <w:sz w:val="22"/>
        </w:rPr>
        <w:t xml:space="preserve"> </w:t>
      </w:r>
      <w:r>
        <w:rPr>
          <w:sz w:val="22"/>
        </w:rPr>
        <w:t xml:space="preserve">V tejto súvislosti by spoločnosti nemali byť povinné tak urobiť do 1. júla 2022.</w:t>
      </w:r>
    </w:p>
    <w:sectPr w:rsidR="00EE546D" w:rsidRPr="00EE546D" w:rsidSect="00012A1D">
      <w:type w:val="continuous"/>
      <w:pgSz w:w="11907" w:h="16839"/>
      <w:pgMar w:top="1134" w:right="3883" w:bottom="1417" w:left="121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1B72C0" w14:textId="77777777" w:rsidR="00FA5BE1" w:rsidRDefault="00FA5BE1" w:rsidP="00FF4465">
      <w:pPr>
        <w:spacing w:before="0" w:after="0"/>
      </w:pPr>
      <w:r>
        <w:separator/>
      </w:r>
    </w:p>
  </w:endnote>
  <w:endnote w:type="continuationSeparator" w:id="0">
    <w:p w14:paraId="2B8FD7A9" w14:textId="77777777" w:rsidR="00FA5BE1" w:rsidRDefault="00FA5BE1" w:rsidP="00FF446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Fet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0401F6" w14:textId="77777777" w:rsidR="00FA5BE1" w:rsidRDefault="00FA5BE1" w:rsidP="00FF4465">
      <w:pPr>
        <w:spacing w:before="0" w:after="0"/>
      </w:pPr>
      <w:r>
        <w:separator/>
      </w:r>
    </w:p>
  </w:footnote>
  <w:footnote w:type="continuationSeparator" w:id="0">
    <w:p w14:paraId="73BC5E22" w14:textId="77777777" w:rsidR="00FA5BE1" w:rsidRDefault="00FA5BE1" w:rsidP="00FF4465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1CF337" w14:textId="460795E0" w:rsidR="00FA5BE1" w:rsidRPr="00012A1D" w:rsidRDefault="00012A1D" w:rsidP="00012A1D">
    <w:pPr>
      <w:pStyle w:val="Kopfzeile"/>
      <w:framePr w:vSpace="283" w:wrap="notBeside"/>
    </w:pPr>
    <w:r>
      <w:tab/>
    </w:r>
    <w:r>
      <w:t xml:space="preserve">– </w:t>
    </w:r>
    <w:r>
      <w:fldChar w:fldCharType="begin"/>
    </w:r>
    <w:r>
      <w:instrText xml:space="preserve"> PAGE  \* MERGEFORMAT </w:instrText>
    </w:r>
    <w:r>
      <w:fldChar w:fldCharType="separate"/>
    </w:r>
    <w:r>
      <w:t>10</w:t>
    </w:r>
    <w:r>
      <w:fldChar w:fldCharType="end"/>
    </w:r>
    <w:r>
      <w:t xml:space="preserve"> –</w:t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EDC72C" w14:textId="4C5DDFEE" w:rsidR="00FA5BE1" w:rsidRPr="00012A1D" w:rsidRDefault="00012A1D" w:rsidP="00012A1D">
    <w:pPr>
      <w:pStyle w:val="Kopfzeile"/>
      <w:framePr w:vSpace="283" w:wrap="notBeside"/>
    </w:pPr>
    <w:r>
      <w:tab/>
    </w:r>
    <w:r>
      <w:t xml:space="preserve">– </w:t>
    </w:r>
    <w:r>
      <w:fldChar w:fldCharType="begin"/>
    </w:r>
    <w:r>
      <w:instrText xml:space="preserve"> PAGE  \* MERGEFORMAT </w:instrText>
    </w:r>
    <w:r>
      <w:fldChar w:fldCharType="separate"/>
    </w:r>
    <w:r>
      <w:t>9</w:t>
    </w:r>
    <w:r>
      <w:fldChar w:fldCharType="end"/>
    </w:r>
    <w:r>
      <w:t xml:space="preserve"> –</w: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2589B"/>
    <w:multiLevelType w:val="singleLevel"/>
    <w:tmpl w:val="241214B0"/>
    <w:name w:val="Tabelle Aufzählung"/>
    <w:lvl w:ilvl="0">
      <w:start w:val="1"/>
      <w:numFmt w:val="bullet"/>
      <w:lvlRestart w:val="0"/>
      <w:pStyle w:val="TabelleAufzhlung"/>
      <w:lvlText w:val="–"/>
      <w:lvlJc w:val="left"/>
      <w:pPr>
        <w:tabs>
          <w:tab w:val="num" w:pos="283"/>
        </w:tabs>
        <w:ind w:left="0" w:firstLine="0"/>
      </w:pPr>
    </w:lvl>
  </w:abstractNum>
  <w:abstractNum w:abstractNumId="1" w15:restartNumberingAfterBreak="0">
    <w:nsid w:val="0755749D"/>
    <w:multiLevelType w:val="singleLevel"/>
    <w:tmpl w:val="E7089F24"/>
    <w:name w:val="Revision Eingangsformel Aufzählung (Stammdokument)"/>
    <w:lvl w:ilvl="0">
      <w:start w:val="1"/>
      <w:numFmt w:val="bullet"/>
      <w:lvlRestart w:val="0"/>
      <w:pStyle w:val="RevisionEingangsformelAufzhlungStammdokument"/>
      <w:lvlText w:val="–"/>
      <w:lvlJc w:val="left"/>
      <w:pPr>
        <w:tabs>
          <w:tab w:val="num" w:pos="425"/>
        </w:tabs>
        <w:ind w:left="425" w:hanging="425"/>
      </w:pPr>
    </w:lvl>
  </w:abstractNum>
  <w:abstractNum w:abstractNumId="2" w15:restartNumberingAfterBreak="0">
    <w:nsid w:val="11DA0E89"/>
    <w:multiLevelType w:val="singleLevel"/>
    <w:tmpl w:val="0990366C"/>
    <w:name w:val="Aufzählung (Stufe 5)"/>
    <w:lvl w:ilvl="0">
      <w:start w:val="1"/>
      <w:numFmt w:val="bullet"/>
      <w:lvlRestart w:val="0"/>
      <w:pStyle w:val="AufzhlungStufe5"/>
      <w:lvlText w:val="–"/>
      <w:lvlJc w:val="left"/>
      <w:pPr>
        <w:tabs>
          <w:tab w:val="num" w:pos="2126"/>
        </w:tabs>
        <w:ind w:left="2126" w:hanging="425"/>
      </w:pPr>
    </w:lvl>
  </w:abstractNum>
  <w:abstractNum w:abstractNumId="3" w15:restartNumberingAfterBreak="0">
    <w:nsid w:val="17EB36AF"/>
    <w:multiLevelType w:val="singleLevel"/>
    <w:tmpl w:val="96445E22"/>
    <w:name w:val="Aufzählung (Stufe 1)"/>
    <w:lvl w:ilvl="0">
      <w:start w:val="1"/>
      <w:numFmt w:val="bullet"/>
      <w:lvlRestart w:val="0"/>
      <w:pStyle w:val="AufzhlungStufe1"/>
      <w:lvlText w:val="–"/>
      <w:lvlJc w:val="left"/>
      <w:pPr>
        <w:tabs>
          <w:tab w:val="num" w:pos="425"/>
        </w:tabs>
        <w:ind w:left="425" w:hanging="425"/>
      </w:pPr>
    </w:lvl>
  </w:abstractNum>
  <w:abstractNum w:abstractNumId="4" w15:restartNumberingAfterBreak="0">
    <w:nsid w:val="18D56528"/>
    <w:multiLevelType w:val="singleLevel"/>
    <w:tmpl w:val="31561192"/>
    <w:name w:val="Revision Aufzählung (Stufe 1)"/>
    <w:lvl w:ilvl="0">
      <w:start w:val="1"/>
      <w:numFmt w:val="bullet"/>
      <w:lvlRestart w:val="0"/>
      <w:pStyle w:val="RevisionAufzhlungStufe1"/>
      <w:lvlText w:val="–"/>
      <w:lvlJc w:val="left"/>
      <w:pPr>
        <w:tabs>
          <w:tab w:val="num" w:pos="425"/>
        </w:tabs>
        <w:ind w:left="425" w:hanging="425"/>
      </w:pPr>
    </w:lvl>
  </w:abstractNum>
  <w:abstractNum w:abstractNumId="5" w15:restartNumberingAfterBreak="0">
    <w:nsid w:val="29876190"/>
    <w:multiLevelType w:val="multilevel"/>
    <w:tmpl w:val="903A7594"/>
    <w:name w:val="Revision eNorm Liste"/>
    <w:lvl w:ilvl="0">
      <w:start w:val="1"/>
      <w:numFmt w:val="decimal"/>
      <w:lvlRestart w:val="0"/>
      <w:pStyle w:val="RevisionListeStufe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none"/>
      <w:pStyle w:val="RevisionListeFolgeabsatzStufe1"/>
      <w:lvlText w:val=""/>
      <w:lvlJc w:val="left"/>
      <w:pPr>
        <w:tabs>
          <w:tab w:val="num" w:pos="425"/>
        </w:tabs>
        <w:ind w:left="425" w:hanging="425"/>
      </w:pPr>
    </w:lvl>
    <w:lvl w:ilvl="2">
      <w:start w:val="1"/>
      <w:numFmt w:val="lowerLetter"/>
      <w:pStyle w:val="RevisionListeStufe2"/>
      <w:lvlText w:val="%3)"/>
      <w:lvlJc w:val="left"/>
      <w:pPr>
        <w:tabs>
          <w:tab w:val="num" w:pos="850"/>
        </w:tabs>
        <w:ind w:left="850" w:hanging="425"/>
      </w:pPr>
    </w:lvl>
    <w:lvl w:ilvl="3">
      <w:start w:val="1"/>
      <w:numFmt w:val="none"/>
      <w:pStyle w:val="RevisionListeFolgeabsatzStufe2"/>
      <w:lvlText w:val="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pStyle w:val="RevisionListeStufe3"/>
      <w:lvlText w:val="%5%5)"/>
      <w:lvlJc w:val="left"/>
      <w:pPr>
        <w:tabs>
          <w:tab w:val="num" w:pos="1276"/>
        </w:tabs>
        <w:ind w:left="1276" w:hanging="426"/>
      </w:pPr>
    </w:lvl>
    <w:lvl w:ilvl="5">
      <w:start w:val="1"/>
      <w:numFmt w:val="none"/>
      <w:pStyle w:val="RevisionListeFolgeabsatzStufe3"/>
      <w:lvlText w:val=""/>
      <w:lvlJc w:val="left"/>
      <w:pPr>
        <w:tabs>
          <w:tab w:val="num" w:pos="1276"/>
        </w:tabs>
        <w:ind w:left="1276" w:hanging="1276"/>
      </w:pPr>
    </w:lvl>
    <w:lvl w:ilvl="6">
      <w:start w:val="1"/>
      <w:numFmt w:val="lowerLetter"/>
      <w:pStyle w:val="RevisionListeStufe4"/>
      <w:lvlText w:val="%7%7%7)"/>
      <w:lvlJc w:val="left"/>
      <w:pPr>
        <w:tabs>
          <w:tab w:val="num" w:pos="1984"/>
        </w:tabs>
        <w:ind w:left="1984" w:hanging="708"/>
      </w:pPr>
    </w:lvl>
    <w:lvl w:ilvl="7">
      <w:start w:val="1"/>
      <w:numFmt w:val="none"/>
      <w:pStyle w:val="RevisionListeFolgeabsatzStufe4"/>
      <w:lvlText w:val=""/>
      <w:lvlJc w:val="left"/>
      <w:pPr>
        <w:tabs>
          <w:tab w:val="num" w:pos="1984"/>
        </w:tabs>
        <w:ind w:left="1984" w:hanging="1984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9EE59AC"/>
    <w:multiLevelType w:val="singleLevel"/>
    <w:tmpl w:val="E4DEC6AC"/>
    <w:name w:val="Revision Aufzählung (Stufe 4)"/>
    <w:lvl w:ilvl="0">
      <w:start w:val="1"/>
      <w:numFmt w:val="bullet"/>
      <w:lvlRestart w:val="0"/>
      <w:pStyle w:val="RevisionAufzhlungStufe4"/>
      <w:lvlText w:val="–"/>
      <w:lvlJc w:val="left"/>
      <w:pPr>
        <w:tabs>
          <w:tab w:val="num" w:pos="1701"/>
        </w:tabs>
        <w:ind w:left="1701" w:hanging="425"/>
      </w:pPr>
    </w:lvl>
  </w:abstractNum>
  <w:abstractNum w:abstractNumId="7" w15:restartNumberingAfterBreak="0">
    <w:nsid w:val="2DF25574"/>
    <w:multiLevelType w:val="multilevel"/>
    <w:tmpl w:val="371EF51E"/>
    <w:name w:val="eNorm Liste"/>
    <w:lvl w:ilvl="0">
      <w:start w:val="1"/>
      <w:numFmt w:val="decimal"/>
      <w:lvlRestart w:val="0"/>
      <w:pStyle w:val="ListeStufe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none"/>
      <w:pStyle w:val="ListeFolgeabsatzStufe1"/>
      <w:lvlText w:val=""/>
      <w:lvlJc w:val="left"/>
      <w:pPr>
        <w:tabs>
          <w:tab w:val="num" w:pos="425"/>
        </w:tabs>
        <w:ind w:left="425" w:hanging="425"/>
      </w:pPr>
    </w:lvl>
    <w:lvl w:ilvl="2">
      <w:start w:val="1"/>
      <w:numFmt w:val="lowerLetter"/>
      <w:pStyle w:val="ListeStufe2"/>
      <w:lvlText w:val="%3)"/>
      <w:lvlJc w:val="left"/>
      <w:pPr>
        <w:tabs>
          <w:tab w:val="num" w:pos="850"/>
        </w:tabs>
        <w:ind w:left="850" w:hanging="425"/>
      </w:pPr>
    </w:lvl>
    <w:lvl w:ilvl="3">
      <w:start w:val="1"/>
      <w:numFmt w:val="none"/>
      <w:pStyle w:val="ListeFolgeabsatzStufe2"/>
      <w:lvlText w:val="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pStyle w:val="ListeStufe3"/>
      <w:lvlText w:val="%5%5)"/>
      <w:lvlJc w:val="left"/>
      <w:pPr>
        <w:tabs>
          <w:tab w:val="num" w:pos="1276"/>
        </w:tabs>
        <w:ind w:left="1276" w:hanging="426"/>
      </w:pPr>
    </w:lvl>
    <w:lvl w:ilvl="5">
      <w:start w:val="1"/>
      <w:numFmt w:val="none"/>
      <w:pStyle w:val="ListeFolgeabsatzStufe3"/>
      <w:lvlText w:val=""/>
      <w:lvlJc w:val="left"/>
      <w:pPr>
        <w:tabs>
          <w:tab w:val="num" w:pos="1276"/>
        </w:tabs>
        <w:ind w:left="1276" w:hanging="1276"/>
      </w:pPr>
    </w:lvl>
    <w:lvl w:ilvl="6">
      <w:start w:val="1"/>
      <w:numFmt w:val="lowerLetter"/>
      <w:pStyle w:val="ListeStufe4"/>
      <w:lvlText w:val="%7%7%7)"/>
      <w:lvlJc w:val="left"/>
      <w:pPr>
        <w:tabs>
          <w:tab w:val="num" w:pos="1984"/>
        </w:tabs>
        <w:ind w:left="1984" w:hanging="708"/>
      </w:pPr>
    </w:lvl>
    <w:lvl w:ilvl="7">
      <w:start w:val="1"/>
      <w:numFmt w:val="none"/>
      <w:pStyle w:val="ListeFolgeabsatzStufe4"/>
      <w:lvlText w:val=""/>
      <w:lvlJc w:val="left"/>
      <w:pPr>
        <w:tabs>
          <w:tab w:val="num" w:pos="1984"/>
        </w:tabs>
        <w:ind w:left="1984" w:hanging="1984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37C41A6C"/>
    <w:multiLevelType w:val="singleLevel"/>
    <w:tmpl w:val="EB0E2D88"/>
    <w:name w:val="Revision Aufzählung (Stufe 5)"/>
    <w:lvl w:ilvl="0">
      <w:start w:val="1"/>
      <w:numFmt w:val="bullet"/>
      <w:lvlRestart w:val="0"/>
      <w:pStyle w:val="RevisionAufzhlungStufe5"/>
      <w:lvlText w:val="–"/>
      <w:lvlJc w:val="left"/>
      <w:pPr>
        <w:tabs>
          <w:tab w:val="num" w:pos="2126"/>
        </w:tabs>
        <w:ind w:left="2126" w:hanging="425"/>
      </w:pPr>
    </w:lvl>
  </w:abstractNum>
  <w:abstractNum w:abstractNumId="9" w15:restartNumberingAfterBreak="0">
    <w:nsid w:val="45E05348"/>
    <w:multiLevelType w:val="singleLevel"/>
    <w:tmpl w:val="733EA768"/>
    <w:name w:val="Revision Aufzählung (Stufe 2)"/>
    <w:lvl w:ilvl="0">
      <w:start w:val="1"/>
      <w:numFmt w:val="bullet"/>
      <w:lvlRestart w:val="0"/>
      <w:pStyle w:val="RevisionAufzhlungStufe2"/>
      <w:lvlText w:val="–"/>
      <w:lvlJc w:val="left"/>
      <w:pPr>
        <w:tabs>
          <w:tab w:val="num" w:pos="850"/>
        </w:tabs>
        <w:ind w:left="850" w:hanging="425"/>
      </w:pPr>
    </w:lvl>
  </w:abstractNum>
  <w:abstractNum w:abstractNumId="10" w15:restartNumberingAfterBreak="0">
    <w:nsid w:val="50910653"/>
    <w:multiLevelType w:val="multilevel"/>
    <w:tmpl w:val="0108F78E"/>
    <w:name w:val="Revision Juristischer Absatz"/>
    <w:lvl w:ilvl="0">
      <w:start w:val="1"/>
      <w:numFmt w:val="decimal"/>
      <w:lvlRestart w:val="0"/>
      <w:pStyle w:val="RevisionArtikelBezeichner"/>
      <w:suff w:val="nothing"/>
      <w:lvlText w:val="Artikel %1"/>
      <w:lvlJc w:val="left"/>
      <w:pPr>
        <w:ind w:left="720" w:hanging="720"/>
      </w:pPr>
    </w:lvl>
    <w:lvl w:ilvl="1">
      <w:start w:val="1"/>
      <w:numFmt w:val="decimal"/>
      <w:pStyle w:val="RevisionParagraphBezeichner"/>
      <w:suff w:val="nothing"/>
      <w:lvlText w:val="§ %2"/>
      <w:lvlJc w:val="left"/>
      <w:pPr>
        <w:ind w:left="0" w:firstLine="0"/>
      </w:pPr>
    </w:lvl>
    <w:lvl w:ilvl="2">
      <w:start w:val="1"/>
      <w:numFmt w:val="decimal"/>
      <w:pStyle w:val="RevisionJuristischerAbsatz"/>
      <w:lvlText w:val="(%3)"/>
      <w:lvlJc w:val="left"/>
      <w:pPr>
        <w:tabs>
          <w:tab w:val="num" w:pos="850"/>
        </w:tabs>
        <w:ind w:left="0" w:firstLine="425"/>
      </w:pPr>
    </w:lvl>
    <w:lvl w:ilvl="3">
      <w:start w:val="1"/>
      <w:numFmt w:val="decimal"/>
      <w:pStyle w:val="RevisionNummerierungStufe1"/>
      <w:lvlText w:val="%4."/>
      <w:lvlJc w:val="left"/>
      <w:pPr>
        <w:tabs>
          <w:tab w:val="num" w:pos="425"/>
        </w:tabs>
        <w:ind w:left="425" w:hanging="425"/>
      </w:pPr>
    </w:lvl>
    <w:lvl w:ilvl="4">
      <w:start w:val="1"/>
      <w:numFmt w:val="lowerLetter"/>
      <w:pStyle w:val="RevisionNummerierungStufe2"/>
      <w:lvlText w:val="%5)"/>
      <w:lvlJc w:val="left"/>
      <w:pPr>
        <w:tabs>
          <w:tab w:val="num" w:pos="850"/>
        </w:tabs>
        <w:ind w:left="850" w:hanging="425"/>
      </w:pPr>
    </w:lvl>
    <w:lvl w:ilvl="5">
      <w:start w:val="1"/>
      <w:numFmt w:val="lowerLetter"/>
      <w:pStyle w:val="RevisionNummerierungStufe3"/>
      <w:lvlText w:val="%6%6)"/>
      <w:lvlJc w:val="left"/>
      <w:pPr>
        <w:tabs>
          <w:tab w:val="num" w:pos="1276"/>
        </w:tabs>
        <w:ind w:left="1276" w:hanging="426"/>
      </w:pPr>
    </w:lvl>
    <w:lvl w:ilvl="6">
      <w:start w:val="1"/>
      <w:numFmt w:val="lowerLetter"/>
      <w:pStyle w:val="RevisionNummerierungStufe4"/>
      <w:lvlText w:val="%7%7%7)"/>
      <w:lvlJc w:val="left"/>
      <w:pPr>
        <w:tabs>
          <w:tab w:val="num" w:pos="1984"/>
        </w:tabs>
        <w:ind w:left="1984" w:hanging="708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538E32B9"/>
    <w:multiLevelType w:val="singleLevel"/>
    <w:tmpl w:val="4E520E9E"/>
    <w:name w:val="Aufzählung (Stufe 4)"/>
    <w:lvl w:ilvl="0">
      <w:start w:val="1"/>
      <w:numFmt w:val="bullet"/>
      <w:lvlRestart w:val="0"/>
      <w:pStyle w:val="AufzhlungStufe4"/>
      <w:lvlText w:val="–"/>
      <w:lvlJc w:val="left"/>
      <w:pPr>
        <w:tabs>
          <w:tab w:val="num" w:pos="1701"/>
        </w:tabs>
        <w:ind w:left="1701" w:hanging="425"/>
      </w:pPr>
    </w:lvl>
  </w:abstractNum>
  <w:abstractNum w:abstractNumId="12" w15:restartNumberingAfterBreak="0">
    <w:nsid w:val="54F620F6"/>
    <w:multiLevelType w:val="singleLevel"/>
    <w:tmpl w:val="010ECA8C"/>
    <w:name w:val="Aufzählung (Stufe 2)"/>
    <w:lvl w:ilvl="0">
      <w:start w:val="1"/>
      <w:numFmt w:val="bullet"/>
      <w:lvlRestart w:val="0"/>
      <w:pStyle w:val="AufzhlungStufe2"/>
      <w:lvlText w:val="–"/>
      <w:lvlJc w:val="left"/>
      <w:pPr>
        <w:tabs>
          <w:tab w:val="num" w:pos="850"/>
        </w:tabs>
        <w:ind w:left="850" w:hanging="425"/>
      </w:pPr>
    </w:lvl>
  </w:abstractNum>
  <w:abstractNum w:abstractNumId="13" w15:restartNumberingAfterBreak="0">
    <w:nsid w:val="595A094C"/>
    <w:multiLevelType w:val="multilevel"/>
    <w:tmpl w:val="A4641030"/>
    <w:name w:val="Empfehlung Nummerierung"/>
    <w:lvl w:ilvl="0">
      <w:start w:val="1"/>
      <w:numFmt w:val="lowerLetter"/>
      <w:lvlRestart w:val="0"/>
      <w:pStyle w:val="EmpfehlungTextnummeriert"/>
      <w:lvlText w:val="%1)"/>
      <w:lvlJc w:val="left"/>
      <w:pPr>
        <w:tabs>
          <w:tab w:val="num" w:pos="0"/>
        </w:tabs>
        <w:ind w:left="0" w:hanging="425"/>
      </w:pPr>
    </w:lvl>
    <w:lvl w:ilvl="1">
      <w:start w:val="1"/>
      <w:numFmt w:val="decimal"/>
      <w:pStyle w:val="EmpfehlungNummerierungStufe1"/>
      <w:lvlText w:val="%2."/>
      <w:lvlJc w:val="left"/>
      <w:pPr>
        <w:tabs>
          <w:tab w:val="num" w:pos="425"/>
        </w:tabs>
        <w:ind w:left="425" w:hanging="425"/>
      </w:pPr>
    </w:lvl>
    <w:lvl w:ilvl="2">
      <w:start w:val="1"/>
      <w:numFmt w:val="lowerLetter"/>
      <w:pStyle w:val="EmpfehlungNummerierungStufe2"/>
      <w:lvlText w:val="%3)"/>
      <w:lvlJc w:val="left"/>
      <w:pPr>
        <w:tabs>
          <w:tab w:val="num" w:pos="850"/>
        </w:tabs>
        <w:ind w:left="850" w:hanging="425"/>
      </w:pPr>
    </w:lvl>
    <w:lvl w:ilvl="3">
      <w:start w:val="1"/>
      <w:numFmt w:val="lowerLetter"/>
      <w:pStyle w:val="EmpfehlungNummerierungStufe3"/>
      <w:lvlText w:val="%4%4)"/>
      <w:lvlJc w:val="left"/>
      <w:pPr>
        <w:tabs>
          <w:tab w:val="num" w:pos="1276"/>
        </w:tabs>
        <w:ind w:left="1276" w:hanging="426"/>
      </w:pPr>
    </w:lvl>
    <w:lvl w:ilvl="4">
      <w:start w:val="1"/>
      <w:numFmt w:val="lowerLetter"/>
      <w:pStyle w:val="EmpfehlungNummerierungStufe4"/>
      <w:lvlText w:val="%5%5%5)"/>
      <w:lvlJc w:val="left"/>
      <w:pPr>
        <w:tabs>
          <w:tab w:val="num" w:pos="1984"/>
        </w:tabs>
        <w:ind w:left="1984" w:hanging="708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630E5FFE"/>
    <w:multiLevelType w:val="singleLevel"/>
    <w:tmpl w:val="2A7667B0"/>
    <w:name w:val="Revision Aufzählung (Stufe 3)"/>
    <w:lvl w:ilvl="0">
      <w:start w:val="1"/>
      <w:numFmt w:val="bullet"/>
      <w:lvlRestart w:val="0"/>
      <w:pStyle w:val="RevisionAufzhlungStufe3"/>
      <w:lvlText w:val="–"/>
      <w:lvlJc w:val="left"/>
      <w:pPr>
        <w:tabs>
          <w:tab w:val="num" w:pos="1276"/>
        </w:tabs>
        <w:ind w:left="1276" w:hanging="426"/>
      </w:pPr>
    </w:lvl>
  </w:abstractNum>
  <w:abstractNum w:abstractNumId="15" w15:restartNumberingAfterBreak="0">
    <w:nsid w:val="7397490C"/>
    <w:multiLevelType w:val="singleLevel"/>
    <w:tmpl w:val="B1EC4D80"/>
    <w:name w:val="Tabelle Liste"/>
    <w:lvl w:ilvl="0">
      <w:start w:val="1"/>
      <w:numFmt w:val="decimal"/>
      <w:lvlRestart w:val="0"/>
      <w:pStyle w:val="TabelleListe"/>
      <w:lvlText w:val="%1."/>
      <w:lvlJc w:val="left"/>
      <w:pPr>
        <w:tabs>
          <w:tab w:val="num" w:pos="283"/>
        </w:tabs>
        <w:ind w:left="0" w:firstLine="0"/>
      </w:pPr>
    </w:lvl>
  </w:abstractNum>
  <w:abstractNum w:abstractNumId="16" w15:restartNumberingAfterBreak="0">
    <w:nsid w:val="7E4D2A11"/>
    <w:multiLevelType w:val="singleLevel"/>
    <w:tmpl w:val="B612535E"/>
    <w:name w:val="Aufzählung (Stufe 3)"/>
    <w:lvl w:ilvl="0">
      <w:start w:val="1"/>
      <w:numFmt w:val="bullet"/>
      <w:lvlRestart w:val="0"/>
      <w:pStyle w:val="AufzhlungStufe3"/>
      <w:lvlText w:val="–"/>
      <w:lvlJc w:val="left"/>
      <w:pPr>
        <w:tabs>
          <w:tab w:val="num" w:pos="1276"/>
        </w:tabs>
        <w:ind w:left="1276" w:hanging="426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3"/>
  </w:num>
  <w:num w:numId="4">
    <w:abstractNumId w:val="12"/>
  </w:num>
  <w:num w:numId="5">
    <w:abstractNumId w:val="16"/>
  </w:num>
  <w:num w:numId="6">
    <w:abstractNumId w:val="11"/>
  </w:num>
  <w:num w:numId="7">
    <w:abstractNumId w:val="2"/>
  </w:num>
  <w:num w:numId="8">
    <w:abstractNumId w:val="0"/>
  </w:num>
  <w:num w:numId="9">
    <w:abstractNumId w:val="15"/>
  </w:num>
  <w:num w:numId="10">
    <w:abstractNumId w:val="10"/>
  </w:num>
  <w:num w:numId="11">
    <w:abstractNumId w:val="5"/>
  </w:num>
  <w:num w:numId="12">
    <w:abstractNumId w:val="4"/>
  </w:num>
  <w:num w:numId="13">
    <w:abstractNumId w:val="9"/>
  </w:num>
  <w:num w:numId="14">
    <w:abstractNumId w:val="14"/>
  </w:num>
  <w:num w:numId="15">
    <w:abstractNumId w:val="6"/>
  </w:num>
  <w:num w:numId="16">
    <w:abstractNumId w:val="8"/>
  </w:num>
  <w:num w:numId="17">
    <w:abstractNumId w:val="1"/>
  </w:num>
  <w:num w:numId="18">
    <w:abstractNumId w:val="13"/>
  </w:num>
  <w:num w:numId="19">
    <w:abstractNumId w:val="7"/>
  </w:num>
  <w:num w:numId="20">
    <w:abstractNumId w:val="3"/>
  </w:num>
  <w:num w:numId="21">
    <w:abstractNumId w:val="12"/>
  </w:num>
  <w:num w:numId="22">
    <w:abstractNumId w:val="16"/>
  </w:num>
  <w:num w:numId="23">
    <w:abstractNumId w:val="11"/>
  </w:num>
  <w:num w:numId="24">
    <w:abstractNumId w:val="2"/>
  </w:num>
  <w:num w:numId="25">
    <w:abstractNumId w:val="0"/>
  </w:num>
  <w:num w:numId="26">
    <w:abstractNumId w:val="15"/>
  </w:num>
  <w:num w:numId="27">
    <w:abstractNumId w:val="10"/>
  </w:num>
  <w:num w:numId="28">
    <w:abstractNumId w:val="5"/>
  </w:num>
  <w:num w:numId="29">
    <w:abstractNumId w:val="4"/>
  </w:num>
  <w:num w:numId="30">
    <w:abstractNumId w:val="9"/>
  </w:num>
  <w:num w:numId="31">
    <w:abstractNumId w:val="14"/>
  </w:num>
  <w:num w:numId="32">
    <w:abstractNumId w:val="6"/>
  </w:num>
  <w:num w:numId="33">
    <w:abstractNumId w:val="8"/>
  </w:num>
  <w:num w:numId="34">
    <w:abstractNumId w:val="1"/>
  </w:num>
  <w:num w:numId="35">
    <w:abstractNumId w:val="13"/>
  </w:num>
  <w:num w:numId="36">
    <w:abstractNumId w:val="10"/>
  </w:num>
  <w:num w:numId="37">
    <w:abstractNumId w:val="1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attachedTemplate r:id="rId1"/>
  <w:defaultTabStop w:val="720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BefehlsHistorie_BefehlsZähler" w:val="2"/>
    <w:docVar w:name="BefehlsKontext_SpeichernOOXML_Maximum" w:val="275ms"/>
    <w:docVar w:name="BefehlsKontext_SpeichernOOXML_Schnitt" w:val="275ms"/>
    <w:docVar w:name="BT" w:val="True"/>
    <w:docVar w:name="DQCHighlighting" w:val="100"/>
    <w:docVar w:name="DQCPart_Dokument" w:val="0"/>
    <w:docVar w:name="DQCResult_Aenderungsbefehl" w:val="0;0"/>
    <w:docVar w:name="DQCResult_Citations" w:val="0;0"/>
    <w:docVar w:name="DQCResult_EmbeddedObjects" w:val="0;0"/>
    <w:docVar w:name="DQCResult_Marker" w:val="0;0"/>
    <w:docVar w:name="DQCResult_ModifiedCharFormat" w:val="0;66"/>
    <w:docVar w:name="DQCResult_ModifiedMargins" w:val="0;0"/>
    <w:docVar w:name="DQCResult_ModifiedNumbering" w:val="0;0"/>
    <w:docVar w:name="DQCResult_StructureCheck" w:val="0;0"/>
    <w:docVar w:name="DQCResult_SuperfluousWhitespace" w:val="0;0"/>
    <w:docVar w:name="DQCWithWarnings" w:val="1"/>
    <w:docVar w:name="EN_DocFileDateTimeAtOpen" w:val="19.03.2021 16:14:48"/>
    <w:docVar w:name="LW_DocType" w:val="FORM"/>
    <w:docVar w:name="LWCons_Langue" w:val="DE"/>
  </w:docVars>
  <w:rsids>
    <w:rsidRoot w:val="002720FF"/>
    <w:rsid w:val="00003B38"/>
    <w:rsid w:val="00012A1D"/>
    <w:rsid w:val="00021C4F"/>
    <w:rsid w:val="00021CCF"/>
    <w:rsid w:val="00035D26"/>
    <w:rsid w:val="00060631"/>
    <w:rsid w:val="0006601D"/>
    <w:rsid w:val="00071A7A"/>
    <w:rsid w:val="000747D8"/>
    <w:rsid w:val="00076397"/>
    <w:rsid w:val="00080B5B"/>
    <w:rsid w:val="000B047B"/>
    <w:rsid w:val="000B646B"/>
    <w:rsid w:val="000C15BB"/>
    <w:rsid w:val="000C76EB"/>
    <w:rsid w:val="000F009A"/>
    <w:rsid w:val="000F70B9"/>
    <w:rsid w:val="00105A99"/>
    <w:rsid w:val="00107329"/>
    <w:rsid w:val="00117AD6"/>
    <w:rsid w:val="00120BC4"/>
    <w:rsid w:val="00125212"/>
    <w:rsid w:val="001327D0"/>
    <w:rsid w:val="00137B75"/>
    <w:rsid w:val="00154174"/>
    <w:rsid w:val="001551B6"/>
    <w:rsid w:val="00157A5E"/>
    <w:rsid w:val="00184422"/>
    <w:rsid w:val="001B688F"/>
    <w:rsid w:val="001C5507"/>
    <w:rsid w:val="001E0F6C"/>
    <w:rsid w:val="001E4E2B"/>
    <w:rsid w:val="001E7B94"/>
    <w:rsid w:val="001F299B"/>
    <w:rsid w:val="001F2E12"/>
    <w:rsid w:val="001F2E43"/>
    <w:rsid w:val="0020302D"/>
    <w:rsid w:val="00205446"/>
    <w:rsid w:val="002142EA"/>
    <w:rsid w:val="0021568B"/>
    <w:rsid w:val="00217FE5"/>
    <w:rsid w:val="0022038D"/>
    <w:rsid w:val="00222EE0"/>
    <w:rsid w:val="002720FF"/>
    <w:rsid w:val="00285780"/>
    <w:rsid w:val="002873C9"/>
    <w:rsid w:val="00297295"/>
    <w:rsid w:val="002A3FE5"/>
    <w:rsid w:val="002B272A"/>
    <w:rsid w:val="002C1E10"/>
    <w:rsid w:val="002C4559"/>
    <w:rsid w:val="002D17B8"/>
    <w:rsid w:val="002D2148"/>
    <w:rsid w:val="002D6017"/>
    <w:rsid w:val="002E70FE"/>
    <w:rsid w:val="002F0027"/>
    <w:rsid w:val="002F591E"/>
    <w:rsid w:val="002F6967"/>
    <w:rsid w:val="00300C93"/>
    <w:rsid w:val="00301240"/>
    <w:rsid w:val="00306B62"/>
    <w:rsid w:val="003075FB"/>
    <w:rsid w:val="00311BA7"/>
    <w:rsid w:val="00312C96"/>
    <w:rsid w:val="003277CE"/>
    <w:rsid w:val="00332D4D"/>
    <w:rsid w:val="00351164"/>
    <w:rsid w:val="00355929"/>
    <w:rsid w:val="00362E0C"/>
    <w:rsid w:val="003774F0"/>
    <w:rsid w:val="00395EE9"/>
    <w:rsid w:val="003B3E40"/>
    <w:rsid w:val="003C1CD0"/>
    <w:rsid w:val="003C2408"/>
    <w:rsid w:val="003C293C"/>
    <w:rsid w:val="003D119C"/>
    <w:rsid w:val="003D54F0"/>
    <w:rsid w:val="003E092B"/>
    <w:rsid w:val="003E2B00"/>
    <w:rsid w:val="003F6FFF"/>
    <w:rsid w:val="0040002B"/>
    <w:rsid w:val="004025EB"/>
    <w:rsid w:val="00405D1C"/>
    <w:rsid w:val="00416421"/>
    <w:rsid w:val="00437A25"/>
    <w:rsid w:val="00452460"/>
    <w:rsid w:val="00456CBC"/>
    <w:rsid w:val="00463C3B"/>
    <w:rsid w:val="004666C3"/>
    <w:rsid w:val="00472108"/>
    <w:rsid w:val="00472355"/>
    <w:rsid w:val="0048061A"/>
    <w:rsid w:val="00481CA0"/>
    <w:rsid w:val="00481F94"/>
    <w:rsid w:val="0048530A"/>
    <w:rsid w:val="004A1713"/>
    <w:rsid w:val="004B18EC"/>
    <w:rsid w:val="004B4076"/>
    <w:rsid w:val="004C591F"/>
    <w:rsid w:val="004D3377"/>
    <w:rsid w:val="004E6731"/>
    <w:rsid w:val="004F1B81"/>
    <w:rsid w:val="004F6D2C"/>
    <w:rsid w:val="00503238"/>
    <w:rsid w:val="0052341C"/>
    <w:rsid w:val="0052608D"/>
    <w:rsid w:val="00544DE6"/>
    <w:rsid w:val="00546AAD"/>
    <w:rsid w:val="005632AA"/>
    <w:rsid w:val="00574C2D"/>
    <w:rsid w:val="0057653F"/>
    <w:rsid w:val="0058476B"/>
    <w:rsid w:val="00591E40"/>
    <w:rsid w:val="005922FA"/>
    <w:rsid w:val="005972FA"/>
    <w:rsid w:val="005A544B"/>
    <w:rsid w:val="005E05C4"/>
    <w:rsid w:val="005E1C0F"/>
    <w:rsid w:val="005E3C4F"/>
    <w:rsid w:val="005E4D84"/>
    <w:rsid w:val="005F7D36"/>
    <w:rsid w:val="00604F79"/>
    <w:rsid w:val="00613B05"/>
    <w:rsid w:val="0062256C"/>
    <w:rsid w:val="00623468"/>
    <w:rsid w:val="006257ED"/>
    <w:rsid w:val="006334E3"/>
    <w:rsid w:val="00646792"/>
    <w:rsid w:val="00652116"/>
    <w:rsid w:val="00660928"/>
    <w:rsid w:val="00671C6C"/>
    <w:rsid w:val="0067495D"/>
    <w:rsid w:val="00681D0D"/>
    <w:rsid w:val="00682019"/>
    <w:rsid w:val="00685176"/>
    <w:rsid w:val="00693160"/>
    <w:rsid w:val="00693751"/>
    <w:rsid w:val="006A77F6"/>
    <w:rsid w:val="006C1AFE"/>
    <w:rsid w:val="006C5585"/>
    <w:rsid w:val="006D727A"/>
    <w:rsid w:val="006E2F12"/>
    <w:rsid w:val="006F0DAE"/>
    <w:rsid w:val="006F1258"/>
    <w:rsid w:val="006F680B"/>
    <w:rsid w:val="006F7B3A"/>
    <w:rsid w:val="00701CCB"/>
    <w:rsid w:val="00704C6A"/>
    <w:rsid w:val="0074181E"/>
    <w:rsid w:val="007430E4"/>
    <w:rsid w:val="00746C78"/>
    <w:rsid w:val="0075168F"/>
    <w:rsid w:val="007712DA"/>
    <w:rsid w:val="00781EDD"/>
    <w:rsid w:val="00786296"/>
    <w:rsid w:val="007A0A21"/>
    <w:rsid w:val="007A289E"/>
    <w:rsid w:val="007B6582"/>
    <w:rsid w:val="007C1ACD"/>
    <w:rsid w:val="007C69FC"/>
    <w:rsid w:val="007E1EA0"/>
    <w:rsid w:val="007E4270"/>
    <w:rsid w:val="007F2DB9"/>
    <w:rsid w:val="008132F7"/>
    <w:rsid w:val="00826E52"/>
    <w:rsid w:val="0084613F"/>
    <w:rsid w:val="00846EFD"/>
    <w:rsid w:val="00850090"/>
    <w:rsid w:val="00852306"/>
    <w:rsid w:val="00854CB1"/>
    <w:rsid w:val="00861F9F"/>
    <w:rsid w:val="008631CD"/>
    <w:rsid w:val="008657B1"/>
    <w:rsid w:val="008772D0"/>
    <w:rsid w:val="008809C8"/>
    <w:rsid w:val="008877A7"/>
    <w:rsid w:val="0089065C"/>
    <w:rsid w:val="008A058D"/>
    <w:rsid w:val="008C35B1"/>
    <w:rsid w:val="008C4938"/>
    <w:rsid w:val="008D6B47"/>
    <w:rsid w:val="008E21D5"/>
    <w:rsid w:val="008F3DB4"/>
    <w:rsid w:val="009019C7"/>
    <w:rsid w:val="00901C79"/>
    <w:rsid w:val="0090252A"/>
    <w:rsid w:val="00910B03"/>
    <w:rsid w:val="00910D9D"/>
    <w:rsid w:val="00914FA8"/>
    <w:rsid w:val="00915D22"/>
    <w:rsid w:val="00917BC0"/>
    <w:rsid w:val="00932184"/>
    <w:rsid w:val="00933356"/>
    <w:rsid w:val="00937EC9"/>
    <w:rsid w:val="009506AE"/>
    <w:rsid w:val="00952518"/>
    <w:rsid w:val="009530D1"/>
    <w:rsid w:val="00956726"/>
    <w:rsid w:val="00956C28"/>
    <w:rsid w:val="009701A4"/>
    <w:rsid w:val="00970ABB"/>
    <w:rsid w:val="0098296B"/>
    <w:rsid w:val="00993AD2"/>
    <w:rsid w:val="00995726"/>
    <w:rsid w:val="009A7DB0"/>
    <w:rsid w:val="009B1298"/>
    <w:rsid w:val="009B2962"/>
    <w:rsid w:val="009B3F4B"/>
    <w:rsid w:val="009B7841"/>
    <w:rsid w:val="009C3FB1"/>
    <w:rsid w:val="009D590D"/>
    <w:rsid w:val="009E06E3"/>
    <w:rsid w:val="009F0E3F"/>
    <w:rsid w:val="009F2923"/>
    <w:rsid w:val="009F726F"/>
    <w:rsid w:val="009F7F4E"/>
    <w:rsid w:val="00A03249"/>
    <w:rsid w:val="00A10F3A"/>
    <w:rsid w:val="00A20AF6"/>
    <w:rsid w:val="00A2558A"/>
    <w:rsid w:val="00A34D97"/>
    <w:rsid w:val="00A34DBE"/>
    <w:rsid w:val="00A46C3D"/>
    <w:rsid w:val="00A70F0E"/>
    <w:rsid w:val="00A72781"/>
    <w:rsid w:val="00A7355E"/>
    <w:rsid w:val="00A82216"/>
    <w:rsid w:val="00A825DA"/>
    <w:rsid w:val="00A829BE"/>
    <w:rsid w:val="00A9149E"/>
    <w:rsid w:val="00A94D6E"/>
    <w:rsid w:val="00AA0FD6"/>
    <w:rsid w:val="00AC529F"/>
    <w:rsid w:val="00AC685D"/>
    <w:rsid w:val="00AE17CC"/>
    <w:rsid w:val="00AE3F1C"/>
    <w:rsid w:val="00AE662A"/>
    <w:rsid w:val="00AF1427"/>
    <w:rsid w:val="00AF7B14"/>
    <w:rsid w:val="00B02C62"/>
    <w:rsid w:val="00B05AC7"/>
    <w:rsid w:val="00B07CF7"/>
    <w:rsid w:val="00B358A3"/>
    <w:rsid w:val="00B375AA"/>
    <w:rsid w:val="00B56435"/>
    <w:rsid w:val="00B8122A"/>
    <w:rsid w:val="00B8702A"/>
    <w:rsid w:val="00B91409"/>
    <w:rsid w:val="00BA35AD"/>
    <w:rsid w:val="00BA4AB6"/>
    <w:rsid w:val="00BB0CE7"/>
    <w:rsid w:val="00BB1814"/>
    <w:rsid w:val="00BD4D41"/>
    <w:rsid w:val="00BE0519"/>
    <w:rsid w:val="00BF30DD"/>
    <w:rsid w:val="00C0555F"/>
    <w:rsid w:val="00C10FA1"/>
    <w:rsid w:val="00C1148C"/>
    <w:rsid w:val="00C20325"/>
    <w:rsid w:val="00C2231C"/>
    <w:rsid w:val="00C4353F"/>
    <w:rsid w:val="00C44FC3"/>
    <w:rsid w:val="00C50448"/>
    <w:rsid w:val="00C50725"/>
    <w:rsid w:val="00C5369F"/>
    <w:rsid w:val="00C743B5"/>
    <w:rsid w:val="00CA126D"/>
    <w:rsid w:val="00CA6C90"/>
    <w:rsid w:val="00CA71BF"/>
    <w:rsid w:val="00CC41C0"/>
    <w:rsid w:val="00CC65EA"/>
    <w:rsid w:val="00CD0799"/>
    <w:rsid w:val="00CE618D"/>
    <w:rsid w:val="00D00DD2"/>
    <w:rsid w:val="00D04FFA"/>
    <w:rsid w:val="00D079B0"/>
    <w:rsid w:val="00D36A78"/>
    <w:rsid w:val="00D37BF5"/>
    <w:rsid w:val="00D46DCD"/>
    <w:rsid w:val="00D528F9"/>
    <w:rsid w:val="00D549B7"/>
    <w:rsid w:val="00D64E32"/>
    <w:rsid w:val="00D663F5"/>
    <w:rsid w:val="00D85758"/>
    <w:rsid w:val="00D87FC5"/>
    <w:rsid w:val="00D948AE"/>
    <w:rsid w:val="00DA2D64"/>
    <w:rsid w:val="00DA31E8"/>
    <w:rsid w:val="00DA49A5"/>
    <w:rsid w:val="00DA5F32"/>
    <w:rsid w:val="00DC3B1E"/>
    <w:rsid w:val="00DC5314"/>
    <w:rsid w:val="00DE3E46"/>
    <w:rsid w:val="00DF6F83"/>
    <w:rsid w:val="00E11559"/>
    <w:rsid w:val="00E124F9"/>
    <w:rsid w:val="00E246FB"/>
    <w:rsid w:val="00E25F34"/>
    <w:rsid w:val="00E35604"/>
    <w:rsid w:val="00E37447"/>
    <w:rsid w:val="00E42E6F"/>
    <w:rsid w:val="00E439EB"/>
    <w:rsid w:val="00E45942"/>
    <w:rsid w:val="00E50F71"/>
    <w:rsid w:val="00E57275"/>
    <w:rsid w:val="00E574A2"/>
    <w:rsid w:val="00E91488"/>
    <w:rsid w:val="00EA1D8C"/>
    <w:rsid w:val="00EA3CEF"/>
    <w:rsid w:val="00EB6B0C"/>
    <w:rsid w:val="00EC5934"/>
    <w:rsid w:val="00EE4DF6"/>
    <w:rsid w:val="00EE546D"/>
    <w:rsid w:val="00EE655C"/>
    <w:rsid w:val="00EF5B1E"/>
    <w:rsid w:val="00F07AED"/>
    <w:rsid w:val="00F15270"/>
    <w:rsid w:val="00F24FDD"/>
    <w:rsid w:val="00F43B57"/>
    <w:rsid w:val="00F631AB"/>
    <w:rsid w:val="00F66B92"/>
    <w:rsid w:val="00F85BEA"/>
    <w:rsid w:val="00F871B4"/>
    <w:rsid w:val="00FA17F7"/>
    <w:rsid w:val="00FA1D2B"/>
    <w:rsid w:val="00FA5918"/>
    <w:rsid w:val="00FA5BE1"/>
    <w:rsid w:val="00FB25A4"/>
    <w:rsid w:val="00FC3394"/>
    <w:rsid w:val="00FC39E2"/>
    <w:rsid w:val="00FC63C3"/>
    <w:rsid w:val="00FD3793"/>
    <w:rsid w:val="00FE7C6A"/>
    <w:rsid w:val="00FF0FD0"/>
    <w:rsid w:val="00FF4465"/>
    <w:rsid w:val="00FF6FE5"/>
    <w:rsid w:val="00FF7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087D4"/>
  <w15:docId w15:val="{8F769AC3-B1BC-4295-8992-9D8EE94EC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pPr>
      <w:spacing w:before="60" w:after="60" w:line="240" w:lineRule="auto"/>
      <w:jc w:val="both"/>
    </w:pPr>
    <w:rPr>
      <w:rFonts w:ascii="Times New Roman" w:hAnsi="Times New Roman" w:cs="Times New Roman"/>
      <w:sz w:val="21"/>
    </w:rPr>
  </w:style>
  <w:style w:type="paragraph" w:styleId="berschrift1">
    <w:name w:val="heading 1"/>
    <w:basedOn w:val="Standard"/>
    <w:next w:val="Text"/>
    <w:link w:val="berschrift1Zchn"/>
    <w:uiPriority w:val="9"/>
    <w:qFormat/>
    <w:rsid w:val="0098296B"/>
    <w:pPr>
      <w:keepNext/>
      <w:spacing w:before="120"/>
      <w:jc w:val="center"/>
      <w:outlineLvl w:val="0"/>
    </w:pPr>
    <w:rPr>
      <w:rFonts w:eastAsiaTheme="majorEastAsia"/>
      <w:b/>
      <w:bCs/>
      <w:kern w:val="32"/>
      <w:szCs w:val="28"/>
    </w:rPr>
  </w:style>
  <w:style w:type="paragraph" w:styleId="berschrift2">
    <w:name w:val="heading 2"/>
    <w:basedOn w:val="Standard"/>
    <w:next w:val="Text"/>
    <w:link w:val="berschrift2Zchn"/>
    <w:uiPriority w:val="9"/>
    <w:semiHidden/>
    <w:unhideWhenUsed/>
    <w:qFormat/>
    <w:rsid w:val="0098296B"/>
    <w:pPr>
      <w:keepNext/>
      <w:spacing w:before="120"/>
      <w:outlineLvl w:val="1"/>
    </w:pPr>
    <w:rPr>
      <w:rFonts w:eastAsiaTheme="majorEastAsia"/>
      <w:b/>
      <w:bCs/>
      <w:szCs w:val="26"/>
    </w:rPr>
  </w:style>
  <w:style w:type="paragraph" w:styleId="berschrift3">
    <w:name w:val="heading 3"/>
    <w:basedOn w:val="Standard"/>
    <w:next w:val="Text"/>
    <w:link w:val="berschrift3Zchn"/>
    <w:uiPriority w:val="9"/>
    <w:semiHidden/>
    <w:unhideWhenUsed/>
    <w:qFormat/>
    <w:rsid w:val="0098296B"/>
    <w:pPr>
      <w:keepNext/>
      <w:spacing w:before="120"/>
      <w:outlineLvl w:val="2"/>
    </w:pPr>
    <w:rPr>
      <w:rFonts w:eastAsiaTheme="majorEastAsia"/>
      <w:b/>
      <w:bCs/>
    </w:rPr>
  </w:style>
  <w:style w:type="paragraph" w:styleId="berschrift4">
    <w:name w:val="heading 4"/>
    <w:basedOn w:val="Standard"/>
    <w:next w:val="Text"/>
    <w:link w:val="berschrift4Zchn"/>
    <w:uiPriority w:val="9"/>
    <w:semiHidden/>
    <w:unhideWhenUsed/>
    <w:qFormat/>
    <w:rsid w:val="0098296B"/>
    <w:pPr>
      <w:keepNext/>
      <w:spacing w:before="120"/>
      <w:outlineLvl w:val="3"/>
    </w:pPr>
    <w:rPr>
      <w:rFonts w:eastAsiaTheme="majorEastAsia"/>
      <w:bCs/>
      <w:i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okumentkopfTitel">
    <w:name w:val="Dokumentkopf Titel"/>
    <w:basedOn w:val="Standard"/>
    <w:link w:val="DokumentkopfTitelZchn"/>
    <w:qFormat/>
    <w:rsid w:val="002720FF"/>
    <w:pPr>
      <w:spacing w:before="0" w:after="360" w:line="360" w:lineRule="auto"/>
      <w:jc w:val="center"/>
      <w:outlineLvl w:val="0"/>
    </w:pPr>
    <w:rPr>
      <w:rFonts w:ascii="Arial Fett" w:eastAsia="Times New Roman" w:hAnsi="Arial Fett" w:cs="Arial"/>
      <w:b/>
      <w:spacing w:val="10"/>
      <w:sz w:val="30"/>
      <w:szCs w:val="30"/>
      <w:lang w:eastAsia="de-DE"/>
    </w:rPr>
  </w:style>
  <w:style w:type="paragraph" w:customStyle="1" w:styleId="DokumentkopfBezeichnung">
    <w:name w:val="Dokumentkopf Bezeichnung"/>
    <w:basedOn w:val="Standard"/>
    <w:link w:val="DokumentkopfBezeichnungZchn"/>
    <w:qFormat/>
    <w:rsid w:val="002720FF"/>
    <w:pPr>
      <w:spacing w:before="0" w:after="0" w:line="360" w:lineRule="auto"/>
      <w:outlineLvl w:val="1"/>
    </w:pPr>
    <w:rPr>
      <w:rFonts w:ascii="Arial" w:eastAsia="Times New Roman" w:hAnsi="Arial" w:cs="Arial"/>
      <w:b/>
      <w:noProof/>
      <w:sz w:val="26"/>
      <w:szCs w:val="26"/>
      <w:lang w:eastAsia="de-DE"/>
    </w:rPr>
  </w:style>
  <w:style w:type="character" w:customStyle="1" w:styleId="DokumentkopfTitelZchn">
    <w:name w:val="Dokumentkopf Titel Zchn"/>
    <w:link w:val="DokumentkopfTitel"/>
    <w:rsid w:val="002720FF"/>
    <w:rPr>
      <w:rFonts w:ascii="Arial Fett" w:eastAsia="Times New Roman" w:hAnsi="Arial Fett" w:cs="Arial"/>
      <w:b/>
      <w:spacing w:val="10"/>
      <w:sz w:val="30"/>
      <w:szCs w:val="30"/>
      <w:lang w:eastAsia="de-DE"/>
    </w:rPr>
  </w:style>
  <w:style w:type="character" w:customStyle="1" w:styleId="DokumentkopfBezeichnungZchn">
    <w:name w:val="Dokumentkopf Bezeichnung Zchn"/>
    <w:link w:val="DokumentkopfBezeichnung"/>
    <w:rsid w:val="002720FF"/>
    <w:rPr>
      <w:rFonts w:ascii="Arial" w:eastAsia="Times New Roman" w:hAnsi="Arial" w:cs="Arial"/>
      <w:b/>
      <w:noProof/>
      <w:sz w:val="26"/>
      <w:szCs w:val="26"/>
      <w:lang w:eastAsia="de-DE"/>
    </w:rPr>
  </w:style>
  <w:style w:type="paragraph" w:customStyle="1" w:styleId="NummerierungStufe1">
    <w:name w:val="Nummerierung (Stufe 1)"/>
    <w:basedOn w:val="Standard"/>
    <w:rsid w:val="00FC63C3"/>
    <w:pPr>
      <w:spacing w:before="120" w:after="120"/>
      <w:outlineLvl w:val="5"/>
    </w:pPr>
    <w:rPr>
      <w:rFonts w:ascii="Arial" w:hAnsi="Arial" w:cs="Arial"/>
      <w:sz w:val="22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A1D8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EA1D8C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EA1D8C"/>
    <w:rPr>
      <w:rFonts w:ascii="Times New Roman" w:hAnsi="Times New Roman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A1D8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A1D8C"/>
    <w:rPr>
      <w:rFonts w:ascii="Times New Roman" w:hAnsi="Times New Roman" w:cs="Times New Roman"/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A1D8C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A1D8C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FC39E2"/>
    <w:rPr>
      <w:color w:val="0000FF" w:themeColor="hyperlink"/>
      <w:u w:val="single"/>
    </w:rPr>
  </w:style>
  <w:style w:type="paragraph" w:styleId="berarbeitung">
    <w:name w:val="Revision"/>
    <w:hidden/>
    <w:uiPriority w:val="99"/>
    <w:semiHidden/>
    <w:rsid w:val="00416421"/>
    <w:pPr>
      <w:spacing w:after="0" w:line="240" w:lineRule="auto"/>
    </w:pPr>
    <w:rPr>
      <w:rFonts w:ascii="Times New Roman" w:hAnsi="Times New Roman" w:cs="Times New Roman"/>
      <w:sz w:val="21"/>
    </w:rPr>
  </w:style>
  <w:style w:type="paragraph" w:customStyle="1" w:styleId="Begrndung">
    <w:name w:val="Begründung"/>
    <w:basedOn w:val="EinzelbegrndungTitel"/>
    <w:qFormat/>
    <w:rsid w:val="00FF6FE5"/>
  </w:style>
  <w:style w:type="paragraph" w:styleId="Fuzeile">
    <w:name w:val="footer"/>
    <w:basedOn w:val="Standard"/>
    <w:link w:val="FuzeileZchn"/>
    <w:uiPriority w:val="99"/>
    <w:unhideWhenUsed/>
    <w:rsid w:val="0098296B"/>
    <w:pPr>
      <w:tabs>
        <w:tab w:val="center" w:pos="4394"/>
        <w:tab w:val="right" w:pos="8787"/>
      </w:tabs>
      <w:spacing w:before="360" w:after="0"/>
      <w:jc w:val="left"/>
    </w:pPr>
  </w:style>
  <w:style w:type="character" w:customStyle="1" w:styleId="FuzeileZchn">
    <w:name w:val="Fußzeile Zchn"/>
    <w:basedOn w:val="Absatz-Standardschriftart"/>
    <w:link w:val="Fuzeile"/>
    <w:uiPriority w:val="99"/>
    <w:rsid w:val="0098296B"/>
    <w:rPr>
      <w:rFonts w:ascii="Times New Roman" w:hAnsi="Times New Roman" w:cs="Times New Roman"/>
      <w:sz w:val="21"/>
      <w:shd w:val="clear" w:color="auto" w:fill="auto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98296B"/>
    <w:pPr>
      <w:spacing w:before="0" w:after="0"/>
      <w:ind w:left="720" w:hanging="720"/>
    </w:pPr>
    <w:rPr>
      <w:sz w:val="16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98296B"/>
    <w:rPr>
      <w:rFonts w:ascii="Times New Roman" w:hAnsi="Times New Roman" w:cs="Times New Roman"/>
      <w:sz w:val="16"/>
      <w:szCs w:val="20"/>
      <w:shd w:val="clear" w:color="auto" w:fill="auto"/>
    </w:rPr>
  </w:style>
  <w:style w:type="paragraph" w:customStyle="1" w:styleId="ListeStufe1">
    <w:name w:val="Liste (Stufe 1)"/>
    <w:basedOn w:val="Standard"/>
    <w:rsid w:val="0098296B"/>
    <w:pPr>
      <w:numPr>
        <w:numId w:val="19"/>
      </w:numPr>
      <w:tabs>
        <w:tab w:val="left" w:pos="0"/>
      </w:tabs>
    </w:pPr>
  </w:style>
  <w:style w:type="paragraph" w:customStyle="1" w:styleId="ListeFolgeabsatzStufe1">
    <w:name w:val="Liste Folgeabsatz (Stufe 1)"/>
    <w:basedOn w:val="Standard"/>
    <w:rsid w:val="0098296B"/>
    <w:pPr>
      <w:numPr>
        <w:ilvl w:val="1"/>
        <w:numId w:val="19"/>
      </w:numPr>
    </w:pPr>
  </w:style>
  <w:style w:type="paragraph" w:customStyle="1" w:styleId="ListeStufe2">
    <w:name w:val="Liste (Stufe 2)"/>
    <w:basedOn w:val="Standard"/>
    <w:rsid w:val="0098296B"/>
    <w:pPr>
      <w:numPr>
        <w:ilvl w:val="2"/>
        <w:numId w:val="19"/>
      </w:numPr>
    </w:pPr>
  </w:style>
  <w:style w:type="paragraph" w:customStyle="1" w:styleId="ListeFolgeabsatzStufe2">
    <w:name w:val="Liste Folgeabsatz (Stufe 2)"/>
    <w:basedOn w:val="Standard"/>
    <w:rsid w:val="0098296B"/>
    <w:pPr>
      <w:numPr>
        <w:ilvl w:val="3"/>
        <w:numId w:val="19"/>
      </w:numPr>
    </w:pPr>
  </w:style>
  <w:style w:type="paragraph" w:customStyle="1" w:styleId="ListeStufe3">
    <w:name w:val="Liste (Stufe 3)"/>
    <w:basedOn w:val="Standard"/>
    <w:rsid w:val="0098296B"/>
    <w:pPr>
      <w:numPr>
        <w:ilvl w:val="4"/>
        <w:numId w:val="19"/>
      </w:numPr>
    </w:pPr>
  </w:style>
  <w:style w:type="paragraph" w:customStyle="1" w:styleId="ListeFolgeabsatzStufe3">
    <w:name w:val="Liste Folgeabsatz (Stufe 3)"/>
    <w:basedOn w:val="Standard"/>
    <w:rsid w:val="0098296B"/>
    <w:pPr>
      <w:numPr>
        <w:ilvl w:val="5"/>
        <w:numId w:val="19"/>
      </w:numPr>
    </w:pPr>
  </w:style>
  <w:style w:type="paragraph" w:customStyle="1" w:styleId="ListeStufe4">
    <w:name w:val="Liste (Stufe 4)"/>
    <w:basedOn w:val="Standard"/>
    <w:rsid w:val="0098296B"/>
    <w:pPr>
      <w:numPr>
        <w:ilvl w:val="6"/>
        <w:numId w:val="19"/>
      </w:numPr>
    </w:pPr>
  </w:style>
  <w:style w:type="paragraph" w:customStyle="1" w:styleId="ListeFolgeabsatzStufe4">
    <w:name w:val="Liste Folgeabsatz (Stufe 4)"/>
    <w:basedOn w:val="Standard"/>
    <w:rsid w:val="0098296B"/>
    <w:pPr>
      <w:numPr>
        <w:ilvl w:val="7"/>
        <w:numId w:val="19"/>
      </w:numPr>
    </w:pPr>
  </w:style>
  <w:style w:type="paragraph" w:customStyle="1" w:styleId="ListeStufe1manuell">
    <w:name w:val="Liste (Stufe 1) (manuell)"/>
    <w:basedOn w:val="Standard"/>
    <w:rsid w:val="0098296B"/>
    <w:pPr>
      <w:tabs>
        <w:tab w:val="left" w:pos="425"/>
      </w:tabs>
      <w:ind w:left="425" w:hanging="425"/>
    </w:pPr>
  </w:style>
  <w:style w:type="paragraph" w:customStyle="1" w:styleId="ListeStufe2manuell">
    <w:name w:val="Liste (Stufe 2) (manuell)"/>
    <w:basedOn w:val="Standard"/>
    <w:rsid w:val="0098296B"/>
    <w:pPr>
      <w:tabs>
        <w:tab w:val="left" w:pos="850"/>
      </w:tabs>
      <w:ind w:left="850" w:hanging="425"/>
    </w:pPr>
  </w:style>
  <w:style w:type="paragraph" w:customStyle="1" w:styleId="ListeStufe3manuell">
    <w:name w:val="Liste (Stufe 3) (manuell)"/>
    <w:basedOn w:val="Standard"/>
    <w:rsid w:val="0098296B"/>
    <w:pPr>
      <w:tabs>
        <w:tab w:val="left" w:pos="1276"/>
      </w:tabs>
      <w:ind w:left="1276" w:hanging="425"/>
    </w:pPr>
  </w:style>
  <w:style w:type="paragraph" w:customStyle="1" w:styleId="ListeStufe4manuell">
    <w:name w:val="Liste (Stufe 4) (manuell)"/>
    <w:basedOn w:val="Standard"/>
    <w:next w:val="ListeStufe1manuell"/>
    <w:rsid w:val="0098296B"/>
    <w:pPr>
      <w:tabs>
        <w:tab w:val="left" w:pos="1984"/>
      </w:tabs>
      <w:ind w:left="1984" w:hanging="709"/>
    </w:pPr>
  </w:style>
  <w:style w:type="paragraph" w:customStyle="1" w:styleId="AufzhlungStufe1">
    <w:name w:val="Aufzählung (Stufe 1)"/>
    <w:basedOn w:val="Standard"/>
    <w:rsid w:val="0098296B"/>
    <w:pPr>
      <w:numPr>
        <w:numId w:val="20"/>
      </w:numPr>
      <w:tabs>
        <w:tab w:val="left" w:pos="0"/>
      </w:tabs>
    </w:pPr>
  </w:style>
  <w:style w:type="paragraph" w:customStyle="1" w:styleId="AufzhlungFolgeabsatzStufe1">
    <w:name w:val="Aufzählung Folgeabsatz (Stufe 1)"/>
    <w:basedOn w:val="Standard"/>
    <w:rsid w:val="0098296B"/>
    <w:pPr>
      <w:tabs>
        <w:tab w:val="left" w:pos="425"/>
      </w:tabs>
      <w:ind w:left="425"/>
    </w:pPr>
  </w:style>
  <w:style w:type="paragraph" w:customStyle="1" w:styleId="AufzhlungStufe2">
    <w:name w:val="Aufzählung (Stufe 2)"/>
    <w:basedOn w:val="Standard"/>
    <w:rsid w:val="0098296B"/>
    <w:pPr>
      <w:numPr>
        <w:numId w:val="21"/>
      </w:numPr>
      <w:tabs>
        <w:tab w:val="left" w:pos="425"/>
      </w:tabs>
    </w:pPr>
  </w:style>
  <w:style w:type="paragraph" w:customStyle="1" w:styleId="AufzhlungFolgeabsatzStufe2">
    <w:name w:val="Aufzählung Folgeabsatz (Stufe 2)"/>
    <w:basedOn w:val="Standard"/>
    <w:rsid w:val="0098296B"/>
    <w:pPr>
      <w:tabs>
        <w:tab w:val="left" w:pos="794"/>
      </w:tabs>
      <w:ind w:left="850"/>
    </w:pPr>
  </w:style>
  <w:style w:type="paragraph" w:customStyle="1" w:styleId="AufzhlungStufe3">
    <w:name w:val="Aufzählung (Stufe 3)"/>
    <w:basedOn w:val="Standard"/>
    <w:rsid w:val="0098296B"/>
    <w:pPr>
      <w:numPr>
        <w:numId w:val="22"/>
      </w:numPr>
      <w:tabs>
        <w:tab w:val="left" w:pos="850"/>
      </w:tabs>
    </w:pPr>
  </w:style>
  <w:style w:type="paragraph" w:customStyle="1" w:styleId="AufzhlungFolgeabsatzStufe3">
    <w:name w:val="Aufzählung Folgeabsatz (Stufe 3)"/>
    <w:basedOn w:val="Standard"/>
    <w:rsid w:val="0098296B"/>
    <w:pPr>
      <w:tabs>
        <w:tab w:val="left" w:pos="1276"/>
      </w:tabs>
      <w:ind w:left="1276"/>
    </w:pPr>
  </w:style>
  <w:style w:type="paragraph" w:customStyle="1" w:styleId="AufzhlungStufe4">
    <w:name w:val="Aufzählung (Stufe 4)"/>
    <w:basedOn w:val="Standard"/>
    <w:rsid w:val="0098296B"/>
    <w:pPr>
      <w:numPr>
        <w:numId w:val="23"/>
      </w:numPr>
      <w:tabs>
        <w:tab w:val="left" w:pos="1276"/>
      </w:tabs>
    </w:pPr>
  </w:style>
  <w:style w:type="paragraph" w:customStyle="1" w:styleId="AufzhlungFolgeabsatzStufe4">
    <w:name w:val="Aufzählung Folgeabsatz (Stufe 4)"/>
    <w:basedOn w:val="Standard"/>
    <w:rsid w:val="0098296B"/>
    <w:pPr>
      <w:tabs>
        <w:tab w:val="left" w:pos="1701"/>
      </w:tabs>
      <w:ind w:left="1701"/>
    </w:pPr>
  </w:style>
  <w:style w:type="paragraph" w:customStyle="1" w:styleId="AufzhlungStufe5">
    <w:name w:val="Aufzählung (Stufe 5)"/>
    <w:basedOn w:val="Standard"/>
    <w:rsid w:val="0098296B"/>
    <w:pPr>
      <w:numPr>
        <w:numId w:val="24"/>
      </w:numPr>
      <w:tabs>
        <w:tab w:val="left" w:pos="1701"/>
      </w:tabs>
    </w:pPr>
  </w:style>
  <w:style w:type="paragraph" w:customStyle="1" w:styleId="AufzhlungFolgeabsatzStufe5">
    <w:name w:val="Aufzählung Folgeabsatz (Stufe 5)"/>
    <w:basedOn w:val="Standard"/>
    <w:rsid w:val="0098296B"/>
    <w:pPr>
      <w:tabs>
        <w:tab w:val="left" w:pos="2126"/>
      </w:tabs>
      <w:ind w:left="2126"/>
    </w:pPr>
  </w:style>
  <w:style w:type="paragraph" w:customStyle="1" w:styleId="Formel">
    <w:name w:val="Formel"/>
    <w:basedOn w:val="Standard"/>
    <w:rsid w:val="0098296B"/>
    <w:pPr>
      <w:spacing w:before="240" w:after="240"/>
      <w:jc w:val="center"/>
    </w:pPr>
  </w:style>
  <w:style w:type="paragraph" w:customStyle="1" w:styleId="Grafik">
    <w:name w:val="Grafik"/>
    <w:basedOn w:val="Standard"/>
    <w:rsid w:val="0098296B"/>
    <w:pPr>
      <w:spacing w:before="240" w:after="240"/>
      <w:jc w:val="center"/>
    </w:pPr>
  </w:style>
  <w:style w:type="paragraph" w:customStyle="1" w:styleId="Text">
    <w:name w:val="Text"/>
    <w:basedOn w:val="Standard"/>
    <w:rsid w:val="0098296B"/>
  </w:style>
  <w:style w:type="paragraph" w:customStyle="1" w:styleId="TabelleTitel">
    <w:name w:val="Tabelle Titel"/>
    <w:basedOn w:val="Standard"/>
    <w:rsid w:val="0098296B"/>
    <w:pPr>
      <w:spacing w:before="240"/>
      <w:jc w:val="center"/>
    </w:pPr>
  </w:style>
  <w:style w:type="paragraph" w:customStyle="1" w:styleId="Tabelleberschrift">
    <w:name w:val="Tabelle Überschrift"/>
    <w:basedOn w:val="Standard"/>
    <w:next w:val="TabelleText"/>
    <w:rsid w:val="0098296B"/>
    <w:rPr>
      <w:b/>
      <w:sz w:val="16"/>
    </w:rPr>
  </w:style>
  <w:style w:type="paragraph" w:customStyle="1" w:styleId="TabelleText">
    <w:name w:val="Tabelle Text"/>
    <w:basedOn w:val="Standard"/>
    <w:rsid w:val="0098296B"/>
    <w:rPr>
      <w:sz w:val="16"/>
    </w:rPr>
  </w:style>
  <w:style w:type="paragraph" w:customStyle="1" w:styleId="TabelleAufzhlung">
    <w:name w:val="Tabelle Aufzählung"/>
    <w:basedOn w:val="Standard"/>
    <w:rsid w:val="0098296B"/>
    <w:pPr>
      <w:numPr>
        <w:numId w:val="25"/>
      </w:numPr>
    </w:pPr>
    <w:rPr>
      <w:sz w:val="16"/>
    </w:rPr>
  </w:style>
  <w:style w:type="paragraph" w:customStyle="1" w:styleId="TabelleListe">
    <w:name w:val="Tabelle Liste"/>
    <w:basedOn w:val="Standard"/>
    <w:rsid w:val="0098296B"/>
    <w:pPr>
      <w:numPr>
        <w:numId w:val="26"/>
      </w:numPr>
    </w:pPr>
    <w:rPr>
      <w:sz w:val="16"/>
    </w:rPr>
  </w:style>
  <w:style w:type="character" w:customStyle="1" w:styleId="Binnenverweis">
    <w:name w:val="Binnenverweis"/>
    <w:basedOn w:val="Absatz-Standardschriftart"/>
    <w:rsid w:val="0098296B"/>
    <w:rPr>
      <w:noProof/>
      <w:u w:val="none"/>
      <w:shd w:val="clear" w:color="auto" w:fill="E0E0E0"/>
    </w:rPr>
  </w:style>
  <w:style w:type="character" w:customStyle="1" w:styleId="Einzelverweisziel">
    <w:name w:val="Einzelverweisziel"/>
    <w:basedOn w:val="Absatz-Standardschriftart"/>
    <w:rsid w:val="0098296B"/>
    <w:rPr>
      <w:shd w:val="clear" w:color="auto" w:fill="F3F3F3"/>
    </w:rPr>
  </w:style>
  <w:style w:type="character" w:customStyle="1" w:styleId="Verweis">
    <w:name w:val="Verweis"/>
    <w:basedOn w:val="Absatz-Standardschriftart"/>
    <w:rsid w:val="0098296B"/>
    <w:rPr>
      <w:color w:val="000080"/>
      <w:shd w:val="clear" w:color="auto" w:fill="auto"/>
    </w:rPr>
  </w:style>
  <w:style w:type="character" w:customStyle="1" w:styleId="VerweisBezugsstelle">
    <w:name w:val="Verweis Bezugsstelle"/>
    <w:basedOn w:val="Absatz-Standardschriftart"/>
    <w:rsid w:val="0098296B"/>
    <w:rPr>
      <w:color w:val="000080"/>
      <w:shd w:val="clear" w:color="auto" w:fill="auto"/>
    </w:rPr>
  </w:style>
  <w:style w:type="paragraph" w:styleId="Kopfzeile">
    <w:name w:val="header"/>
    <w:basedOn w:val="Standard"/>
    <w:link w:val="KopfzeileZchn"/>
    <w:uiPriority w:val="99"/>
    <w:unhideWhenUsed/>
    <w:rsid w:val="0098296B"/>
    <w:pPr>
      <w:framePr w:w="9468" w:wrap="notBeside" w:vAnchor="page" w:hAnchor="margin" w:y="1178"/>
      <w:pBdr>
        <w:bottom w:val="single" w:sz="4" w:space="0" w:color="000000"/>
      </w:pBdr>
      <w:tabs>
        <w:tab w:val="center" w:pos="4734"/>
        <w:tab w:val="right" w:pos="9468"/>
      </w:tabs>
      <w:spacing w:before="80" w:after="80"/>
    </w:pPr>
  </w:style>
  <w:style w:type="character" w:customStyle="1" w:styleId="KopfzeileZchn">
    <w:name w:val="Kopfzeile Zchn"/>
    <w:basedOn w:val="Absatz-Standardschriftart"/>
    <w:link w:val="Kopfzeile"/>
    <w:uiPriority w:val="99"/>
    <w:rsid w:val="0098296B"/>
    <w:rPr>
      <w:rFonts w:ascii="Times New Roman" w:hAnsi="Times New Roman" w:cs="Times New Roman"/>
      <w:sz w:val="21"/>
      <w:shd w:val="clear" w:color="auto" w:fill="auto"/>
    </w:rPr>
  </w:style>
  <w:style w:type="character" w:styleId="Funotenzeichen">
    <w:name w:val="footnote reference"/>
    <w:basedOn w:val="Absatz-Standardschriftart"/>
    <w:uiPriority w:val="99"/>
    <w:semiHidden/>
    <w:unhideWhenUsed/>
    <w:rsid w:val="0098296B"/>
    <w:rPr>
      <w:shd w:val="clear" w:color="auto" w:fill="auto"/>
      <w:vertAlign w:val="superscript"/>
    </w:rPr>
  </w:style>
  <w:style w:type="character" w:customStyle="1" w:styleId="Marker">
    <w:name w:val="Marker"/>
    <w:basedOn w:val="Absatz-Standardschriftart"/>
    <w:rsid w:val="0098296B"/>
    <w:rPr>
      <w:color w:val="0000FF"/>
      <w:shd w:val="clear" w:color="auto" w:fill="auto"/>
    </w:rPr>
  </w:style>
  <w:style w:type="character" w:customStyle="1" w:styleId="Marker1">
    <w:name w:val="Marker1"/>
    <w:basedOn w:val="Absatz-Standardschriftart"/>
    <w:rsid w:val="0098296B"/>
    <w:rPr>
      <w:color w:val="008000"/>
      <w:shd w:val="clear" w:color="auto" w:fill="auto"/>
    </w:rPr>
  </w:style>
  <w:style w:type="character" w:customStyle="1" w:styleId="Marker2">
    <w:name w:val="Marker2"/>
    <w:basedOn w:val="Absatz-Standardschriftart"/>
    <w:rsid w:val="0098296B"/>
    <w:rPr>
      <w:color w:val="FF0000"/>
      <w:shd w:val="clear" w:color="auto" w:fill="auto"/>
    </w:rPr>
  </w:style>
  <w:style w:type="paragraph" w:customStyle="1" w:styleId="Hinweistext">
    <w:name w:val="Hinweistext"/>
    <w:basedOn w:val="Standard"/>
    <w:next w:val="Text"/>
    <w:rsid w:val="0098296B"/>
    <w:rPr>
      <w:color w:val="00800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98296B"/>
    <w:rPr>
      <w:rFonts w:ascii="Times New Roman" w:eastAsiaTheme="majorEastAsia" w:hAnsi="Times New Roman" w:cs="Times New Roman"/>
      <w:b/>
      <w:bCs/>
      <w:kern w:val="32"/>
      <w:sz w:val="21"/>
      <w:szCs w:val="28"/>
      <w:shd w:val="clear" w:color="auto" w:fill="auto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8296B"/>
    <w:rPr>
      <w:rFonts w:ascii="Times New Roman" w:eastAsiaTheme="majorEastAsia" w:hAnsi="Times New Roman" w:cs="Times New Roman"/>
      <w:b/>
      <w:bCs/>
      <w:sz w:val="21"/>
      <w:szCs w:val="26"/>
      <w:shd w:val="clear" w:color="auto" w:fill="auto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8296B"/>
    <w:rPr>
      <w:rFonts w:ascii="Times New Roman" w:eastAsiaTheme="majorEastAsia" w:hAnsi="Times New Roman" w:cs="Times New Roman"/>
      <w:b/>
      <w:bCs/>
      <w:sz w:val="21"/>
      <w:shd w:val="clear" w:color="auto" w:fill="auto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8296B"/>
    <w:rPr>
      <w:rFonts w:ascii="Times New Roman" w:eastAsiaTheme="majorEastAsia" w:hAnsi="Times New Roman" w:cs="Times New Roman"/>
      <w:bCs/>
      <w:iCs/>
      <w:sz w:val="21"/>
      <w:shd w:val="clear" w:color="auto" w:fill="auto"/>
    </w:rPr>
  </w:style>
  <w:style w:type="paragraph" w:customStyle="1" w:styleId="RevisionJuristischerAbsatz">
    <w:name w:val="Revision Juristischer Absatz"/>
    <w:basedOn w:val="Standard"/>
    <w:rsid w:val="0098296B"/>
    <w:pPr>
      <w:numPr>
        <w:ilvl w:val="2"/>
        <w:numId w:val="27"/>
      </w:numPr>
    </w:pPr>
    <w:rPr>
      <w:color w:val="800000"/>
    </w:rPr>
  </w:style>
  <w:style w:type="paragraph" w:customStyle="1" w:styleId="RevisionJuristischerAbsatzmanuell">
    <w:name w:val="Revision Juristischer Absatz (manuell)"/>
    <w:basedOn w:val="Standard"/>
    <w:rsid w:val="0098296B"/>
    <w:pPr>
      <w:tabs>
        <w:tab w:val="left" w:pos="850"/>
      </w:tabs>
      <w:ind w:firstLine="425"/>
    </w:pPr>
    <w:rPr>
      <w:color w:val="800000"/>
    </w:rPr>
  </w:style>
  <w:style w:type="paragraph" w:customStyle="1" w:styleId="RevisionJuristischerAbsatzFolgeabsatz">
    <w:name w:val="Revision Juristischer Absatz Folgeabsatz"/>
    <w:basedOn w:val="Standard"/>
    <w:rsid w:val="0098296B"/>
    <w:rPr>
      <w:color w:val="800000"/>
    </w:rPr>
  </w:style>
  <w:style w:type="paragraph" w:customStyle="1" w:styleId="RevisionNummerierungStufe1manuell">
    <w:name w:val="Revision Nummerierung (Stufe 1) (manuell)"/>
    <w:basedOn w:val="Standard"/>
    <w:rsid w:val="0098296B"/>
    <w:pPr>
      <w:tabs>
        <w:tab w:val="left" w:pos="425"/>
      </w:tabs>
      <w:ind w:left="425" w:hanging="425"/>
    </w:pPr>
    <w:rPr>
      <w:color w:val="800000"/>
    </w:rPr>
  </w:style>
  <w:style w:type="paragraph" w:customStyle="1" w:styleId="RevisionNummerierungFolgeabsatzStufe1">
    <w:name w:val="Revision Nummerierung Folgeabsatz (Stufe 1)"/>
    <w:basedOn w:val="Standard"/>
    <w:rsid w:val="0098296B"/>
    <w:pPr>
      <w:ind w:left="425"/>
    </w:pPr>
    <w:rPr>
      <w:color w:val="800000"/>
    </w:rPr>
  </w:style>
  <w:style w:type="paragraph" w:customStyle="1" w:styleId="RevisionNummerierungStufe2manuell">
    <w:name w:val="Revision Nummerierung (Stufe 2) (manuell)"/>
    <w:basedOn w:val="Standard"/>
    <w:rsid w:val="0098296B"/>
    <w:pPr>
      <w:tabs>
        <w:tab w:val="left" w:pos="850"/>
      </w:tabs>
      <w:ind w:left="850" w:hanging="425"/>
    </w:pPr>
    <w:rPr>
      <w:color w:val="800000"/>
    </w:rPr>
  </w:style>
  <w:style w:type="paragraph" w:customStyle="1" w:styleId="RevisionNummerierungFolgeabsatzStufe2">
    <w:name w:val="Revision Nummerierung Folgeabsatz (Stufe 2)"/>
    <w:basedOn w:val="Standard"/>
    <w:rsid w:val="0098296B"/>
    <w:pPr>
      <w:ind w:left="850"/>
    </w:pPr>
    <w:rPr>
      <w:color w:val="800000"/>
    </w:rPr>
  </w:style>
  <w:style w:type="paragraph" w:customStyle="1" w:styleId="RevisionNummerierungStufe3manuell">
    <w:name w:val="Revision Nummerierung (Stufe 3) (manuell)"/>
    <w:basedOn w:val="Standard"/>
    <w:rsid w:val="0098296B"/>
    <w:pPr>
      <w:tabs>
        <w:tab w:val="left" w:pos="1276"/>
      </w:tabs>
      <w:ind w:left="1276" w:hanging="425"/>
    </w:pPr>
    <w:rPr>
      <w:color w:val="800000"/>
    </w:rPr>
  </w:style>
  <w:style w:type="paragraph" w:customStyle="1" w:styleId="RevisionNummerierungFolgeabsatzStufe3">
    <w:name w:val="Revision Nummerierung Folgeabsatz (Stufe 3)"/>
    <w:basedOn w:val="Standard"/>
    <w:rsid w:val="0098296B"/>
    <w:pPr>
      <w:ind w:left="1276"/>
    </w:pPr>
    <w:rPr>
      <w:color w:val="800000"/>
    </w:rPr>
  </w:style>
  <w:style w:type="paragraph" w:customStyle="1" w:styleId="RevisionNummerierungStufe4manuell">
    <w:name w:val="Revision Nummerierung (Stufe 4) (manuell)"/>
    <w:basedOn w:val="Standard"/>
    <w:rsid w:val="0098296B"/>
    <w:pPr>
      <w:tabs>
        <w:tab w:val="left" w:pos="1701"/>
      </w:tabs>
      <w:ind w:left="1984" w:hanging="709"/>
    </w:pPr>
    <w:rPr>
      <w:color w:val="800000"/>
    </w:rPr>
  </w:style>
  <w:style w:type="paragraph" w:customStyle="1" w:styleId="RevisionNummerierungFolgeabsatzStufe4">
    <w:name w:val="Revision Nummerierung Folgeabsatz (Stufe 4)"/>
    <w:basedOn w:val="Standard"/>
    <w:rsid w:val="0098296B"/>
    <w:pPr>
      <w:ind w:left="1984"/>
    </w:pPr>
    <w:rPr>
      <w:color w:val="800000"/>
    </w:rPr>
  </w:style>
  <w:style w:type="paragraph" w:customStyle="1" w:styleId="RevisionNummerierungStufe1">
    <w:name w:val="Revision Nummerierung (Stufe 1)"/>
    <w:basedOn w:val="Standard"/>
    <w:rsid w:val="0098296B"/>
    <w:pPr>
      <w:numPr>
        <w:ilvl w:val="3"/>
        <w:numId w:val="27"/>
      </w:numPr>
    </w:pPr>
    <w:rPr>
      <w:color w:val="800000"/>
    </w:rPr>
  </w:style>
  <w:style w:type="paragraph" w:customStyle="1" w:styleId="RevisionNummerierungStufe2">
    <w:name w:val="Revision Nummerierung (Stufe 2)"/>
    <w:basedOn w:val="Standard"/>
    <w:rsid w:val="0098296B"/>
    <w:pPr>
      <w:numPr>
        <w:ilvl w:val="4"/>
        <w:numId w:val="27"/>
      </w:numPr>
    </w:pPr>
    <w:rPr>
      <w:color w:val="800000"/>
    </w:rPr>
  </w:style>
  <w:style w:type="paragraph" w:customStyle="1" w:styleId="RevisionNummerierungStufe3">
    <w:name w:val="Revision Nummerierung (Stufe 3)"/>
    <w:basedOn w:val="Standard"/>
    <w:rsid w:val="0098296B"/>
    <w:pPr>
      <w:numPr>
        <w:ilvl w:val="5"/>
        <w:numId w:val="27"/>
      </w:numPr>
    </w:pPr>
    <w:rPr>
      <w:color w:val="800000"/>
    </w:rPr>
  </w:style>
  <w:style w:type="paragraph" w:customStyle="1" w:styleId="RevisionNummerierungStufe4">
    <w:name w:val="Revision Nummerierung (Stufe 4)"/>
    <w:basedOn w:val="Standard"/>
    <w:rsid w:val="0098296B"/>
    <w:pPr>
      <w:numPr>
        <w:ilvl w:val="6"/>
        <w:numId w:val="27"/>
      </w:numPr>
    </w:pPr>
    <w:rPr>
      <w:color w:val="800000"/>
    </w:rPr>
  </w:style>
  <w:style w:type="character" w:customStyle="1" w:styleId="RevisionText">
    <w:name w:val="Revision Text"/>
    <w:basedOn w:val="Absatz-Standardschriftart"/>
    <w:rsid w:val="0098296B"/>
    <w:rPr>
      <w:color w:val="800000"/>
      <w:shd w:val="clear" w:color="auto" w:fill="auto"/>
    </w:rPr>
  </w:style>
  <w:style w:type="paragraph" w:customStyle="1" w:styleId="RevisionParagraphBezeichner">
    <w:name w:val="Revision Paragraph Bezeichner"/>
    <w:basedOn w:val="Standard"/>
    <w:next w:val="RevisionParagraphberschrift"/>
    <w:rsid w:val="0098296B"/>
    <w:pPr>
      <w:keepNext/>
      <w:numPr>
        <w:ilvl w:val="1"/>
        <w:numId w:val="27"/>
      </w:numPr>
      <w:spacing w:before="480"/>
      <w:jc w:val="center"/>
    </w:pPr>
    <w:rPr>
      <w:color w:val="800000"/>
    </w:rPr>
  </w:style>
  <w:style w:type="paragraph" w:customStyle="1" w:styleId="RevisionParagraphBezeichnermanuell">
    <w:name w:val="Revision Paragraph Bezeichner (manuell)"/>
    <w:basedOn w:val="Standard"/>
    <w:next w:val="RevisionParagraphberschrift"/>
    <w:rsid w:val="0098296B"/>
    <w:pPr>
      <w:keepNext/>
      <w:spacing w:before="480"/>
      <w:jc w:val="center"/>
    </w:pPr>
    <w:rPr>
      <w:color w:val="800000"/>
    </w:rPr>
  </w:style>
  <w:style w:type="paragraph" w:customStyle="1" w:styleId="RevisionParagraphberschrift">
    <w:name w:val="Revision Paragraph Überschrift"/>
    <w:basedOn w:val="Standard"/>
    <w:next w:val="RevisionJuristischerAbsatz"/>
    <w:rsid w:val="0098296B"/>
    <w:pPr>
      <w:keepNext/>
      <w:jc w:val="center"/>
    </w:pPr>
    <w:rPr>
      <w:color w:val="800000"/>
    </w:rPr>
  </w:style>
  <w:style w:type="paragraph" w:customStyle="1" w:styleId="RevisionBuchBezeichner">
    <w:name w:val="Revision Buch Bezeichner"/>
    <w:basedOn w:val="Standard"/>
    <w:next w:val="RevisionBuchberschrift"/>
    <w:rsid w:val="0098296B"/>
    <w:pPr>
      <w:keepNext/>
      <w:spacing w:before="480"/>
      <w:jc w:val="center"/>
    </w:pPr>
    <w:rPr>
      <w:color w:val="800000"/>
      <w:sz w:val="24"/>
    </w:rPr>
  </w:style>
  <w:style w:type="paragraph" w:customStyle="1" w:styleId="RevisionBuchberschrift">
    <w:name w:val="Revision Buch Überschrift"/>
    <w:basedOn w:val="Standard"/>
    <w:next w:val="RevisionParagraphBezeichner"/>
    <w:rsid w:val="0098296B"/>
    <w:pPr>
      <w:keepNext/>
      <w:spacing w:after="240"/>
      <w:jc w:val="center"/>
    </w:pPr>
    <w:rPr>
      <w:color w:val="800000"/>
      <w:sz w:val="24"/>
    </w:rPr>
  </w:style>
  <w:style w:type="paragraph" w:customStyle="1" w:styleId="RevisionTeilBezeichner">
    <w:name w:val="Revision Teil Bezeichner"/>
    <w:basedOn w:val="Standard"/>
    <w:next w:val="RevisionTeilberschrift"/>
    <w:rsid w:val="0098296B"/>
    <w:pPr>
      <w:keepNext/>
      <w:spacing w:before="480"/>
      <w:jc w:val="center"/>
    </w:pPr>
    <w:rPr>
      <w:color w:val="800000"/>
      <w:sz w:val="24"/>
    </w:rPr>
  </w:style>
  <w:style w:type="paragraph" w:customStyle="1" w:styleId="RevisionTeilberschrift">
    <w:name w:val="Revision Teil Überschrift"/>
    <w:basedOn w:val="Standard"/>
    <w:next w:val="RevisionParagraphBezeichner"/>
    <w:rsid w:val="0098296B"/>
    <w:pPr>
      <w:keepNext/>
      <w:spacing w:after="240"/>
      <w:jc w:val="center"/>
    </w:pPr>
    <w:rPr>
      <w:color w:val="800000"/>
      <w:sz w:val="24"/>
    </w:rPr>
  </w:style>
  <w:style w:type="paragraph" w:customStyle="1" w:styleId="RevisionKapitelBezeichner">
    <w:name w:val="Revision Kapitel Bezeichner"/>
    <w:basedOn w:val="Standard"/>
    <w:next w:val="RevisionKapitelberschrift"/>
    <w:rsid w:val="0098296B"/>
    <w:pPr>
      <w:keepNext/>
      <w:spacing w:before="480"/>
      <w:jc w:val="center"/>
    </w:pPr>
    <w:rPr>
      <w:color w:val="800000"/>
      <w:sz w:val="24"/>
    </w:rPr>
  </w:style>
  <w:style w:type="paragraph" w:customStyle="1" w:styleId="RevisionKapitelberschrift">
    <w:name w:val="Revision Kapitel Überschrift"/>
    <w:basedOn w:val="Standard"/>
    <w:next w:val="RevisionParagraphBezeichner"/>
    <w:rsid w:val="0098296B"/>
    <w:pPr>
      <w:keepNext/>
      <w:spacing w:after="240"/>
      <w:jc w:val="center"/>
    </w:pPr>
    <w:rPr>
      <w:color w:val="800000"/>
      <w:sz w:val="24"/>
    </w:rPr>
  </w:style>
  <w:style w:type="paragraph" w:customStyle="1" w:styleId="RevisionAbschnittBezeichner">
    <w:name w:val="Revision Abschnitt Bezeichner"/>
    <w:basedOn w:val="Standard"/>
    <w:next w:val="RevisionAbschnittberschrift"/>
    <w:rsid w:val="0098296B"/>
    <w:pPr>
      <w:keepNext/>
      <w:spacing w:before="480"/>
      <w:jc w:val="center"/>
    </w:pPr>
    <w:rPr>
      <w:color w:val="800000"/>
    </w:rPr>
  </w:style>
  <w:style w:type="paragraph" w:customStyle="1" w:styleId="RevisionAbschnittberschrift">
    <w:name w:val="Revision Abschnitt Überschrift"/>
    <w:basedOn w:val="Standard"/>
    <w:next w:val="RevisionParagraphBezeichner"/>
    <w:rsid w:val="0098296B"/>
    <w:pPr>
      <w:keepNext/>
      <w:spacing w:after="240"/>
      <w:jc w:val="center"/>
    </w:pPr>
    <w:rPr>
      <w:color w:val="800000"/>
    </w:rPr>
  </w:style>
  <w:style w:type="paragraph" w:customStyle="1" w:styleId="RevisionUnterabschnittBezeichner">
    <w:name w:val="Revision Unterabschnitt Bezeichner"/>
    <w:basedOn w:val="Standard"/>
    <w:next w:val="RevisionUnterabschnittberschrift"/>
    <w:rsid w:val="0098296B"/>
    <w:pPr>
      <w:keepNext/>
      <w:spacing w:before="480"/>
      <w:jc w:val="center"/>
    </w:pPr>
    <w:rPr>
      <w:color w:val="800000"/>
    </w:rPr>
  </w:style>
  <w:style w:type="paragraph" w:customStyle="1" w:styleId="RevisionUnterabschnittberschrift">
    <w:name w:val="Revision Unterabschnitt Überschrift"/>
    <w:basedOn w:val="Standard"/>
    <w:next w:val="RevisionParagraphBezeichner"/>
    <w:rsid w:val="0098296B"/>
    <w:pPr>
      <w:keepNext/>
      <w:spacing w:after="240"/>
      <w:jc w:val="center"/>
    </w:pPr>
    <w:rPr>
      <w:color w:val="800000"/>
    </w:rPr>
  </w:style>
  <w:style w:type="paragraph" w:customStyle="1" w:styleId="RevisionTitelBezeichner">
    <w:name w:val="Revision Titel Bezeichner"/>
    <w:basedOn w:val="Standard"/>
    <w:next w:val="RevisionTitelberschrift"/>
    <w:rsid w:val="0098296B"/>
    <w:pPr>
      <w:keepNext/>
      <w:spacing w:before="480"/>
      <w:jc w:val="center"/>
    </w:pPr>
    <w:rPr>
      <w:color w:val="800000"/>
    </w:rPr>
  </w:style>
  <w:style w:type="paragraph" w:customStyle="1" w:styleId="RevisionTitelberschrift">
    <w:name w:val="Revision Titel Überschrift"/>
    <w:basedOn w:val="Standard"/>
    <w:next w:val="RevisionParagraphBezeichner"/>
    <w:rsid w:val="0098296B"/>
    <w:pPr>
      <w:keepNext/>
      <w:spacing w:after="240"/>
      <w:jc w:val="center"/>
    </w:pPr>
    <w:rPr>
      <w:color w:val="800000"/>
    </w:rPr>
  </w:style>
  <w:style w:type="paragraph" w:customStyle="1" w:styleId="RevisionUntertitelBezeichner">
    <w:name w:val="Revision Untertitel Bezeichner"/>
    <w:basedOn w:val="Standard"/>
    <w:next w:val="RevisionUntertitelberschrift"/>
    <w:rsid w:val="0098296B"/>
    <w:pPr>
      <w:keepNext/>
      <w:spacing w:before="480"/>
      <w:jc w:val="center"/>
    </w:pPr>
    <w:rPr>
      <w:color w:val="800000"/>
    </w:rPr>
  </w:style>
  <w:style w:type="paragraph" w:customStyle="1" w:styleId="RevisionUntertitelberschrift">
    <w:name w:val="Revision Untertitel Überschrift"/>
    <w:basedOn w:val="Standard"/>
    <w:next w:val="RevisionParagraphBezeichner"/>
    <w:rsid w:val="0098296B"/>
    <w:pPr>
      <w:keepNext/>
      <w:spacing w:after="240"/>
      <w:jc w:val="center"/>
    </w:pPr>
    <w:rPr>
      <w:color w:val="800000"/>
    </w:rPr>
  </w:style>
  <w:style w:type="paragraph" w:customStyle="1" w:styleId="RevisionArtikelBezeichnermanuell">
    <w:name w:val="Revision Artikel Bezeichner (manuell)"/>
    <w:basedOn w:val="Standard"/>
    <w:next w:val="RevisionArtikelberschrift"/>
    <w:rsid w:val="0098296B"/>
    <w:pPr>
      <w:keepNext/>
      <w:spacing w:before="480" w:after="240"/>
      <w:jc w:val="center"/>
    </w:pPr>
    <w:rPr>
      <w:color w:val="800000"/>
      <w:sz w:val="22"/>
    </w:rPr>
  </w:style>
  <w:style w:type="paragraph" w:customStyle="1" w:styleId="RevisionArtikelBezeichner">
    <w:name w:val="Revision Artikel Bezeichner"/>
    <w:basedOn w:val="Standard"/>
    <w:next w:val="RevisionArtikelberschrift"/>
    <w:rsid w:val="0098296B"/>
    <w:pPr>
      <w:keepNext/>
      <w:numPr>
        <w:numId w:val="27"/>
      </w:numPr>
      <w:spacing w:before="480" w:after="240"/>
      <w:jc w:val="center"/>
    </w:pPr>
    <w:rPr>
      <w:color w:val="800000"/>
      <w:sz w:val="22"/>
    </w:rPr>
  </w:style>
  <w:style w:type="paragraph" w:customStyle="1" w:styleId="RevisionArtikelberschrift">
    <w:name w:val="Revision Artikel Überschrift"/>
    <w:basedOn w:val="Standard"/>
    <w:next w:val="RevisionJuristischerAbsatz"/>
    <w:rsid w:val="0098296B"/>
    <w:pPr>
      <w:keepNext/>
      <w:spacing w:after="240"/>
      <w:jc w:val="center"/>
    </w:pPr>
    <w:rPr>
      <w:color w:val="800000"/>
      <w:sz w:val="22"/>
    </w:rPr>
  </w:style>
  <w:style w:type="paragraph" w:customStyle="1" w:styleId="RevisionBezeichnungStammdokument">
    <w:name w:val="Revision Bezeichnung (Stammdokument)"/>
    <w:basedOn w:val="Standard"/>
    <w:next w:val="RevisionKurzbezeichnung-AbkrzungStammdokument"/>
    <w:rsid w:val="0098296B"/>
    <w:pPr>
      <w:spacing w:after="120"/>
      <w:jc w:val="center"/>
    </w:pPr>
    <w:rPr>
      <w:rFonts w:ascii="Arial" w:hAnsi="Arial" w:cs="Arial"/>
      <w:color w:val="800000"/>
      <w:sz w:val="24"/>
    </w:rPr>
  </w:style>
  <w:style w:type="paragraph" w:customStyle="1" w:styleId="RevisionKurzbezeichnung-AbkrzungStammdokument">
    <w:name w:val="Revision Kurzbezeichnung - Abkürzung (Stammdokument)"/>
    <w:basedOn w:val="Standard"/>
    <w:rsid w:val="0098296B"/>
    <w:pPr>
      <w:jc w:val="center"/>
    </w:pPr>
    <w:rPr>
      <w:rFonts w:ascii="Arial" w:hAnsi="Arial" w:cs="Arial"/>
      <w:color w:val="800000"/>
      <w:sz w:val="24"/>
    </w:rPr>
  </w:style>
  <w:style w:type="paragraph" w:customStyle="1" w:styleId="RevisionEingangsformelStandardStammdokument">
    <w:name w:val="Revision Eingangsformel Standard (Stammdokument)"/>
    <w:basedOn w:val="Standard"/>
    <w:rsid w:val="0098296B"/>
    <w:pPr>
      <w:ind w:firstLine="425"/>
    </w:pPr>
    <w:rPr>
      <w:color w:val="800000"/>
    </w:rPr>
  </w:style>
  <w:style w:type="paragraph" w:customStyle="1" w:styleId="RevisionEingangsformelAufzhlungStammdokument">
    <w:name w:val="Revision Eingangsformel Aufzählung (Stammdokument)"/>
    <w:basedOn w:val="Standard"/>
    <w:rsid w:val="0098296B"/>
    <w:pPr>
      <w:numPr>
        <w:numId w:val="34"/>
      </w:numPr>
    </w:pPr>
    <w:rPr>
      <w:color w:val="800000"/>
    </w:rPr>
  </w:style>
  <w:style w:type="paragraph" w:customStyle="1" w:styleId="RevisionVerzeichnisTitelStammdokument">
    <w:name w:val="Revision Verzeichnis Titel (Stammdokument)"/>
    <w:basedOn w:val="Standard"/>
    <w:next w:val="RevisionVerzeichnis2"/>
    <w:rsid w:val="0098296B"/>
    <w:pPr>
      <w:spacing w:before="180"/>
      <w:jc w:val="center"/>
    </w:pPr>
    <w:rPr>
      <w:color w:val="800000"/>
    </w:rPr>
  </w:style>
  <w:style w:type="paragraph" w:customStyle="1" w:styleId="RevisionVerzeichnis1">
    <w:name w:val="Revision Verzeichnis 1"/>
    <w:basedOn w:val="Standard"/>
    <w:rsid w:val="0098296B"/>
    <w:pPr>
      <w:tabs>
        <w:tab w:val="left" w:pos="1134"/>
      </w:tabs>
      <w:ind w:left="1134" w:hanging="1134"/>
    </w:pPr>
    <w:rPr>
      <w:color w:val="800000"/>
    </w:rPr>
  </w:style>
  <w:style w:type="paragraph" w:customStyle="1" w:styleId="RevisionVerzeichnis2">
    <w:name w:val="Revision Verzeichnis 2"/>
    <w:basedOn w:val="Standard"/>
    <w:rsid w:val="0098296B"/>
    <w:pPr>
      <w:keepNext/>
      <w:spacing w:before="240" w:line="360" w:lineRule="auto"/>
      <w:jc w:val="center"/>
    </w:pPr>
    <w:rPr>
      <w:color w:val="800000"/>
    </w:rPr>
  </w:style>
  <w:style w:type="paragraph" w:customStyle="1" w:styleId="RevisionVerzeichnis3">
    <w:name w:val="Revision Verzeichnis 3"/>
    <w:basedOn w:val="Standard"/>
    <w:rsid w:val="0098296B"/>
    <w:pPr>
      <w:keepNext/>
      <w:spacing w:before="240" w:line="360" w:lineRule="auto"/>
      <w:jc w:val="center"/>
    </w:pPr>
    <w:rPr>
      <w:color w:val="800000"/>
    </w:rPr>
  </w:style>
  <w:style w:type="paragraph" w:customStyle="1" w:styleId="RevisionVerzeichnis4">
    <w:name w:val="Revision Verzeichnis 4"/>
    <w:basedOn w:val="Standard"/>
    <w:rsid w:val="0098296B"/>
    <w:pPr>
      <w:keepNext/>
      <w:spacing w:before="240" w:line="360" w:lineRule="auto"/>
      <w:jc w:val="center"/>
    </w:pPr>
    <w:rPr>
      <w:color w:val="800000"/>
    </w:rPr>
  </w:style>
  <w:style w:type="paragraph" w:customStyle="1" w:styleId="RevisionVerzeichnis5">
    <w:name w:val="Revision Verzeichnis 5"/>
    <w:basedOn w:val="Standard"/>
    <w:rsid w:val="0098296B"/>
    <w:pPr>
      <w:keepNext/>
      <w:spacing w:before="240" w:line="360" w:lineRule="auto"/>
      <w:jc w:val="center"/>
    </w:pPr>
    <w:rPr>
      <w:color w:val="800000"/>
    </w:rPr>
  </w:style>
  <w:style w:type="paragraph" w:customStyle="1" w:styleId="RevisionVerzeichnis6">
    <w:name w:val="Revision Verzeichnis 6"/>
    <w:basedOn w:val="Standard"/>
    <w:rsid w:val="0098296B"/>
    <w:pPr>
      <w:keepNext/>
      <w:spacing w:before="240" w:line="360" w:lineRule="auto"/>
      <w:jc w:val="center"/>
    </w:pPr>
    <w:rPr>
      <w:color w:val="800000"/>
    </w:rPr>
  </w:style>
  <w:style w:type="paragraph" w:customStyle="1" w:styleId="RevisionVerzeichnis7">
    <w:name w:val="Revision Verzeichnis 7"/>
    <w:basedOn w:val="Standard"/>
    <w:rsid w:val="0098296B"/>
    <w:pPr>
      <w:keepNext/>
      <w:spacing w:before="240" w:line="360" w:lineRule="auto"/>
      <w:jc w:val="center"/>
    </w:pPr>
    <w:rPr>
      <w:color w:val="800000"/>
    </w:rPr>
  </w:style>
  <w:style w:type="paragraph" w:customStyle="1" w:styleId="RevisionVerzeichnis8">
    <w:name w:val="Revision Verzeichnis 8"/>
    <w:basedOn w:val="Standard"/>
    <w:rsid w:val="0098296B"/>
    <w:pPr>
      <w:keepNext/>
      <w:spacing w:before="240" w:line="360" w:lineRule="auto"/>
      <w:jc w:val="center"/>
    </w:pPr>
    <w:rPr>
      <w:color w:val="800000"/>
    </w:rPr>
  </w:style>
  <w:style w:type="paragraph" w:customStyle="1" w:styleId="RevisionVerzeichnis9">
    <w:name w:val="Revision Verzeichnis 9"/>
    <w:basedOn w:val="Standard"/>
    <w:rsid w:val="0098296B"/>
    <w:pPr>
      <w:tabs>
        <w:tab w:val="left" w:pos="709"/>
      </w:tabs>
      <w:ind w:left="709" w:hanging="709"/>
    </w:pPr>
    <w:rPr>
      <w:color w:val="800000"/>
    </w:rPr>
  </w:style>
  <w:style w:type="paragraph" w:customStyle="1" w:styleId="RevisionAnlageBezeichner">
    <w:name w:val="Revision Anlage Bezeichner"/>
    <w:basedOn w:val="Standard"/>
    <w:next w:val="RevisionAnlageVerweis"/>
    <w:rsid w:val="0098296B"/>
    <w:pPr>
      <w:spacing w:before="240"/>
      <w:jc w:val="right"/>
    </w:pPr>
    <w:rPr>
      <w:color w:val="800000"/>
      <w:sz w:val="24"/>
    </w:rPr>
  </w:style>
  <w:style w:type="paragraph" w:customStyle="1" w:styleId="RevisionAnlageberschrift">
    <w:name w:val="Revision Anlage Überschrift"/>
    <w:basedOn w:val="Standard"/>
    <w:next w:val="RevisionAnlageText"/>
    <w:rsid w:val="0098296B"/>
    <w:pPr>
      <w:jc w:val="center"/>
    </w:pPr>
    <w:rPr>
      <w:color w:val="800000"/>
      <w:sz w:val="24"/>
    </w:rPr>
  </w:style>
  <w:style w:type="paragraph" w:customStyle="1" w:styleId="RevisionAnlageVerzeichnisTitel">
    <w:name w:val="Revision Anlage Verzeichnis Titel"/>
    <w:basedOn w:val="Standard"/>
    <w:next w:val="RevisionAnlageVerzeichnis1"/>
    <w:rsid w:val="0098296B"/>
    <w:pPr>
      <w:jc w:val="center"/>
    </w:pPr>
    <w:rPr>
      <w:color w:val="800000"/>
      <w:sz w:val="24"/>
    </w:rPr>
  </w:style>
  <w:style w:type="paragraph" w:customStyle="1" w:styleId="RevisionAnlageVerzeichnis1">
    <w:name w:val="Revision Anlage Verzeichnis 1"/>
    <w:basedOn w:val="Standard"/>
    <w:rsid w:val="0098296B"/>
    <w:pPr>
      <w:jc w:val="center"/>
    </w:pPr>
    <w:rPr>
      <w:color w:val="800000"/>
      <w:sz w:val="22"/>
    </w:rPr>
  </w:style>
  <w:style w:type="paragraph" w:customStyle="1" w:styleId="RevisionAnlageVerzeichnis2">
    <w:name w:val="Revision Anlage Verzeichnis 2"/>
    <w:basedOn w:val="Standard"/>
    <w:rsid w:val="0098296B"/>
    <w:pPr>
      <w:jc w:val="center"/>
    </w:pPr>
    <w:rPr>
      <w:color w:val="800000"/>
      <w:sz w:val="22"/>
    </w:rPr>
  </w:style>
  <w:style w:type="paragraph" w:customStyle="1" w:styleId="RevisionAnlageVerzeichnis3">
    <w:name w:val="Revision Anlage Verzeichnis 3"/>
    <w:basedOn w:val="Standard"/>
    <w:rsid w:val="0098296B"/>
    <w:pPr>
      <w:jc w:val="center"/>
    </w:pPr>
    <w:rPr>
      <w:color w:val="800000"/>
    </w:rPr>
  </w:style>
  <w:style w:type="paragraph" w:customStyle="1" w:styleId="RevisionAnlageVerzeichnis4">
    <w:name w:val="Revision Anlage Verzeichnis 4"/>
    <w:basedOn w:val="Standard"/>
    <w:rsid w:val="0098296B"/>
    <w:pPr>
      <w:jc w:val="center"/>
    </w:pPr>
    <w:rPr>
      <w:color w:val="800000"/>
    </w:rPr>
  </w:style>
  <w:style w:type="paragraph" w:customStyle="1" w:styleId="Revisionberschrift1">
    <w:name w:val="Revision Überschrift 1"/>
    <w:basedOn w:val="Standard"/>
    <w:next w:val="RevisionAnlageText"/>
    <w:rsid w:val="0098296B"/>
    <w:pPr>
      <w:keepNext/>
      <w:spacing w:before="240"/>
    </w:pPr>
    <w:rPr>
      <w:color w:val="800000"/>
    </w:rPr>
  </w:style>
  <w:style w:type="paragraph" w:customStyle="1" w:styleId="Revisionberschrift2">
    <w:name w:val="Revision Überschrift 2"/>
    <w:basedOn w:val="Standard"/>
    <w:next w:val="RevisionAnlageText"/>
    <w:rsid w:val="0098296B"/>
    <w:pPr>
      <w:keepNext/>
      <w:spacing w:before="240"/>
    </w:pPr>
    <w:rPr>
      <w:color w:val="800000"/>
    </w:rPr>
  </w:style>
  <w:style w:type="paragraph" w:customStyle="1" w:styleId="Revisionberschrift3">
    <w:name w:val="Revision Überschrift 3"/>
    <w:basedOn w:val="Standard"/>
    <w:next w:val="RevisionAnlageText"/>
    <w:rsid w:val="0098296B"/>
    <w:pPr>
      <w:keepNext/>
      <w:spacing w:before="240"/>
    </w:pPr>
    <w:rPr>
      <w:color w:val="800000"/>
    </w:rPr>
  </w:style>
  <w:style w:type="paragraph" w:customStyle="1" w:styleId="Revisionberschrift4">
    <w:name w:val="Revision Überschrift 4"/>
    <w:basedOn w:val="Standard"/>
    <w:next w:val="RevisionAnlageText"/>
    <w:rsid w:val="0098296B"/>
    <w:pPr>
      <w:keepNext/>
      <w:spacing w:before="240"/>
    </w:pPr>
    <w:rPr>
      <w:color w:val="800000"/>
    </w:rPr>
  </w:style>
  <w:style w:type="paragraph" w:customStyle="1" w:styleId="RevisionAnlageText">
    <w:name w:val="Revision Anlage Text"/>
    <w:basedOn w:val="Standard"/>
    <w:rsid w:val="0098296B"/>
    <w:rPr>
      <w:color w:val="800000"/>
    </w:rPr>
  </w:style>
  <w:style w:type="paragraph" w:customStyle="1" w:styleId="RevisionListeStufe1">
    <w:name w:val="Revision Liste (Stufe 1)"/>
    <w:basedOn w:val="Standard"/>
    <w:rsid w:val="0098296B"/>
    <w:pPr>
      <w:numPr>
        <w:numId w:val="28"/>
      </w:numPr>
      <w:tabs>
        <w:tab w:val="left" w:pos="0"/>
      </w:tabs>
    </w:pPr>
    <w:rPr>
      <w:color w:val="800000"/>
    </w:rPr>
  </w:style>
  <w:style w:type="paragraph" w:customStyle="1" w:styleId="RevisionListeStufe1manuell">
    <w:name w:val="Revision Liste (Stufe 1) (manuell)"/>
    <w:basedOn w:val="Standard"/>
    <w:rsid w:val="0098296B"/>
    <w:pPr>
      <w:tabs>
        <w:tab w:val="left" w:pos="425"/>
      </w:tabs>
      <w:ind w:left="425" w:hanging="425"/>
    </w:pPr>
    <w:rPr>
      <w:color w:val="800000"/>
    </w:rPr>
  </w:style>
  <w:style w:type="paragraph" w:customStyle="1" w:styleId="RevisionListeFolgeabsatzStufe1">
    <w:name w:val="Revision Liste Folgeabsatz (Stufe 1)"/>
    <w:basedOn w:val="Standard"/>
    <w:rsid w:val="0098296B"/>
    <w:pPr>
      <w:numPr>
        <w:ilvl w:val="1"/>
        <w:numId w:val="28"/>
      </w:numPr>
    </w:pPr>
    <w:rPr>
      <w:color w:val="800000"/>
    </w:rPr>
  </w:style>
  <w:style w:type="paragraph" w:customStyle="1" w:styleId="RevisionListeStufe2">
    <w:name w:val="Revision Liste (Stufe 2)"/>
    <w:basedOn w:val="Standard"/>
    <w:rsid w:val="0098296B"/>
    <w:pPr>
      <w:numPr>
        <w:ilvl w:val="2"/>
        <w:numId w:val="28"/>
      </w:numPr>
    </w:pPr>
    <w:rPr>
      <w:color w:val="800000"/>
    </w:rPr>
  </w:style>
  <w:style w:type="paragraph" w:customStyle="1" w:styleId="RevisionListeStufe2manuell">
    <w:name w:val="Revision Liste (Stufe 2) (manuell)"/>
    <w:basedOn w:val="Standard"/>
    <w:rsid w:val="0098296B"/>
    <w:pPr>
      <w:tabs>
        <w:tab w:val="left" w:pos="850"/>
      </w:tabs>
      <w:ind w:left="850" w:hanging="425"/>
    </w:pPr>
    <w:rPr>
      <w:color w:val="800000"/>
    </w:rPr>
  </w:style>
  <w:style w:type="paragraph" w:customStyle="1" w:styleId="RevisionListeFolgeabsatzStufe2">
    <w:name w:val="Revision Liste Folgeabsatz (Stufe 2)"/>
    <w:basedOn w:val="Standard"/>
    <w:rsid w:val="0098296B"/>
    <w:pPr>
      <w:numPr>
        <w:ilvl w:val="3"/>
        <w:numId w:val="28"/>
      </w:numPr>
    </w:pPr>
    <w:rPr>
      <w:color w:val="800000"/>
    </w:rPr>
  </w:style>
  <w:style w:type="paragraph" w:customStyle="1" w:styleId="RevisionListeStufe3">
    <w:name w:val="Revision Liste (Stufe 3)"/>
    <w:basedOn w:val="Standard"/>
    <w:rsid w:val="0098296B"/>
    <w:pPr>
      <w:numPr>
        <w:ilvl w:val="4"/>
        <w:numId w:val="28"/>
      </w:numPr>
    </w:pPr>
    <w:rPr>
      <w:color w:val="800000"/>
    </w:rPr>
  </w:style>
  <w:style w:type="paragraph" w:customStyle="1" w:styleId="RevisionListeStufe3manuell">
    <w:name w:val="Revision Liste (Stufe 3) (manuell)"/>
    <w:basedOn w:val="Standard"/>
    <w:rsid w:val="0098296B"/>
    <w:pPr>
      <w:tabs>
        <w:tab w:val="left" w:pos="1276"/>
      </w:tabs>
      <w:ind w:left="1276" w:hanging="425"/>
    </w:pPr>
    <w:rPr>
      <w:color w:val="800000"/>
    </w:rPr>
  </w:style>
  <w:style w:type="paragraph" w:customStyle="1" w:styleId="RevisionListeFolgeabsatzStufe3">
    <w:name w:val="Revision Liste Folgeabsatz (Stufe 3)"/>
    <w:basedOn w:val="Standard"/>
    <w:rsid w:val="0098296B"/>
    <w:pPr>
      <w:numPr>
        <w:ilvl w:val="5"/>
        <w:numId w:val="28"/>
      </w:numPr>
    </w:pPr>
    <w:rPr>
      <w:color w:val="800000"/>
    </w:rPr>
  </w:style>
  <w:style w:type="paragraph" w:customStyle="1" w:styleId="RevisionListeStufe4">
    <w:name w:val="Revision Liste (Stufe 4)"/>
    <w:basedOn w:val="Standard"/>
    <w:rsid w:val="0098296B"/>
    <w:pPr>
      <w:numPr>
        <w:ilvl w:val="6"/>
        <w:numId w:val="28"/>
      </w:numPr>
    </w:pPr>
    <w:rPr>
      <w:color w:val="800000"/>
    </w:rPr>
  </w:style>
  <w:style w:type="paragraph" w:customStyle="1" w:styleId="RevisionListeStufe4manuell">
    <w:name w:val="Revision Liste (Stufe 4) (manuell)"/>
    <w:basedOn w:val="Standard"/>
    <w:rsid w:val="0098296B"/>
    <w:pPr>
      <w:tabs>
        <w:tab w:val="left" w:pos="1984"/>
      </w:tabs>
      <w:ind w:left="1984" w:hanging="709"/>
    </w:pPr>
    <w:rPr>
      <w:color w:val="800000"/>
    </w:rPr>
  </w:style>
  <w:style w:type="paragraph" w:customStyle="1" w:styleId="RevisionListeFolgeabsatzStufe4">
    <w:name w:val="Revision Liste Folgeabsatz (Stufe 4)"/>
    <w:basedOn w:val="Standard"/>
    <w:rsid w:val="0098296B"/>
    <w:pPr>
      <w:numPr>
        <w:ilvl w:val="7"/>
        <w:numId w:val="28"/>
      </w:numPr>
    </w:pPr>
    <w:rPr>
      <w:color w:val="800000"/>
    </w:rPr>
  </w:style>
  <w:style w:type="paragraph" w:customStyle="1" w:styleId="RevisionAufzhlungStufe1">
    <w:name w:val="Revision Aufzählung (Stufe 1)"/>
    <w:basedOn w:val="Standard"/>
    <w:rsid w:val="0098296B"/>
    <w:pPr>
      <w:numPr>
        <w:numId w:val="29"/>
      </w:numPr>
      <w:tabs>
        <w:tab w:val="left" w:pos="0"/>
      </w:tabs>
    </w:pPr>
    <w:rPr>
      <w:color w:val="800000"/>
    </w:rPr>
  </w:style>
  <w:style w:type="paragraph" w:customStyle="1" w:styleId="RevisionAufzhlungFolgeabsatzStufe1">
    <w:name w:val="Revision Aufzählung Folgeabsatz (Stufe 1)"/>
    <w:basedOn w:val="Standard"/>
    <w:rsid w:val="0098296B"/>
    <w:pPr>
      <w:tabs>
        <w:tab w:val="left" w:pos="425"/>
      </w:tabs>
      <w:ind w:left="425"/>
    </w:pPr>
    <w:rPr>
      <w:color w:val="800000"/>
    </w:rPr>
  </w:style>
  <w:style w:type="paragraph" w:customStyle="1" w:styleId="RevisionAufzhlungStufe2">
    <w:name w:val="Revision Aufzählung (Stufe 2)"/>
    <w:basedOn w:val="Standard"/>
    <w:rsid w:val="0098296B"/>
    <w:pPr>
      <w:numPr>
        <w:numId w:val="30"/>
      </w:numPr>
      <w:tabs>
        <w:tab w:val="left" w:pos="425"/>
      </w:tabs>
    </w:pPr>
    <w:rPr>
      <w:color w:val="800000"/>
    </w:rPr>
  </w:style>
  <w:style w:type="paragraph" w:customStyle="1" w:styleId="RevisionAufzhlungFolgeabsatzStufe2">
    <w:name w:val="Revision Aufzählung Folgeabsatz (Stufe 2)"/>
    <w:basedOn w:val="Standard"/>
    <w:rsid w:val="0098296B"/>
    <w:pPr>
      <w:tabs>
        <w:tab w:val="left" w:pos="794"/>
      </w:tabs>
      <w:ind w:left="850"/>
    </w:pPr>
    <w:rPr>
      <w:color w:val="800000"/>
    </w:rPr>
  </w:style>
  <w:style w:type="paragraph" w:customStyle="1" w:styleId="RevisionAufzhlungStufe3">
    <w:name w:val="Revision Aufzählung (Stufe 3)"/>
    <w:basedOn w:val="Standard"/>
    <w:rsid w:val="0098296B"/>
    <w:pPr>
      <w:numPr>
        <w:numId w:val="31"/>
      </w:numPr>
      <w:tabs>
        <w:tab w:val="left" w:pos="850"/>
      </w:tabs>
    </w:pPr>
    <w:rPr>
      <w:color w:val="800000"/>
    </w:rPr>
  </w:style>
  <w:style w:type="paragraph" w:customStyle="1" w:styleId="RevisionAufzhlungFolgeabsatzStufe3">
    <w:name w:val="Revision Aufzählung Folgeabsatz (Stufe 3)"/>
    <w:basedOn w:val="Standard"/>
    <w:rsid w:val="0098296B"/>
    <w:pPr>
      <w:tabs>
        <w:tab w:val="left" w:pos="1276"/>
      </w:tabs>
      <w:ind w:left="1276"/>
    </w:pPr>
    <w:rPr>
      <w:color w:val="800000"/>
    </w:rPr>
  </w:style>
  <w:style w:type="paragraph" w:customStyle="1" w:styleId="RevisionAufzhlungStufe4">
    <w:name w:val="Revision Aufzählung (Stufe 4)"/>
    <w:basedOn w:val="Standard"/>
    <w:rsid w:val="0098296B"/>
    <w:pPr>
      <w:numPr>
        <w:numId w:val="32"/>
      </w:numPr>
      <w:tabs>
        <w:tab w:val="left" w:pos="1276"/>
      </w:tabs>
    </w:pPr>
    <w:rPr>
      <w:color w:val="800000"/>
    </w:rPr>
  </w:style>
  <w:style w:type="paragraph" w:customStyle="1" w:styleId="RevisionAufzhlungFolgeabsatzStufe4">
    <w:name w:val="Revision Aufzählung Folgeabsatz (Stufe 4)"/>
    <w:basedOn w:val="Standard"/>
    <w:rsid w:val="0098296B"/>
    <w:pPr>
      <w:tabs>
        <w:tab w:val="left" w:pos="1701"/>
      </w:tabs>
      <w:ind w:left="1701"/>
    </w:pPr>
    <w:rPr>
      <w:color w:val="800000"/>
    </w:rPr>
  </w:style>
  <w:style w:type="paragraph" w:customStyle="1" w:styleId="RevisionAufzhlungStufe5">
    <w:name w:val="Revision Aufzählung (Stufe 5)"/>
    <w:basedOn w:val="Standard"/>
    <w:rsid w:val="0098296B"/>
    <w:pPr>
      <w:numPr>
        <w:numId w:val="33"/>
      </w:numPr>
      <w:tabs>
        <w:tab w:val="left" w:pos="1701"/>
      </w:tabs>
    </w:pPr>
    <w:rPr>
      <w:color w:val="800000"/>
    </w:rPr>
  </w:style>
  <w:style w:type="paragraph" w:customStyle="1" w:styleId="RevisionAufzhlungFolgeabsatzStufe5">
    <w:name w:val="Revision Aufzählung Folgeabsatz (Stufe 5)"/>
    <w:basedOn w:val="Standard"/>
    <w:rsid w:val="0098296B"/>
    <w:pPr>
      <w:tabs>
        <w:tab w:val="left" w:pos="2126"/>
      </w:tabs>
      <w:ind w:left="2126"/>
    </w:pPr>
    <w:rPr>
      <w:color w:val="800000"/>
    </w:rPr>
  </w:style>
  <w:style w:type="paragraph" w:customStyle="1" w:styleId="RevisionFunotentext">
    <w:name w:val="Revision Fußnotentext"/>
    <w:basedOn w:val="Funotentext"/>
    <w:rsid w:val="0098296B"/>
    <w:rPr>
      <w:color w:val="800000"/>
    </w:rPr>
  </w:style>
  <w:style w:type="paragraph" w:customStyle="1" w:styleId="RevisionFormel">
    <w:name w:val="Revision Formel"/>
    <w:basedOn w:val="Standard"/>
    <w:rsid w:val="0098296B"/>
    <w:pPr>
      <w:spacing w:before="240" w:after="240"/>
      <w:jc w:val="center"/>
    </w:pPr>
    <w:rPr>
      <w:color w:val="800000"/>
    </w:rPr>
  </w:style>
  <w:style w:type="paragraph" w:customStyle="1" w:styleId="RevisionGrafik">
    <w:name w:val="Revision Grafik"/>
    <w:basedOn w:val="Standard"/>
    <w:rsid w:val="0098296B"/>
    <w:pPr>
      <w:spacing w:before="240" w:after="240"/>
      <w:jc w:val="center"/>
    </w:pPr>
    <w:rPr>
      <w:color w:val="800000"/>
    </w:rPr>
  </w:style>
  <w:style w:type="paragraph" w:customStyle="1" w:styleId="RevisionVerzeichnisTitelnderungsdokument">
    <w:name w:val="Revision Verzeichnis Titel (Änderungsdokument)"/>
    <w:basedOn w:val="Standard"/>
    <w:next w:val="RevisionVerzeichnis1"/>
    <w:rsid w:val="0098296B"/>
    <w:pPr>
      <w:spacing w:before="180"/>
      <w:jc w:val="center"/>
    </w:pPr>
    <w:rPr>
      <w:color w:val="800000"/>
    </w:rPr>
  </w:style>
  <w:style w:type="paragraph" w:customStyle="1" w:styleId="RevisionAnlageVerweis">
    <w:name w:val="Revision Anlage Verweis"/>
    <w:basedOn w:val="Standard"/>
    <w:next w:val="RevisionAnlageberschrift"/>
    <w:rsid w:val="0098296B"/>
    <w:pPr>
      <w:spacing w:before="0"/>
      <w:jc w:val="right"/>
    </w:pPr>
    <w:rPr>
      <w:color w:val="800000"/>
    </w:rPr>
  </w:style>
  <w:style w:type="paragraph" w:customStyle="1" w:styleId="EmpfehlungTextnummeriert">
    <w:name w:val="Empfehlung Text (nummeriert)"/>
    <w:basedOn w:val="Standard"/>
    <w:rsid w:val="0098296B"/>
    <w:pPr>
      <w:numPr>
        <w:numId w:val="35"/>
      </w:numPr>
    </w:pPr>
  </w:style>
  <w:style w:type="paragraph" w:customStyle="1" w:styleId="EmpfehlungTextnichtnummeriert">
    <w:name w:val="Empfehlung Text (nicht nummeriert)"/>
    <w:basedOn w:val="Standard"/>
    <w:next w:val="EmpfehlungNummerierungStufe1"/>
    <w:rsid w:val="0098296B"/>
  </w:style>
  <w:style w:type="paragraph" w:customStyle="1" w:styleId="EmpfehlungNummerierungStufe1">
    <w:name w:val="Empfehlung Nummerierung (Stufe 1)"/>
    <w:basedOn w:val="Standard"/>
    <w:rsid w:val="0098296B"/>
    <w:pPr>
      <w:numPr>
        <w:ilvl w:val="1"/>
        <w:numId w:val="35"/>
      </w:numPr>
      <w:outlineLvl w:val="2"/>
    </w:pPr>
  </w:style>
  <w:style w:type="paragraph" w:customStyle="1" w:styleId="EmpfehlungNummerierungFolgeabsatzStufe1">
    <w:name w:val="Empfehlung Nummerierung Folgeabsatz (Stufe 1)"/>
    <w:basedOn w:val="Standard"/>
    <w:rsid w:val="0098296B"/>
    <w:pPr>
      <w:tabs>
        <w:tab w:val="left" w:pos="425"/>
      </w:tabs>
      <w:ind w:left="425"/>
    </w:pPr>
  </w:style>
  <w:style w:type="paragraph" w:customStyle="1" w:styleId="EmpfehlungNummerierungStufe2">
    <w:name w:val="Empfehlung Nummerierung (Stufe 2)"/>
    <w:basedOn w:val="Standard"/>
    <w:rsid w:val="0098296B"/>
    <w:pPr>
      <w:numPr>
        <w:ilvl w:val="2"/>
        <w:numId w:val="35"/>
      </w:numPr>
      <w:outlineLvl w:val="3"/>
    </w:pPr>
  </w:style>
  <w:style w:type="paragraph" w:customStyle="1" w:styleId="EmpfehlungNummerierungFolgeabsatzStufe2">
    <w:name w:val="Empfehlung Nummerierung Folgeabsatz (Stufe 2)"/>
    <w:basedOn w:val="Standard"/>
    <w:rsid w:val="0098296B"/>
    <w:pPr>
      <w:tabs>
        <w:tab w:val="left" w:pos="850"/>
      </w:tabs>
      <w:ind w:left="850"/>
    </w:pPr>
  </w:style>
  <w:style w:type="paragraph" w:customStyle="1" w:styleId="EmpfehlungNummerierungStufe3">
    <w:name w:val="Empfehlung Nummerierung (Stufe 3)"/>
    <w:basedOn w:val="Standard"/>
    <w:rsid w:val="0098296B"/>
    <w:pPr>
      <w:numPr>
        <w:ilvl w:val="3"/>
        <w:numId w:val="35"/>
      </w:numPr>
    </w:pPr>
  </w:style>
  <w:style w:type="paragraph" w:customStyle="1" w:styleId="EmpfehlungNummerierungFolgeabsatzStufe3">
    <w:name w:val="Empfehlung Nummerierung Folgeabsatz (Stufe 3)"/>
    <w:basedOn w:val="Standard"/>
    <w:rsid w:val="0098296B"/>
    <w:pPr>
      <w:tabs>
        <w:tab w:val="left" w:pos="1276"/>
      </w:tabs>
      <w:ind w:left="1276"/>
    </w:pPr>
  </w:style>
  <w:style w:type="paragraph" w:customStyle="1" w:styleId="EmpfehlungNummerierungStufe4">
    <w:name w:val="Empfehlung Nummerierung (Stufe 4)"/>
    <w:basedOn w:val="Standard"/>
    <w:rsid w:val="0098296B"/>
    <w:pPr>
      <w:numPr>
        <w:ilvl w:val="4"/>
        <w:numId w:val="35"/>
      </w:numPr>
    </w:pPr>
  </w:style>
  <w:style w:type="paragraph" w:customStyle="1" w:styleId="EmpfehlungNummerierungFolgeabsatzStufe4">
    <w:name w:val="Empfehlung Nummerierung Folgeabsatz (Stufe 4)"/>
    <w:basedOn w:val="Standard"/>
    <w:rsid w:val="0098296B"/>
    <w:pPr>
      <w:tabs>
        <w:tab w:val="left" w:pos="1984"/>
      </w:tabs>
      <w:ind w:left="1984"/>
    </w:pPr>
  </w:style>
  <w:style w:type="paragraph" w:customStyle="1" w:styleId="EinzelbegrndungTitel">
    <w:name w:val="Einzelbegründung Titel"/>
    <w:basedOn w:val="Standard"/>
    <w:next w:val="Text"/>
    <w:rsid w:val="0098296B"/>
    <w:pPr>
      <w:keepNext/>
      <w:spacing w:before="120" w:after="100"/>
    </w:pPr>
    <w:rPr>
      <w:rFonts w:ascii="Arial" w:hAnsi="Arial" w:cs="Arial"/>
      <w:b/>
    </w:rPr>
  </w:style>
  <w:style w:type="paragraph" w:customStyle="1" w:styleId="BegrndungTitel">
    <w:name w:val="Begründung Titel"/>
    <w:basedOn w:val="Standard"/>
    <w:next w:val="Text"/>
    <w:rsid w:val="0098296B"/>
    <w:pPr>
      <w:spacing w:before="900" w:after="612"/>
      <w:ind w:right="-2665"/>
      <w:outlineLvl w:val="0"/>
    </w:pPr>
    <w:rPr>
      <w:rFonts w:ascii="Arial" w:hAnsi="Arial" w:cs="Arial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79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eNorm\Templates\FORM.dotm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231880-B9D7-4781-A319-AA34D84E1A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</Template>
  <TotalTime>0</TotalTime>
  <Pages>10</Pages>
  <Words>3439</Words>
  <Characters>21668</Characters>
  <Application>Microsoft Office Word</Application>
  <DocSecurity>4</DocSecurity>
  <Lines>180</Lines>
  <Paragraphs>50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Witzmann</dc:creator>
  <cp:keywords/>
  <dc:description/>
  <cp:lastModifiedBy>L'Hoest, Agata, EC2</cp:lastModifiedBy>
  <cp:revision>2</cp:revision>
  <cp:lastPrinted>2021-03-19T10:29:00Z</cp:lastPrinted>
  <dcterms:created xsi:type="dcterms:W3CDTF">2021-03-19T16:31:00Z</dcterms:created>
  <dcterms:modified xsi:type="dcterms:W3CDTF">2021-03-19T16:31:00Z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4.1.4.0</vt:lpwstr>
  </property>
  <property fmtid="{D5CDD505-2E9C-101B-9397-08002B2CF9AE}" pid="3" name="Last edited using">
    <vt:lpwstr>LW 5.4, Build 20200526</vt:lpwstr>
  </property>
  <property fmtid="{D5CDD505-2E9C-101B-9397-08002B2CF9AE}" pid="4" name="Kategorie">
    <vt:lpwstr>FORM</vt:lpwstr>
  </property>
  <property fmtid="{D5CDD505-2E9C-101B-9397-08002B2CF9AE}" pid="5" name="eNorm-Version vorherige Bearbeitung">
    <vt:lpwstr>4.1.5 Bundesregierung [20200526]</vt:lpwstr>
  </property>
  <property fmtid="{D5CDD505-2E9C-101B-9397-08002B2CF9AE}" pid="6" name="eNorm-Version letzte Bearbeitung">
    <vt:lpwstr>4.1.5 Bundesregierung [20200526]</vt:lpwstr>
  </property>
  <property fmtid="{D5CDD505-2E9C-101B-9397-08002B2CF9AE}" pid="7" name="eNorm-Version Erstellung">
    <vt:lpwstr>4.1.5, Bundesregierung, [20200526]</vt:lpwstr>
  </property>
  <property fmtid="{D5CDD505-2E9C-101B-9397-08002B2CF9AE}" pid="8" name="Created using">
    <vt:lpwstr>LW 5.4, Build 20200526</vt:lpwstr>
  </property>
  <property fmtid="{D5CDD505-2E9C-101B-9397-08002B2CF9AE}" pid="9" name="Classification">
    <vt:lpwstr> </vt:lpwstr>
  </property>
  <property fmtid="{D5CDD505-2E9C-101B-9397-08002B2CF9AE}" pid="10" name="eNorm-Version letzte DQP">
    <vt:lpwstr>4.1.5, Bundesregierung, [20200526]</vt:lpwstr>
  </property>
</Properties>
</file>