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861F7" w14:textId="77777777" w:rsidR="00B767EF" w:rsidRPr="00AF6432" w:rsidRDefault="00B767EF" w:rsidP="00B76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F6432">
        <w:rPr>
          <w:rFonts w:ascii="Times New Roman" w:hAnsi="Times New Roman"/>
          <w:b/>
          <w:sz w:val="36"/>
        </w:rPr>
        <w:t>Vyhláška ze dne 10. května 2019, kterou se mění vyhláška ze dne 25. června 1980, kterou se schvalují obecná ustanovení bezpečnostního předpisu na ochranu před riziky požáru a propuknutí paniky v objektech přístupných veřejnosti</w:t>
      </w:r>
    </w:p>
    <w:p w14:paraId="07833EEA" w14:textId="4CC4E3D2" w:rsidR="00B767EF" w:rsidRPr="00AF6432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Dotčené skupiny veřejnosti: provozovatelé a majitelé objektů přístupných veřejnosti, investoři, zhotovitelé, architekti, členové bezpečnostních komisí, vykonavatelé technického dozoru, výrobci a subjekty provádějící instalaci zařízení, která využívají chladivo. </w:t>
      </w:r>
      <w:r w:rsidRPr="00AF6432">
        <w:rPr>
          <w:rFonts w:ascii="Times New Roman" w:hAnsi="Times New Roman"/>
          <w:sz w:val="24"/>
        </w:rPr>
        <w:br/>
        <w:t xml:space="preserve">Předmět: změna ustanovení o používání chladiv v objektech přístupných veřejnosti. </w:t>
      </w:r>
      <w:r w:rsidRPr="00AF6432">
        <w:rPr>
          <w:rFonts w:ascii="Times New Roman" w:hAnsi="Times New Roman"/>
          <w:sz w:val="24"/>
        </w:rPr>
        <w:br/>
        <w:t xml:space="preserve">Nabytí účinnosti: den následující po dni vyhlášení v Úředním věstníku Francouzské republiky. </w:t>
      </w:r>
      <w:r w:rsidRPr="00AF6432">
        <w:rPr>
          <w:rFonts w:ascii="Times New Roman" w:hAnsi="Times New Roman"/>
          <w:sz w:val="24"/>
        </w:rPr>
        <w:br/>
        <w:t xml:space="preserve">Poznámka: nařízení Evropského parlamentu a Rady (EU) č. 517/2014 ze dne 16. dubna 2014 o fluorovaných skleníkových plynech stanoví snižování emisí těchto plynů a zejména množství fluorovaných uhlovodíků (HFC). Některé HFC se používají v zařízeních pro vytápění, ve vzduchotechnických a klimatizačních jednotkách a v zařízeních pro přípravu teplé vody v objektech přístupných veřejnosti. Substituty HFC používané pro účely klimatizace / chlazení v objektech přístupných veřejnosti jsou často hořlavé. Cílem této vyhlášky je umožnit použití těchto substitutů v objektech přístupných veřejnosti za předpokladu, že budou zavedena některá opatření pro řízení rizik. Způsoby řízení rizik obsažené v tomto nařízení vycházejí ze stanoviska generálního ředitelství pro prevenci rizik (DGPR) ministerstva pro ekologický a solidární přechod (MTES) a z analýzy rizik provedené institutem INERIS (Národní institut pro průmyslové prostředí a rizika). </w:t>
      </w:r>
      <w:r w:rsidRPr="00AF6432">
        <w:rPr>
          <w:rFonts w:ascii="Times New Roman" w:hAnsi="Times New Roman"/>
          <w:sz w:val="24"/>
        </w:rPr>
        <w:br/>
        <w:t>Odkazy: text ve znění úprav provedených touto vyhláškou je k dispozici k nahlédnutí na internetové stránce Légifrance</w:t>
      </w:r>
      <w:r w:rsidR="00D23C83" w:rsidRPr="00AF6432">
        <w:rPr>
          <w:rFonts w:ascii="Times New Roman" w:hAnsi="Times New Roman"/>
          <w:sz w:val="24"/>
        </w:rPr>
        <w:t xml:space="preserve"> </w:t>
      </w:r>
      <w:r w:rsidRPr="00AF6432">
        <w:rPr>
          <w:rFonts w:ascii="Times New Roman" w:hAnsi="Times New Roman"/>
          <w:sz w:val="24"/>
        </w:rPr>
        <w:t xml:space="preserve">(http://legifrance.gouv.fr). </w:t>
      </w:r>
    </w:p>
    <w:p w14:paraId="511145FD" w14:textId="77777777" w:rsidR="00B767EF" w:rsidRPr="00AF6432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Ministr vnitra,</w:t>
      </w:r>
      <w:r w:rsidRPr="00AF6432">
        <w:rPr>
          <w:rFonts w:ascii="Times New Roman" w:hAnsi="Times New Roman"/>
          <w:sz w:val="24"/>
        </w:rPr>
        <w:br/>
        <w:t>s ohledem na směrnici Evropského parlamentu a Rady (EU) 2015/1535 ze dne 9. září 2015 o postupu při poskytování informací v oblasti technických předpisů a předpisů pro služby informační společnosti, a zejména na oznámení č. 2018/467/F;</w:t>
      </w:r>
      <w:r w:rsidRPr="00AF6432">
        <w:rPr>
          <w:rFonts w:ascii="Times New Roman" w:hAnsi="Times New Roman"/>
          <w:sz w:val="24"/>
        </w:rPr>
        <w:br/>
        <w:t>s ohledem na zákoník výstavby a bydlení, především jeho článek R 123-12;</w:t>
      </w:r>
      <w:r w:rsidRPr="00AF6432">
        <w:rPr>
          <w:rFonts w:ascii="Times New Roman" w:hAnsi="Times New Roman"/>
          <w:sz w:val="24"/>
        </w:rPr>
        <w:br/>
        <w:t>s ohledem na vyhlášku ze dne 25. června 1980 ve znění pozdějších předpisů, kterou se schvalují obecná ustanovení bezpečnostního předpisu proti riziku vzniku požáru a paniky ve veřejných zařízeních;</w:t>
      </w:r>
      <w:r w:rsidRPr="00AF6432">
        <w:rPr>
          <w:rFonts w:ascii="Times New Roman" w:hAnsi="Times New Roman"/>
          <w:sz w:val="24"/>
        </w:rPr>
        <w:br/>
        <w:t>s ohledem na stanovisko Nejvyšší rady pro stavebnictví a energetickou účinnost ze dne 16. října 2018;</w:t>
      </w:r>
      <w:r w:rsidRPr="00AF6432">
        <w:rPr>
          <w:rFonts w:ascii="Times New Roman" w:hAnsi="Times New Roman"/>
          <w:sz w:val="24"/>
        </w:rPr>
        <w:br/>
        <w:t>s ohledem na stanovisko Národní komise pro hodnocení norem ze dne 11. října 2018,</w:t>
      </w:r>
      <w:r w:rsidRPr="00AF6432">
        <w:rPr>
          <w:rFonts w:ascii="Times New Roman" w:hAnsi="Times New Roman"/>
          <w:sz w:val="24"/>
        </w:rPr>
        <w:br/>
        <w:t>tímto nařizuje:</w:t>
      </w:r>
    </w:p>
    <w:p w14:paraId="1EB6D07B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432">
        <w:rPr>
          <w:rFonts w:ascii="Times New Roman" w:hAnsi="Times New Roman"/>
          <w:b/>
          <w:sz w:val="24"/>
        </w:rPr>
        <w:t>Článek 1</w:t>
      </w:r>
    </w:p>
    <w:p w14:paraId="6668C2CB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Kapitola V hlavy I knihy II bezpečnostního předpisu na ochranu před riziky požáru a propuknutí paniky v zařízeních, do kterých má přístup veřejnost, který byl schválen na základě výše uvedené vyhlášky ze dne 25. června 1980, se mění v souladu s články 2 až 3.</w:t>
      </w:r>
    </w:p>
    <w:p w14:paraId="5C05C3DB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432">
        <w:rPr>
          <w:rFonts w:ascii="Times New Roman" w:hAnsi="Times New Roman"/>
          <w:b/>
          <w:sz w:val="24"/>
        </w:rPr>
        <w:lastRenderedPageBreak/>
        <w:t>Článek 2</w:t>
      </w:r>
    </w:p>
    <w:p w14:paraId="643787CA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Článek CH 35 se nahradí následujícími ustanoveními: </w:t>
      </w:r>
      <w:r w:rsidRPr="00AF6432">
        <w:rPr>
          <w:rFonts w:ascii="Times New Roman" w:hAnsi="Times New Roman"/>
          <w:sz w:val="24"/>
        </w:rPr>
        <w:br/>
        <w:t>„Vybavení nebo zařízení využívající chladiva</w:t>
      </w:r>
      <w:r w:rsidRPr="00AF6432">
        <w:rPr>
          <w:rFonts w:ascii="Times New Roman" w:hAnsi="Times New Roman"/>
          <w:sz w:val="24"/>
        </w:rPr>
        <w:br/>
        <w:t xml:space="preserve">§ 1. Pro uplatnění této vyhlášky se rozumí pojmem: </w:t>
      </w:r>
    </w:p>
    <w:p w14:paraId="41614B6A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- „hořlavá chladiva“ kapaliny, které se vyznačují šířením plamene při teplotě 60°C a tlaku 101,3 kPa; </w:t>
      </w:r>
      <w:r w:rsidRPr="00AF6432">
        <w:rPr>
          <w:rFonts w:ascii="Times New Roman" w:hAnsi="Times New Roman"/>
          <w:sz w:val="24"/>
        </w:rPr>
        <w:br/>
        <w:t xml:space="preserve">- „toxická chladiva“ kapaliny, u kterých byla prokázána toxicita při koncentracích nižších než 400 ppm. </w:t>
      </w:r>
    </w:p>
    <w:p w14:paraId="4C970516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Termodynamické zařízení a vybavení určené pro vytápění, úpravu vzduchu, klimatizaci a výrobu teplé vody musí splňovat následující ustanovení. </w:t>
      </w:r>
      <w:r w:rsidRPr="00AF6432">
        <w:rPr>
          <w:rFonts w:ascii="Times New Roman" w:hAnsi="Times New Roman"/>
          <w:sz w:val="24"/>
        </w:rPr>
        <w:br/>
        <w:t xml:space="preserve">§ 2 Platná ustanovení bez ohledu na použité chladivo.  </w:t>
      </w:r>
      <w:r w:rsidRPr="00AF6432">
        <w:rPr>
          <w:rFonts w:ascii="Times New Roman" w:hAnsi="Times New Roman"/>
          <w:sz w:val="24"/>
        </w:rPr>
        <w:br/>
        <w:t xml:space="preserve">Pokud se v objektu přístupném veřejnosti nachází zařízení s vestavěným kompresorem, musí se jednat o hermetický nebo polohermetický kompresor. </w:t>
      </w:r>
      <w:r w:rsidRPr="00AF6432">
        <w:rPr>
          <w:rFonts w:ascii="Times New Roman" w:hAnsi="Times New Roman"/>
          <w:sz w:val="24"/>
        </w:rPr>
        <w:br/>
        <w:t xml:space="preserve">Pokud se tato zařízení nacházejí ve strojovně, musí být tato vybavena alespoň dvěma ventilačními otvory ústícími mimo objekt, které se nacházejí v různých výškách. Strojovna musí být oddělená od kotelny a nesmí být přímo propojena s prostory přístupnými veřejnosti. </w:t>
      </w:r>
      <w:r w:rsidRPr="00AF6432">
        <w:rPr>
          <w:rFonts w:ascii="Times New Roman" w:hAnsi="Times New Roman"/>
          <w:sz w:val="24"/>
        </w:rPr>
        <w:br/>
        <w:t xml:space="preserve">Potrubí, ve kterém jsou vedena chladiva, musí být z kovu. </w:t>
      </w:r>
      <w:r w:rsidRPr="00AF6432">
        <w:rPr>
          <w:rFonts w:ascii="Times New Roman" w:hAnsi="Times New Roman"/>
          <w:sz w:val="24"/>
        </w:rPr>
        <w:br/>
        <w:t xml:space="preserve">Potrubní vedení musí být v prostorách a východech přístupných veřejnosti izolováno materiálem zařazeným do kategorie M1 nebo CL-s3, d0 a v ostatních částech objektu materiálem zařazeným do kategorie M3 nebo DL-s3, d0. </w:t>
      </w:r>
      <w:r w:rsidRPr="00AF6432">
        <w:rPr>
          <w:rFonts w:ascii="Times New Roman" w:hAnsi="Times New Roman"/>
          <w:sz w:val="24"/>
        </w:rPr>
        <w:br/>
        <w:t xml:space="preserve">Potrubní vedení a sběrné nádoby na kapaliny používané pro přenos chladu (označované jako „chladonosné kapaliny“) musí být v souladu s ustanoveními odstavce 3 článku CH 25. </w:t>
      </w:r>
      <w:r w:rsidRPr="00AF6432">
        <w:rPr>
          <w:rFonts w:ascii="Times New Roman" w:hAnsi="Times New Roman"/>
          <w:sz w:val="24"/>
        </w:rPr>
        <w:br/>
        <w:t xml:space="preserve">Sběrné nádoby obsahující chladiva a chladonosné kapaliny musí být v prostorách a východech přístupných veřejnosti izolovány materiálem zařazeným do kategorie M1 nebo B-s3, d0 a v ostatních částech objektu materiálem zařazeným do kategorie M3 nebo DL-s3, d0. </w:t>
      </w:r>
      <w:r w:rsidRPr="00AF6432">
        <w:rPr>
          <w:rFonts w:ascii="Times New Roman" w:hAnsi="Times New Roman"/>
          <w:sz w:val="24"/>
        </w:rPr>
        <w:br/>
        <w:t xml:space="preserve">§ 3 Ustanovení platná v případě použití hořlavých chladiv.  </w:t>
      </w:r>
      <w:r w:rsidRPr="00AF6432">
        <w:rPr>
          <w:rFonts w:ascii="Times New Roman" w:hAnsi="Times New Roman"/>
          <w:sz w:val="24"/>
        </w:rPr>
        <w:br/>
        <w:t xml:space="preserve">Ustanovení odstavce 3 neplatí pro hermeticky uzavřená zařízení s označením CE. </w:t>
      </w:r>
      <w:r w:rsidRPr="00AF6432">
        <w:rPr>
          <w:rFonts w:ascii="Times New Roman" w:hAnsi="Times New Roman"/>
          <w:sz w:val="24"/>
        </w:rPr>
        <w:br/>
        <w:t xml:space="preserve">Je zakázáno osadit potrubní vedení s hořlavým chladivem demontovatelnými přípojkami s výjimkou připojení jednotek. </w:t>
      </w:r>
      <w:r w:rsidRPr="00AF6432">
        <w:rPr>
          <w:rFonts w:ascii="Times New Roman" w:hAnsi="Times New Roman"/>
          <w:sz w:val="24"/>
        </w:rPr>
        <w:br/>
        <w:t xml:space="preserve">Potrubí, ve kterém jsou vedena hořlavá chladiva, musí být chráněno před jakýmkoli rizikem poškození. Instalace potrubí v minimální výšce dva metry od země nebo zajištění mechanické ochrany splňují tento požadavek. </w:t>
      </w:r>
      <w:r w:rsidRPr="00AF6432">
        <w:rPr>
          <w:rFonts w:ascii="Times New Roman" w:hAnsi="Times New Roman"/>
          <w:sz w:val="24"/>
        </w:rPr>
        <w:br/>
        <w:t>Vnitřní průměr potrubí, kterým jsou vedena hořlavá chladiva ve zkapalněné formě, musí být menší než 50 mm.</w:t>
      </w:r>
      <w:r w:rsidRPr="00AF6432">
        <w:rPr>
          <w:rFonts w:ascii="Times New Roman" w:hAnsi="Times New Roman"/>
          <w:sz w:val="24"/>
        </w:rPr>
        <w:br/>
        <w:t xml:space="preserve">Kromě podmínek stanovených v odstavci 2 musí být izolace vnitřních jednotek obsahujících hořlavé chladivo zhotovena z materiálů náležejících do kategorie M1 nebo B-s3, d0. </w:t>
      </w:r>
      <w:r w:rsidRPr="00AF6432">
        <w:rPr>
          <w:rFonts w:ascii="Times New Roman" w:hAnsi="Times New Roman"/>
          <w:sz w:val="24"/>
        </w:rPr>
        <w:br/>
        <w:t xml:space="preserve">Strojovny představují prostory se střední úrovní rizika ve smyslu čl. 28 odst. 2. </w:t>
      </w:r>
      <w:r w:rsidRPr="00AF6432">
        <w:rPr>
          <w:rFonts w:ascii="Times New Roman" w:hAnsi="Times New Roman"/>
          <w:sz w:val="24"/>
        </w:rPr>
        <w:br/>
        <w:t xml:space="preserve">a) Ochranné pásmo. </w:t>
      </w:r>
      <w:r w:rsidRPr="00AF6432">
        <w:rPr>
          <w:rFonts w:ascii="Times New Roman" w:hAnsi="Times New Roman"/>
          <w:sz w:val="24"/>
        </w:rPr>
        <w:br/>
        <w:t xml:space="preserve">Kolem demontovatelných přípojek jednotek obsahujících hořlavé chladivo se vytvoří ochranné pásmo, ve kterém bude zakázána přítomnost jakéhokoli zdroje vznícení, a </w:t>
      </w:r>
      <w:r w:rsidRPr="00AF6432">
        <w:rPr>
          <w:rFonts w:ascii="Times New Roman" w:hAnsi="Times New Roman"/>
          <w:sz w:val="24"/>
        </w:rPr>
        <w:lastRenderedPageBreak/>
        <w:t xml:space="preserve">zejména otevřeného ohně nebo zařízení schopného produkovat jiskry. </w:t>
      </w:r>
      <w:r w:rsidRPr="00AF6432">
        <w:rPr>
          <w:rFonts w:ascii="Times New Roman" w:hAnsi="Times New Roman"/>
          <w:sz w:val="24"/>
        </w:rPr>
        <w:br/>
        <w:t xml:space="preserve">V závislosti na tom, zda se zařízení nacházejí uvnitř nebo vně objektu, a na vlastnostech spalování kapaliny, je poloměr tohoto pásma definován v následující tabulce: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1792"/>
        <w:gridCol w:w="1587"/>
        <w:gridCol w:w="1602"/>
      </w:tblGrid>
      <w:tr w:rsidR="00B767EF" w:rsidRPr="00AF6432" w14:paraId="4C9966B3" w14:textId="77777777" w:rsidTr="00B767E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0631" w14:textId="0DD82B3C" w:rsidR="00B767EF" w:rsidRPr="00AF6432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6432">
              <w:rPr>
                <w:rFonts w:ascii="Times New Roman" w:hAnsi="Times New Roman"/>
                <w:b/>
                <w:sz w:val="24"/>
              </w:rPr>
              <w:br/>
              <w:t xml:space="preserve">Vnitřní průměr D potrubí, kterým obíhá kapalná fáze (mm)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9608A" w14:textId="77777777" w:rsidR="00B767EF" w:rsidRPr="00AF6432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6432">
              <w:rPr>
                <w:rFonts w:ascii="Times New Roman" w:hAnsi="Times New Roman"/>
                <w:b/>
                <w:sz w:val="24"/>
              </w:rPr>
              <w:br/>
              <w:t xml:space="preserve">Poloměr (m) </w:t>
            </w:r>
          </w:p>
        </w:tc>
      </w:tr>
      <w:tr w:rsidR="00B767EF" w:rsidRPr="00AF6432" w14:paraId="052FA11E" w14:textId="77777777" w:rsidTr="00B767E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AF54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FC3C" w14:textId="07D80638" w:rsidR="00B767EF" w:rsidRPr="00AF6432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6432">
              <w:rPr>
                <w:rFonts w:ascii="Times New Roman" w:hAnsi="Times New Roman"/>
                <w:b/>
                <w:sz w:val="24"/>
              </w:rPr>
              <w:br/>
              <w:t>Venkovní zařízení</w:t>
            </w:r>
            <w:r w:rsidR="00AA42DB" w:rsidRPr="00AF643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F6432">
              <w:rPr>
                <w:rFonts w:ascii="Times New Roman" w:hAnsi="Times New Roman"/>
                <w:b/>
                <w:sz w:val="24"/>
              </w:rPr>
              <w:t xml:space="preserve">(1)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7804" w14:textId="05734D8A" w:rsidR="00B767EF" w:rsidRPr="00AF6432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6432">
              <w:rPr>
                <w:rFonts w:ascii="Times New Roman" w:hAnsi="Times New Roman"/>
                <w:b/>
                <w:sz w:val="24"/>
              </w:rPr>
              <w:br/>
              <w:t>Vnitřní zařízení</w:t>
            </w:r>
            <w:r w:rsidR="00AA42DB" w:rsidRPr="00AF643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F6432">
              <w:rPr>
                <w:rFonts w:ascii="Times New Roman" w:hAnsi="Times New Roman"/>
                <w:b/>
                <w:sz w:val="24"/>
              </w:rPr>
              <w:t>(2)</w:t>
            </w:r>
            <w:r w:rsidRPr="00AF6432">
              <w:rPr>
                <w:rFonts w:ascii="Times New Roman" w:hAnsi="Times New Roman"/>
                <w:b/>
                <w:sz w:val="24"/>
              </w:rPr>
              <w:br/>
              <w:t xml:space="preserve">LII ≥ 0,10 kg/m3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12B6" w14:textId="33726DA4" w:rsidR="00B767EF" w:rsidRPr="00AF6432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6432">
              <w:rPr>
                <w:rFonts w:ascii="Times New Roman" w:hAnsi="Times New Roman"/>
                <w:b/>
                <w:sz w:val="24"/>
              </w:rPr>
              <w:br/>
              <w:t>Vnitřní zařízení</w:t>
            </w:r>
            <w:r w:rsidR="00AA42DB" w:rsidRPr="00AF643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F6432">
              <w:rPr>
                <w:rFonts w:ascii="Times New Roman" w:hAnsi="Times New Roman"/>
                <w:b/>
                <w:sz w:val="24"/>
              </w:rPr>
              <w:t>(3)</w:t>
            </w:r>
            <w:r w:rsidRPr="00AF6432">
              <w:rPr>
                <w:rFonts w:ascii="Times New Roman" w:hAnsi="Times New Roman"/>
                <w:b/>
                <w:sz w:val="24"/>
              </w:rPr>
              <w:br/>
              <w:t xml:space="preserve">LII &lt; 0,10 kg/m3 </w:t>
            </w:r>
          </w:p>
        </w:tc>
      </w:tr>
      <w:tr w:rsidR="00B767EF" w:rsidRPr="00AF6432" w14:paraId="05AF61DD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BCF1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D ≤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1023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FD76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C5D2D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</w:tr>
      <w:tr w:rsidR="00B767EF" w:rsidRPr="00AF6432" w14:paraId="3650889A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A1EF2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10 &lt; D ≤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0494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735C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8935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</w:tr>
      <w:tr w:rsidR="00B767EF" w:rsidRPr="00AF6432" w14:paraId="1020D8A8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4753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20 &lt; D ≤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0AA6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77CA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7965" w14:textId="77777777" w:rsidR="00B767EF" w:rsidRPr="00AF6432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32"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</w:tr>
    </w:tbl>
    <w:p w14:paraId="57246B03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b) Maximální povolené množství chladiva. </w:t>
      </w:r>
      <w:r w:rsidRPr="00AF6432">
        <w:rPr>
          <w:rFonts w:ascii="Times New Roman" w:hAnsi="Times New Roman"/>
          <w:sz w:val="24"/>
        </w:rPr>
        <w:br/>
        <w:t xml:space="preserve">Maximální celkové množství hořlavého chladiva, které obíhá v chladicím okruhu, je omezeno, aby se zabránilo riziku dosažení spodní meze hořlavosti v případě úniku v prostorách. </w:t>
      </w:r>
      <w:r w:rsidRPr="00AF6432">
        <w:rPr>
          <w:rFonts w:ascii="Times New Roman" w:hAnsi="Times New Roman"/>
          <w:sz w:val="24"/>
        </w:rPr>
        <w:br/>
        <w:t xml:space="preserve">Vypočítá se podle následujícího vzorce: </w:t>
      </w:r>
      <w:r w:rsidRPr="00AF6432">
        <w:rPr>
          <w:rFonts w:ascii="Times New Roman" w:hAnsi="Times New Roman"/>
          <w:sz w:val="24"/>
        </w:rPr>
        <w:br/>
        <w:t>mmax = 2,5 x LII5/4 x h0 x A1/2</w:t>
      </w:r>
      <w:r w:rsidRPr="00AF6432">
        <w:rPr>
          <w:rFonts w:ascii="Times New Roman" w:hAnsi="Times New Roman"/>
          <w:sz w:val="24"/>
        </w:rPr>
        <w:br/>
        <w:t xml:space="preserve">Kde: </w:t>
      </w:r>
      <w:r w:rsidRPr="00AF6432">
        <w:rPr>
          <w:rFonts w:ascii="Times New Roman" w:hAnsi="Times New Roman"/>
          <w:sz w:val="24"/>
        </w:rPr>
        <w:br/>
        <w:t xml:space="preserve">mmax (kg): maximální celkové množství hořlavého chladiva. </w:t>
      </w:r>
      <w:r w:rsidRPr="00AF6432">
        <w:rPr>
          <w:rFonts w:ascii="Times New Roman" w:hAnsi="Times New Roman"/>
          <w:sz w:val="24"/>
        </w:rPr>
        <w:br/>
        <w:t xml:space="preserve">LII (kg/m3): spodní mez hořlavosti. </w:t>
      </w:r>
      <w:r w:rsidRPr="00AF6432">
        <w:rPr>
          <w:rFonts w:ascii="Times New Roman" w:hAnsi="Times New Roman"/>
          <w:sz w:val="24"/>
        </w:rPr>
        <w:br/>
        <w:t xml:space="preserve">h0: koeficient vztahující se k výšce zařízení, které se nachází nejníže v daném prostoru, jehož hodnota je rovna: </w:t>
      </w:r>
      <w:r w:rsidRPr="00AF6432">
        <w:rPr>
          <w:rFonts w:ascii="Times New Roman" w:hAnsi="Times New Roman"/>
          <w:sz w:val="24"/>
        </w:rPr>
        <w:br/>
        <w:t>0,6 v případě umístění na podlaze,</w:t>
      </w:r>
      <w:r w:rsidRPr="00AF6432">
        <w:rPr>
          <w:rFonts w:ascii="Times New Roman" w:hAnsi="Times New Roman"/>
          <w:sz w:val="24"/>
        </w:rPr>
        <w:br/>
        <w:t>1,1 v případě montáže na okně,</w:t>
      </w:r>
      <w:r w:rsidRPr="00AF6432">
        <w:rPr>
          <w:rFonts w:ascii="Times New Roman" w:hAnsi="Times New Roman"/>
          <w:sz w:val="24"/>
        </w:rPr>
        <w:br/>
        <w:t>1,8 v případě umístění na stěně,</w:t>
      </w:r>
      <w:r w:rsidRPr="00AF6432">
        <w:rPr>
          <w:rFonts w:ascii="Times New Roman" w:hAnsi="Times New Roman"/>
          <w:sz w:val="24"/>
        </w:rPr>
        <w:br/>
        <w:t>2,2 v případě montáže na stropě,</w:t>
      </w:r>
      <w:r w:rsidRPr="00AF6432">
        <w:rPr>
          <w:rFonts w:ascii="Times New Roman" w:hAnsi="Times New Roman"/>
          <w:sz w:val="24"/>
        </w:rPr>
        <w:br/>
        <w:t>výška nejnižšího připojení v daném prostoru, pokud je větší než 2,2 m.</w:t>
      </w:r>
      <w:r w:rsidRPr="00AF6432">
        <w:rPr>
          <w:rFonts w:ascii="Times New Roman" w:hAnsi="Times New Roman"/>
          <w:sz w:val="24"/>
        </w:rPr>
        <w:br/>
        <w:t xml:space="preserve">A (m²): povrchová plocha daného prostoru. </w:t>
      </w:r>
      <w:r w:rsidRPr="00AF6432">
        <w:rPr>
          <w:rFonts w:ascii="Times New Roman" w:hAnsi="Times New Roman"/>
          <w:sz w:val="24"/>
        </w:rPr>
        <w:br/>
        <w:t xml:space="preserve">Nestanoví se žádné omezení množství hořlavého chladiva, pokud je součástí zařízení uzavírací ventil chladicího okruhu a větrací systém řízený detektorem, který má zamezit dosažení spodní meze hořlavosti v místě v případě úniku. </w:t>
      </w:r>
      <w:r w:rsidRPr="00AF6432">
        <w:rPr>
          <w:rFonts w:ascii="Times New Roman" w:hAnsi="Times New Roman"/>
          <w:sz w:val="24"/>
        </w:rPr>
        <w:br/>
        <w:t>Nestanoví se žádné omezení množství hořlavého chladiva, pokud je zařízení využívající těchto kapalin umístěno ve strojovně a pokud je tato vybavena:</w:t>
      </w:r>
    </w:p>
    <w:p w14:paraId="2B2A44F5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- detekčním zařízením, které v případě úniku spustí mechanický odsávač vzduchu a odstřihne oběh kapaliny v obvodu za účelem omezení doby trvání úniku buď úplným odstavením termodynamického systému nebo spuštěním elektromagnetického ventilu. Toto detekční zařízení se skládá z detekční jednotky a dvou čidel umístěných podle povahy použité kapaliny. Automatické výstražné zařízení signalizuje případné poruchy </w:t>
      </w:r>
      <w:r w:rsidRPr="00AF6432">
        <w:rPr>
          <w:rFonts w:ascii="Times New Roman" w:hAnsi="Times New Roman"/>
          <w:sz w:val="24"/>
        </w:rPr>
        <w:lastRenderedPageBreak/>
        <w:t>systému detekce a odsávání vzduchu;</w:t>
      </w:r>
      <w:r w:rsidRPr="00AF6432">
        <w:rPr>
          <w:rFonts w:ascii="Times New Roman" w:hAnsi="Times New Roman"/>
          <w:sz w:val="24"/>
        </w:rPr>
        <w:br/>
        <w:t xml:space="preserve">- mechanický odsávač vzduchu, který zajišťuje takové množství výměny vzduchu za hodinu, které je dostatečné k tomu, aby na výstupu z odsávání byla jeho hodnota pod spodní mezí limit hořlavosti. Toto zařízení je kategorie 3 ve smyslu směrnice 2014/34/EU o zařízeních a ochranných systémech určených pro použití v prostředí s nebezpečím výbuchu. </w:t>
      </w:r>
    </w:p>
    <w:p w14:paraId="0FA42FF1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c) Instalace termodynamického zařízení a systémů musí být v souladu s pravidly doporučenými výrobcem. </w:t>
      </w:r>
      <w:r w:rsidRPr="00AF6432">
        <w:rPr>
          <w:rFonts w:ascii="Times New Roman" w:hAnsi="Times New Roman"/>
          <w:sz w:val="24"/>
        </w:rPr>
        <w:br/>
        <w:t>Je vytvořen a pro potřeby správních orgánů a zasahujících subjektů, které jej musí vzít před zásahem na vědomí, je uchováván dokument shrnující popisné informace o zařízení. Obsahuje zejména následující informace:</w:t>
      </w:r>
    </w:p>
    <w:p w14:paraId="28CFE839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- plán potrubní sítě;</w:t>
      </w:r>
      <w:r w:rsidRPr="00AF6432">
        <w:rPr>
          <w:rFonts w:ascii="Times New Roman" w:hAnsi="Times New Roman"/>
          <w:sz w:val="24"/>
        </w:rPr>
        <w:br/>
        <w:t>- přehled zařízení;</w:t>
      </w:r>
      <w:r w:rsidRPr="00AF6432">
        <w:rPr>
          <w:rFonts w:ascii="Times New Roman" w:hAnsi="Times New Roman"/>
          <w:sz w:val="24"/>
        </w:rPr>
        <w:br/>
        <w:t>- podrobný a podložený výpočet maximálního množství nebo maximálních množství chladiva;</w:t>
      </w:r>
      <w:r w:rsidRPr="00AF6432">
        <w:rPr>
          <w:rFonts w:ascii="Times New Roman" w:hAnsi="Times New Roman"/>
          <w:sz w:val="24"/>
        </w:rPr>
        <w:br/>
        <w:t>- plán umístění bezpečnostních zařízení (detektorů, solenoidových ventilů, větrání atd.);</w:t>
      </w:r>
      <w:r w:rsidRPr="00AF6432">
        <w:rPr>
          <w:rFonts w:ascii="Times New Roman" w:hAnsi="Times New Roman"/>
          <w:sz w:val="24"/>
        </w:rPr>
        <w:br/>
        <w:t>- teoretické toky případné ventilace v případě překročení maximálního vypočteného množství;</w:t>
      </w:r>
      <w:r w:rsidRPr="00AF6432">
        <w:rPr>
          <w:rFonts w:ascii="Times New Roman" w:hAnsi="Times New Roman"/>
          <w:sz w:val="24"/>
        </w:rPr>
        <w:br/>
        <w:t>- prokázání dostatečnosti a spolehlivosti detekčního zařízení a rychlosti výměny vzduchu mechanického odsávače vzduchu;</w:t>
      </w:r>
      <w:r w:rsidRPr="00AF6432">
        <w:rPr>
          <w:rFonts w:ascii="Times New Roman" w:hAnsi="Times New Roman"/>
          <w:sz w:val="24"/>
        </w:rPr>
        <w:br/>
        <w:t xml:space="preserve">- tabulka korelace různých bezpečnostních zařízení v případě překročení maximálního vypočteného množství. </w:t>
      </w:r>
    </w:p>
    <w:p w14:paraId="4B0CAAF9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Tento dokument je aktualizován po každé změně zařízení nebo prostor. </w:t>
      </w:r>
      <w:r w:rsidRPr="00AF6432">
        <w:rPr>
          <w:rFonts w:ascii="Times New Roman" w:hAnsi="Times New Roman"/>
          <w:sz w:val="24"/>
        </w:rPr>
        <w:br/>
        <w:t xml:space="preserve">Instalace musí být každoročně kontrolována příslušným technikem, který musí vypracovat zprávu uvádějící zejména výsledek detekcí přímých nebo nepřímých úniků. Nejméně 20 % výše uvedených bezpečnostních a výstražných zařízení musí být ověřeno každoročně a všechny musí být ověřeny alespoň jednou za 5 let. Výsledky těchto testů se zanášejí do výše uvedené zprávy. </w:t>
      </w:r>
      <w:r w:rsidRPr="00AF6432">
        <w:rPr>
          <w:rFonts w:ascii="Times New Roman" w:hAnsi="Times New Roman"/>
          <w:sz w:val="24"/>
        </w:rPr>
        <w:br/>
        <w:t xml:space="preserve">§ 4 Použití toxických chladiv je přípustné, pokud jsou kumulativně splněny následující tři podmínky: </w:t>
      </w:r>
    </w:p>
    <w:p w14:paraId="4007EB3F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- umístění ve venkovním prostředí nebo ve strojovně oddělené od kotelny;</w:t>
      </w:r>
      <w:r w:rsidRPr="00AF6432">
        <w:rPr>
          <w:rFonts w:ascii="Times New Roman" w:hAnsi="Times New Roman"/>
          <w:sz w:val="24"/>
        </w:rPr>
        <w:br/>
        <w:t>- fungování v rámci systému nepřímé výměny;</w:t>
      </w:r>
      <w:r w:rsidRPr="00AF6432">
        <w:rPr>
          <w:rFonts w:ascii="Times New Roman" w:hAnsi="Times New Roman"/>
          <w:sz w:val="24"/>
        </w:rPr>
        <w:br/>
        <w:t xml:space="preserve">- celkové množství kapalin přítomných ve všech zařízeních je omezeno na 150 kg. </w:t>
      </w:r>
    </w:p>
    <w:p w14:paraId="0AD8B318" w14:textId="47E5037F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§ 5 Přístroje nebo skupina přístrojů pro výrobu chlazení ke spotřebě jsou instalovány za podmínek specifikovaných v článcích CH 5 nebo CH 6 v závislosti na jejich výkonu.“ </w:t>
      </w:r>
    </w:p>
    <w:p w14:paraId="365B6614" w14:textId="77777777" w:rsidR="00B767EF" w:rsidRPr="00AF6432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1 Ochranné pásmo se požaduje pouze v případě venkovních zařízení, u kterých hořlavá chladiva vykazují rychlost šíření plamene vyšší než 10 cm/s.</w:t>
      </w:r>
      <w:r w:rsidRPr="00AF6432">
        <w:rPr>
          <w:rFonts w:ascii="Times New Roman" w:hAnsi="Times New Roman"/>
          <w:sz w:val="24"/>
        </w:rPr>
        <w:br/>
      </w:r>
      <w:r w:rsidRPr="00AF6432">
        <w:rPr>
          <w:rFonts w:ascii="Times New Roman" w:hAnsi="Times New Roman"/>
          <w:sz w:val="24"/>
        </w:rPr>
        <w:lastRenderedPageBreak/>
        <w:t xml:space="preserve">2 Hořlavá chladiva se spodní mezí hořlavosti 0,10 kg/m³ nebo vyšší. </w:t>
      </w:r>
      <w:r w:rsidRPr="00AF6432">
        <w:rPr>
          <w:rFonts w:ascii="Times New Roman" w:hAnsi="Times New Roman"/>
          <w:sz w:val="24"/>
        </w:rPr>
        <w:br/>
        <w:t>3 Hořlavá chladiva se spodní mezí hořlavosti nižší než 0,10 kg/m³.</w:t>
      </w:r>
    </w:p>
    <w:p w14:paraId="6B67D63E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432">
        <w:rPr>
          <w:rFonts w:ascii="Times New Roman" w:hAnsi="Times New Roman"/>
          <w:b/>
          <w:sz w:val="24"/>
        </w:rPr>
        <w:t>Článek 3</w:t>
      </w:r>
    </w:p>
    <w:p w14:paraId="09930595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Ustanovení písm. c) článku CH 45 se ruší.</w:t>
      </w:r>
    </w:p>
    <w:p w14:paraId="6849DEBF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432">
        <w:rPr>
          <w:rFonts w:ascii="Times New Roman" w:hAnsi="Times New Roman"/>
          <w:b/>
          <w:sz w:val="24"/>
        </w:rPr>
        <w:t>Článek 4</w:t>
      </w:r>
    </w:p>
    <w:p w14:paraId="74F3395F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 xml:space="preserve">Kapitola II hlavy II knihy II bezpečnostního předpisu na ochranu před riziky požáru a propuknutí paniky v zařízeních, do kterých má přístup veřejnost, který byl schválen na základě výše uvedené vyhlášky ze dne 25. června 1980, se mění takto: </w:t>
      </w:r>
      <w:r w:rsidRPr="00AF6432">
        <w:rPr>
          <w:rFonts w:ascii="Times New Roman" w:hAnsi="Times New Roman"/>
          <w:sz w:val="24"/>
        </w:rPr>
        <w:br/>
        <w:t>Ustanovení § 4 článku M 40 se ruší.</w:t>
      </w:r>
    </w:p>
    <w:p w14:paraId="31ECF89C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432">
        <w:rPr>
          <w:rFonts w:ascii="Times New Roman" w:hAnsi="Times New Roman"/>
          <w:b/>
          <w:sz w:val="24"/>
        </w:rPr>
        <w:t>Článek 5</w:t>
      </w:r>
    </w:p>
    <w:p w14:paraId="6B0A3F54" w14:textId="77777777" w:rsidR="00B767EF" w:rsidRPr="00AF6432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Tato vyhláška nabývá účinnosti den následující po dni vyhlášení v Úředním věstníku Francouzské republiky.</w:t>
      </w:r>
    </w:p>
    <w:p w14:paraId="032C5E60" w14:textId="77777777" w:rsidR="00B767EF" w:rsidRPr="00AF6432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Dne 10. května 2019.</w:t>
      </w:r>
    </w:p>
    <w:p w14:paraId="582D28DE" w14:textId="77777777" w:rsidR="00B767EF" w:rsidRPr="00AF6432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432">
        <w:rPr>
          <w:rFonts w:ascii="Times New Roman" w:hAnsi="Times New Roman"/>
          <w:sz w:val="24"/>
        </w:rPr>
        <w:br/>
        <w:t>Za ministra a z pověření:</w:t>
      </w:r>
      <w:r w:rsidRPr="00AF6432">
        <w:rPr>
          <w:rFonts w:ascii="Times New Roman" w:hAnsi="Times New Roman"/>
          <w:sz w:val="24"/>
        </w:rPr>
        <w:br/>
        <w:t>vedoucí útvaru, zástupce generálního ředitele pro civilní bezpečnost a řešení krizí odpovědný za ředitelství hasičů,</w:t>
      </w:r>
      <w:r w:rsidRPr="00AF6432">
        <w:rPr>
          <w:rFonts w:ascii="Times New Roman" w:hAnsi="Times New Roman"/>
          <w:sz w:val="24"/>
        </w:rPr>
        <w:br/>
        <w:t>M. Marquer</w:t>
      </w:r>
    </w:p>
    <w:p w14:paraId="5785BBFE" w14:textId="77777777" w:rsidR="006467BD" w:rsidRDefault="006467BD"/>
    <w:sectPr w:rsidR="00646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97D79" w14:textId="77777777" w:rsidR="00AF6432" w:rsidRDefault="00AF6432" w:rsidP="00AF6432">
      <w:pPr>
        <w:spacing w:after="0" w:line="240" w:lineRule="auto"/>
      </w:pPr>
      <w:r>
        <w:separator/>
      </w:r>
    </w:p>
  </w:endnote>
  <w:endnote w:type="continuationSeparator" w:id="0">
    <w:p w14:paraId="65E05850" w14:textId="77777777" w:rsidR="00AF6432" w:rsidRDefault="00AF6432" w:rsidP="00AF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F13DE" w14:textId="77777777" w:rsidR="00AF6432" w:rsidRDefault="00AF6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D424" w14:textId="77777777" w:rsidR="00AF6432" w:rsidRDefault="00AF6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796D6" w14:textId="77777777" w:rsidR="00AF6432" w:rsidRDefault="00AF6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4FBDC" w14:textId="77777777" w:rsidR="00AF6432" w:rsidRDefault="00AF6432" w:rsidP="00AF6432">
      <w:pPr>
        <w:spacing w:after="0" w:line="240" w:lineRule="auto"/>
      </w:pPr>
      <w:r>
        <w:separator/>
      </w:r>
    </w:p>
  </w:footnote>
  <w:footnote w:type="continuationSeparator" w:id="0">
    <w:p w14:paraId="066CB21F" w14:textId="77777777" w:rsidR="00AF6432" w:rsidRDefault="00AF6432" w:rsidP="00AF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2E330" w14:textId="77777777" w:rsidR="00AF6432" w:rsidRDefault="00AF6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E1420" w14:textId="77777777" w:rsidR="00AF6432" w:rsidRDefault="00AF6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0A49" w14:textId="77777777" w:rsidR="00AF6432" w:rsidRDefault="00AF6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EF"/>
    <w:rsid w:val="00421D41"/>
    <w:rsid w:val="00500C1C"/>
    <w:rsid w:val="006467BD"/>
    <w:rsid w:val="00AA42DB"/>
    <w:rsid w:val="00AF6432"/>
    <w:rsid w:val="00B767EF"/>
    <w:rsid w:val="00D2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BCF1"/>
  <w15:chartTrackingRefBased/>
  <w15:docId w15:val="{9718DBF2-DF08-434E-8486-12F8ECF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32"/>
  </w:style>
  <w:style w:type="paragraph" w:styleId="Footer">
    <w:name w:val="footer"/>
    <w:basedOn w:val="Normal"/>
    <w:link w:val="FooterChar"/>
    <w:uiPriority w:val="99"/>
    <w:unhideWhenUsed/>
    <w:rsid w:val="00AF6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1539</Words>
  <Characters>9023</Characters>
  <Application>Microsoft Office Word</Application>
  <DocSecurity>0</DocSecurity>
  <Lines>237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Mia Lehikoinen</cp:lastModifiedBy>
  <cp:revision>4</cp:revision>
  <dcterms:created xsi:type="dcterms:W3CDTF">2021-08-25T12:18:00Z</dcterms:created>
  <dcterms:modified xsi:type="dcterms:W3CDTF">2021-12-22T16:23:00Z</dcterms:modified>
</cp:coreProperties>
</file>