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E85" w:rsidRPr="00B009F8" w:rsidRDefault="00276E85" w:rsidP="00276E85">
      <w:pPr>
        <w:pStyle w:val="PlainText"/>
        <w:jc w:val="center"/>
      </w:pPr>
      <w:r>
        <w:t>1. ------IND- 2018 0442 B-- PL- ------ 20180912 --- --- PROJET</w:t>
      </w:r>
    </w:p>
    <w:tbl>
      <w:tblPr>
        <w:tblW w:w="10206" w:type="dxa"/>
        <w:tblLook w:val="0000" w:firstRow="0" w:lastRow="0" w:firstColumn="0" w:lastColumn="0" w:noHBand="0" w:noVBand="0"/>
      </w:tblPr>
      <w:tblGrid>
        <w:gridCol w:w="10206"/>
      </w:tblGrid>
      <w:tr w:rsidR="00C74C42" w:rsidRPr="00B009F8" w:rsidTr="00276E85">
        <w:tc>
          <w:tcPr>
            <w:tcW w:w="10206" w:type="dxa"/>
          </w:tcPr>
          <w:p w:rsidR="00C74C42" w:rsidRPr="00B009F8" w:rsidRDefault="00C74C42" w:rsidP="00276E85">
            <w:pPr>
              <w:jc w:val="center"/>
              <w:rPr>
                <w:rFonts w:ascii="Garamond" w:hAnsi="Garamond"/>
                <w:b/>
                <w:bCs/>
                <w:sz w:val="22"/>
                <w:szCs w:val="22"/>
              </w:rPr>
            </w:pPr>
            <w:r>
              <w:rPr>
                <w:rFonts w:ascii="Garamond" w:hAnsi="Garamond"/>
                <w:b/>
                <w:bCs/>
                <w:sz w:val="22"/>
                <w:szCs w:val="22"/>
              </w:rPr>
              <w:t>Królestwo Belgii</w:t>
            </w: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szCs w:val="22"/>
              </w:rPr>
              <w:t>_________</w:t>
            </w:r>
          </w:p>
        </w:tc>
      </w:tr>
      <w:tr w:rsidR="00C74C42" w:rsidRPr="00B009F8" w:rsidTr="00276E85">
        <w:tc>
          <w:tcPr>
            <w:tcW w:w="10206" w:type="dxa"/>
          </w:tcPr>
          <w:p w:rsidR="00C74C42" w:rsidRPr="00B009F8" w:rsidRDefault="00C74C42" w:rsidP="00276E85">
            <w:pPr>
              <w:rPr>
                <w:rFonts w:ascii="Garamond" w:hAnsi="Garamond"/>
                <w:sz w:val="22"/>
                <w:szCs w:val="22"/>
                <w:lang w:val="nl-NL"/>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caps/>
                <w:snapToGrid w:val="0"/>
                <w:color w:val="000000"/>
                <w:sz w:val="22"/>
                <w:szCs w:val="22"/>
              </w:rPr>
              <w:t>Federalna Służba Publiczna ds. Zdrowia Publicznego, Bezpieczeństwa Łańcucha Żywnościowego i Ochrony Środowiska</w:t>
            </w: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szCs w:val="22"/>
              </w:rPr>
              <w:t>________________________</w:t>
            </w:r>
          </w:p>
        </w:tc>
      </w:tr>
      <w:tr w:rsidR="00C74C42" w:rsidRPr="00B009F8" w:rsidTr="00276E85">
        <w:tc>
          <w:tcPr>
            <w:tcW w:w="10206" w:type="dxa"/>
          </w:tcPr>
          <w:p w:rsidR="00C74C42" w:rsidRPr="00B009F8" w:rsidRDefault="00C74C42" w:rsidP="00276E85">
            <w:pPr>
              <w:rPr>
                <w:rFonts w:ascii="Garamond" w:hAnsi="Garamond"/>
                <w:sz w:val="22"/>
                <w:szCs w:val="22"/>
                <w:lang w:val="nl-NL"/>
              </w:rPr>
            </w:pPr>
          </w:p>
        </w:tc>
      </w:tr>
      <w:tr w:rsidR="00C74C42" w:rsidRPr="00B009F8" w:rsidTr="00276E85">
        <w:tc>
          <w:tcPr>
            <w:tcW w:w="10206" w:type="dxa"/>
          </w:tcPr>
          <w:p w:rsidR="00C74C42" w:rsidRPr="00B009F8" w:rsidRDefault="00C74C42" w:rsidP="00276E85">
            <w:pPr>
              <w:jc w:val="center"/>
              <w:rPr>
                <w:rFonts w:ascii="Garamond" w:hAnsi="Garamond"/>
                <w:b/>
                <w:bCs/>
                <w:sz w:val="22"/>
                <w:szCs w:val="22"/>
              </w:rPr>
            </w:pPr>
            <w:r>
              <w:rPr>
                <w:rFonts w:ascii="Garamond" w:hAnsi="Garamond"/>
                <w:b/>
                <w:sz w:val="22"/>
                <w:szCs w:val="22"/>
              </w:rPr>
              <w:t>Dekret królewski w sprawie materiałów i wyrobów metalowych oraz stopów przeznaczonych do kontaktu z żywnością</w:t>
            </w:r>
          </w:p>
        </w:tc>
      </w:tr>
      <w:tr w:rsidR="00C74C42" w:rsidRPr="00B009F8" w:rsidTr="00276E85">
        <w:tc>
          <w:tcPr>
            <w:tcW w:w="10206" w:type="dxa"/>
          </w:tcPr>
          <w:p w:rsidR="00C74C42" w:rsidRPr="00993C7F" w:rsidRDefault="00C74C42" w:rsidP="00276E85">
            <w:pPr>
              <w:rPr>
                <w:rFonts w:ascii="Garamond" w:hAnsi="Garamond"/>
                <w:sz w:val="22"/>
                <w:szCs w:val="22"/>
              </w:rPr>
            </w:pPr>
          </w:p>
        </w:tc>
      </w:tr>
      <w:tr w:rsidR="00C74C42" w:rsidRPr="00B009F8" w:rsidTr="00276E85">
        <w:tc>
          <w:tcPr>
            <w:tcW w:w="10206" w:type="dxa"/>
          </w:tcPr>
          <w:p w:rsidR="00C74C42" w:rsidRPr="00B009F8" w:rsidRDefault="00C74C42" w:rsidP="00276E85">
            <w:pPr>
              <w:jc w:val="center"/>
              <w:rPr>
                <w:rFonts w:ascii="Garamond" w:hAnsi="Garamond"/>
                <w:b/>
                <w:bCs/>
                <w:iCs/>
                <w:sz w:val="22"/>
                <w:szCs w:val="22"/>
              </w:rPr>
            </w:pPr>
            <w:r>
              <w:rPr>
                <w:rFonts w:ascii="Garamond" w:hAnsi="Garamond"/>
                <w:b/>
                <w:sz w:val="22"/>
                <w:szCs w:val="22"/>
              </w:rPr>
              <w:t>FILIP, Król Belgów,</w:t>
            </w:r>
          </w:p>
        </w:tc>
      </w:tr>
      <w:tr w:rsidR="00C74C42" w:rsidRPr="00B009F8" w:rsidTr="00276E85">
        <w:tc>
          <w:tcPr>
            <w:tcW w:w="10206" w:type="dxa"/>
          </w:tcPr>
          <w:p w:rsidR="00C74C42" w:rsidRPr="00B009F8" w:rsidRDefault="00C74C42" w:rsidP="00276E85">
            <w:pPr>
              <w:rPr>
                <w:rFonts w:ascii="Garamond" w:hAnsi="Garamond"/>
                <w:sz w:val="22"/>
                <w:szCs w:val="22"/>
                <w:lang w:val="nl-NL"/>
              </w:rPr>
            </w:pPr>
          </w:p>
        </w:tc>
      </w:tr>
      <w:tr w:rsidR="00C74C42" w:rsidRPr="00B009F8" w:rsidTr="00276E85">
        <w:tc>
          <w:tcPr>
            <w:tcW w:w="10206" w:type="dxa"/>
          </w:tcPr>
          <w:p w:rsidR="00C74C42" w:rsidRPr="00B009F8" w:rsidRDefault="00C74C42" w:rsidP="00276E85">
            <w:pPr>
              <w:jc w:val="center"/>
              <w:rPr>
                <w:rFonts w:ascii="Garamond" w:hAnsi="Garamond"/>
                <w:iCs/>
                <w:sz w:val="22"/>
                <w:szCs w:val="22"/>
              </w:rPr>
            </w:pPr>
            <w:r>
              <w:rPr>
                <w:rFonts w:ascii="Garamond" w:hAnsi="Garamond"/>
                <w:iCs/>
                <w:sz w:val="22"/>
                <w:szCs w:val="22"/>
              </w:rPr>
              <w:t>do wszystkich żyjących i przyszłych obywateli, z pozdrowieniem.</w:t>
            </w:r>
          </w:p>
        </w:tc>
      </w:tr>
      <w:tr w:rsidR="00C74C42" w:rsidRPr="00B009F8" w:rsidTr="00276E85">
        <w:tc>
          <w:tcPr>
            <w:tcW w:w="10206" w:type="dxa"/>
          </w:tcPr>
          <w:p w:rsidR="00C74C42" w:rsidRPr="00993C7F" w:rsidRDefault="00C74C42" w:rsidP="00276E85">
            <w:pPr>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Uwzględniając rozporządzenie (WE) nr 1935/2004 Parlamentu Europejskiego i Rady z dnia 27 października 2004 r. w sprawie materiałów i wyrobów przeznaczonych do kontaktu z żywnością oraz uchylające dyrektywy 80/590/EWG i 89/109/EWG,</w:t>
            </w:r>
          </w:p>
        </w:tc>
      </w:tr>
      <w:tr w:rsidR="00C74C42" w:rsidRPr="00B009F8" w:rsidTr="00276E85">
        <w:tc>
          <w:tcPr>
            <w:tcW w:w="10206" w:type="dxa"/>
          </w:tcPr>
          <w:p w:rsidR="00C74C42" w:rsidRPr="00993C7F"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uwzględniając art. 3 ust. 2 lit. a) ustawy z dnia 24 stycznia 1977 r. o ochronie zdrowia konsumentów w odniesieniu do środków spożywczych i innych produktów, zmieniony ustawą z dnia 22 marca 1989 r.,</w:t>
            </w:r>
          </w:p>
        </w:tc>
      </w:tr>
      <w:tr w:rsidR="00C74C42" w:rsidRPr="00B009F8" w:rsidTr="00276E85">
        <w:tc>
          <w:tcPr>
            <w:tcW w:w="10206" w:type="dxa"/>
          </w:tcPr>
          <w:p w:rsidR="00C74C42" w:rsidRPr="00993C7F"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 xml:space="preserve">uwzględniając dekret królewski z dnia 11 maja 1992 r. w sprawie minerałów i przedmiotów przeznaczonych do kontaktu z żywnością, </w:t>
            </w:r>
          </w:p>
        </w:tc>
      </w:tr>
      <w:tr w:rsidR="00C74C42" w:rsidRPr="00B009F8" w:rsidTr="00276E85">
        <w:tc>
          <w:tcPr>
            <w:tcW w:w="10206" w:type="dxa"/>
          </w:tcPr>
          <w:p w:rsidR="00C74C42" w:rsidRPr="00993C7F"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 xml:space="preserve">uwzględniając opinię Rady Doradczej ds. Polityki Żywieniowej i Stosowania Produktów Konsumpcyjnych z dnia </w:t>
            </w:r>
            <w:r>
              <w:rPr>
                <w:rFonts w:ascii="Garamond" w:hAnsi="Garamond"/>
                <w:color w:val="FF0000"/>
                <w:sz w:val="22"/>
                <w:szCs w:val="22"/>
              </w:rPr>
              <w:t>xx xxxxx 20xx</w:t>
            </w:r>
            <w:r>
              <w:rPr>
                <w:rFonts w:ascii="Garamond" w:hAnsi="Garamond"/>
                <w:sz w:val="22"/>
                <w:szCs w:val="22"/>
              </w:rPr>
              <w:t>,</w:t>
            </w:r>
          </w:p>
        </w:tc>
      </w:tr>
      <w:tr w:rsidR="00C74C42" w:rsidRPr="00B009F8" w:rsidTr="00276E85">
        <w:tc>
          <w:tcPr>
            <w:tcW w:w="10206" w:type="dxa"/>
          </w:tcPr>
          <w:p w:rsidR="00C74C42" w:rsidRPr="00993C7F"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autoSpaceDE w:val="0"/>
              <w:autoSpaceDN w:val="0"/>
              <w:adjustRightInd w:val="0"/>
              <w:jc w:val="both"/>
              <w:rPr>
                <w:rFonts w:ascii="Garamond" w:hAnsi="Garamond"/>
                <w:sz w:val="22"/>
                <w:szCs w:val="22"/>
              </w:rPr>
            </w:pPr>
            <w:r>
              <w:rPr>
                <w:rFonts w:ascii="Garamond" w:hAnsi="Garamond"/>
                <w:color w:val="000000"/>
                <w:sz w:val="22"/>
                <w:szCs w:val="22"/>
              </w:rPr>
              <w:t>uwzględniając opinię Inspektora ds. Finansów z dnia</w:t>
            </w:r>
            <w:r>
              <w:rPr>
                <w:rFonts w:ascii="Garamond" w:hAnsi="Garamond"/>
                <w:sz w:val="22"/>
                <w:szCs w:val="22"/>
              </w:rPr>
              <w:t xml:space="preserve"> </w:t>
            </w:r>
            <w:r>
              <w:rPr>
                <w:rFonts w:ascii="Garamond" w:hAnsi="Garamond"/>
                <w:color w:val="FF0000"/>
                <w:sz w:val="22"/>
                <w:szCs w:val="22"/>
              </w:rPr>
              <w:t>xx xxxxx 20xx</w:t>
            </w:r>
            <w:r>
              <w:rPr>
                <w:rFonts w:ascii="Garamond" w:hAnsi="Garamond"/>
                <w:sz w:val="22"/>
                <w:szCs w:val="22"/>
              </w:rPr>
              <w:t>,</w:t>
            </w:r>
          </w:p>
        </w:tc>
      </w:tr>
      <w:tr w:rsidR="00C74C42" w:rsidRPr="00B009F8" w:rsidTr="00276E85">
        <w:tc>
          <w:tcPr>
            <w:tcW w:w="10206" w:type="dxa"/>
          </w:tcPr>
          <w:p w:rsidR="00C74C42" w:rsidRPr="00993C7F" w:rsidRDefault="00C74C42" w:rsidP="00A47389">
            <w:pPr>
              <w:autoSpaceDE w:val="0"/>
              <w:autoSpaceDN w:val="0"/>
              <w:adjustRightInd w:val="0"/>
              <w:jc w:val="both"/>
              <w:rPr>
                <w:rFonts w:ascii="Garamond" w:hAnsi="Garamond" w:cs="Palatino Linotype"/>
                <w:color w:val="000000"/>
                <w:sz w:val="22"/>
                <w:szCs w:val="22"/>
                <w:lang w:eastAsia="fr-BE"/>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 xml:space="preserve">uwzględniając notyfikację do Komisji Europejskiej z dnia </w:t>
            </w:r>
            <w:r>
              <w:rPr>
                <w:rFonts w:ascii="Garamond" w:hAnsi="Garamond"/>
                <w:color w:val="FF0000"/>
                <w:sz w:val="22"/>
                <w:szCs w:val="22"/>
              </w:rPr>
              <w:t>xx xxxxx 20xx</w:t>
            </w:r>
            <w:r>
              <w:rPr>
                <w:rFonts w:ascii="Garamond" w:hAnsi="Garamond"/>
                <w:sz w:val="22"/>
                <w:szCs w:val="22"/>
              </w:rPr>
              <w:t xml:space="preserve"> w trybie art. 5 ust. 1 dyrektywy (UE) 2015/1535 Parlamentu Europejskiego i Rady z dnia 9 września 2015 r. ustanawiającej procedurę udzielania informacji w dziedzinie przepisów technicznych oraz zasad dotyczących usług społeczeństwa informacyjnego,</w:t>
            </w:r>
          </w:p>
        </w:tc>
      </w:tr>
      <w:tr w:rsidR="00C74C42" w:rsidRPr="00B009F8" w:rsidTr="00276E85">
        <w:tc>
          <w:tcPr>
            <w:tcW w:w="10206" w:type="dxa"/>
          </w:tcPr>
          <w:p w:rsidR="00C74C42" w:rsidRPr="00993C7F"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 xml:space="preserve">uwzględniając opinię Rady Stanu nr </w:t>
            </w:r>
            <w:r>
              <w:rPr>
                <w:rFonts w:ascii="Garamond" w:hAnsi="Garamond"/>
                <w:color w:val="FF0000"/>
                <w:sz w:val="22"/>
                <w:szCs w:val="22"/>
              </w:rPr>
              <w:t>xx.xxx/x</w:t>
            </w:r>
            <w:r>
              <w:rPr>
                <w:rFonts w:ascii="Garamond" w:hAnsi="Garamond"/>
                <w:sz w:val="22"/>
                <w:szCs w:val="22"/>
              </w:rPr>
              <w:t xml:space="preserve"> z dnia </w:t>
            </w:r>
            <w:r>
              <w:rPr>
                <w:rFonts w:ascii="Garamond" w:hAnsi="Garamond"/>
                <w:color w:val="FF0000"/>
                <w:sz w:val="22"/>
                <w:szCs w:val="22"/>
              </w:rPr>
              <w:t>xx xxxx 201x</w:t>
            </w:r>
            <w:r>
              <w:rPr>
                <w:rFonts w:ascii="Garamond" w:hAnsi="Garamond"/>
                <w:sz w:val="22"/>
                <w:szCs w:val="22"/>
              </w:rPr>
              <w:t xml:space="preserve"> przedłożoną w trybie art. 84 § 1 ust. 1 pkt 2 ustaw o Radzie Stanu, skonsolidowanych w dniu 12 stycznia 1973 r.,</w:t>
            </w:r>
          </w:p>
        </w:tc>
      </w:tr>
      <w:tr w:rsidR="00C74C42" w:rsidRPr="00B009F8" w:rsidTr="00276E85">
        <w:tc>
          <w:tcPr>
            <w:tcW w:w="10206" w:type="dxa"/>
          </w:tcPr>
          <w:p w:rsidR="00C74C42" w:rsidRPr="00993C7F"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uwzględniając rezolucję</w:t>
            </w:r>
            <w:r w:rsidR="00993C7F">
              <w:rPr>
                <w:rFonts w:ascii="Garamond" w:hAnsi="Garamond"/>
                <w:sz w:val="22"/>
                <w:szCs w:val="22"/>
              </w:rPr>
              <w:t xml:space="preserve"> </w:t>
            </w:r>
            <w:r>
              <w:rPr>
                <w:rFonts w:ascii="Garamond" w:hAnsi="Garamond"/>
                <w:sz w:val="22"/>
                <w:szCs w:val="22"/>
              </w:rPr>
              <w:t>CM/Res (2013)9 Rady Europy w sprawie metali i stopów stosowanych w materiałach do kontaktu z żywnością,</w:t>
            </w:r>
          </w:p>
        </w:tc>
      </w:tr>
      <w:tr w:rsidR="00C74C42" w:rsidRPr="00B009F8" w:rsidTr="00276E85">
        <w:tc>
          <w:tcPr>
            <w:tcW w:w="10206" w:type="dxa"/>
          </w:tcPr>
          <w:p w:rsidR="00C74C42" w:rsidRPr="00993C7F"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na wniosek Ministra Zdrowia Publicznego i Ministra Rolnictwa,</w:t>
            </w:r>
          </w:p>
        </w:tc>
      </w:tr>
      <w:tr w:rsidR="00C74C42" w:rsidRPr="00B009F8" w:rsidTr="00276E85">
        <w:tc>
          <w:tcPr>
            <w:tcW w:w="10206" w:type="dxa"/>
          </w:tcPr>
          <w:p w:rsidR="00C74C42" w:rsidRPr="00993C7F"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POSTANAWIAMY I UCHWALAMY:</w:t>
            </w:r>
          </w:p>
        </w:tc>
      </w:tr>
      <w:tr w:rsidR="00C74C42" w:rsidRPr="00B009F8" w:rsidTr="00276E85">
        <w:tc>
          <w:tcPr>
            <w:tcW w:w="10206" w:type="dxa"/>
          </w:tcPr>
          <w:p w:rsidR="00C74C42" w:rsidRPr="00B009F8" w:rsidRDefault="00C74C42" w:rsidP="00A47389">
            <w:pPr>
              <w:jc w:val="both"/>
              <w:rPr>
                <w:rFonts w:ascii="Garamond" w:hAnsi="Garamond"/>
                <w:sz w:val="22"/>
                <w:szCs w:val="22"/>
                <w:lang w:val="nl-NL"/>
              </w:rPr>
            </w:pPr>
          </w:p>
        </w:tc>
      </w:tr>
      <w:tr w:rsidR="00C74C42" w:rsidRPr="00B009F8" w:rsidTr="00276E85">
        <w:tc>
          <w:tcPr>
            <w:tcW w:w="10206" w:type="dxa"/>
          </w:tcPr>
          <w:p w:rsidR="00C74C42" w:rsidRPr="00B009F8" w:rsidRDefault="008C5E75" w:rsidP="00A47389">
            <w:pPr>
              <w:keepNext/>
              <w:keepLines/>
              <w:jc w:val="both"/>
              <w:rPr>
                <w:rFonts w:ascii="Garamond" w:hAnsi="Garamond"/>
                <w:b/>
                <w:bCs/>
                <w:sz w:val="22"/>
                <w:szCs w:val="22"/>
              </w:rPr>
            </w:pPr>
            <w:r>
              <w:rPr>
                <w:rFonts w:ascii="Garamond" w:hAnsi="Garamond"/>
                <w:b/>
                <w:bCs/>
                <w:sz w:val="22"/>
                <w:szCs w:val="22"/>
              </w:rPr>
              <w:t>Artykuł 1. Zakres stosowania</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Przepisy niniejszego dekretu mają zastosowanie do niezamierzonego uwalniania jonów metali z gotowych materiałów i wyrobów – niezależnie od tego, czy są one w całości czy częściowo wykonane z metalu oraz czy są pokryte warstwą wierzchnią – które:</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1° są przeznaczone do kontaktu z żywnością; lub</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2° pozostają już w kontakcie z żywnością i są przeznaczone do tego celu; lub</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3° można w sposób uzasadniony oczekiwać, iż wejdą w kontakt z żywnością albo nastąpi migracja ich składników do żywności w przypadku ich zastosowania w normalnych lub możliwych do przewidzenia warunkach.</w:t>
            </w:r>
          </w:p>
        </w:tc>
      </w:tr>
      <w:tr w:rsidR="00C74C42" w:rsidRPr="00B009F8" w:rsidTr="00276E85">
        <w:tc>
          <w:tcPr>
            <w:tcW w:w="10206" w:type="dxa"/>
          </w:tcPr>
          <w:p w:rsidR="00C74C42" w:rsidRPr="00993C7F" w:rsidRDefault="00C74C42" w:rsidP="00A47389">
            <w:pPr>
              <w:pStyle w:val="ListParagraph"/>
              <w:ind w:left="360"/>
              <w:jc w:val="both"/>
              <w:rPr>
                <w:rFonts w:ascii="Garamond" w:hAnsi="Garamond"/>
                <w:sz w:val="22"/>
                <w:szCs w:val="22"/>
              </w:rPr>
            </w:pPr>
          </w:p>
        </w:tc>
      </w:tr>
      <w:tr w:rsidR="00C74C42" w:rsidRPr="00B009F8" w:rsidTr="00276E85">
        <w:tc>
          <w:tcPr>
            <w:tcW w:w="10206" w:type="dxa"/>
          </w:tcPr>
          <w:p w:rsidR="00C74C42" w:rsidRPr="00B009F8" w:rsidRDefault="008C5E75" w:rsidP="00A47389">
            <w:pPr>
              <w:keepNext/>
              <w:keepLines/>
              <w:jc w:val="both"/>
              <w:rPr>
                <w:rFonts w:ascii="Garamond" w:hAnsi="Garamond"/>
                <w:b/>
                <w:sz w:val="22"/>
                <w:szCs w:val="22"/>
              </w:rPr>
            </w:pPr>
            <w:r>
              <w:rPr>
                <w:rFonts w:ascii="Garamond" w:hAnsi="Garamond"/>
                <w:b/>
                <w:sz w:val="22"/>
                <w:szCs w:val="22"/>
              </w:rPr>
              <w:t>Artykuł 2. Definicje</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Do celów niniejszego dekretu stosuje się następujące definicje:</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1° metale: metale, które w stanie stałym posiadają następujące właściwości fizykochemiczne:</w:t>
            </w:r>
          </w:p>
        </w:tc>
      </w:tr>
      <w:tr w:rsidR="00C74C42" w:rsidRPr="00B009F8" w:rsidTr="00276E85">
        <w:tc>
          <w:tcPr>
            <w:tcW w:w="10206" w:type="dxa"/>
          </w:tcPr>
          <w:p w:rsidR="00C74C42" w:rsidRPr="00B009F8" w:rsidRDefault="00C74C42" w:rsidP="00A47389">
            <w:pPr>
              <w:pStyle w:val="ListParagraph"/>
              <w:numPr>
                <w:ilvl w:val="0"/>
                <w:numId w:val="2"/>
              </w:numPr>
              <w:jc w:val="both"/>
              <w:rPr>
                <w:rFonts w:ascii="Garamond" w:hAnsi="Garamond"/>
                <w:sz w:val="22"/>
                <w:szCs w:val="22"/>
              </w:rPr>
            </w:pPr>
            <w:r>
              <w:rPr>
                <w:rFonts w:ascii="Garamond" w:hAnsi="Garamond"/>
                <w:sz w:val="22"/>
                <w:szCs w:val="22"/>
              </w:rPr>
              <w:t>współczynnik odbicia odpowiedzialny za charakterystyczny metaliczny połysk,</w:t>
            </w:r>
          </w:p>
        </w:tc>
      </w:tr>
      <w:tr w:rsidR="00C74C42" w:rsidRPr="00B009F8" w:rsidTr="00276E85">
        <w:tc>
          <w:tcPr>
            <w:tcW w:w="10206" w:type="dxa"/>
          </w:tcPr>
          <w:p w:rsidR="00C74C42" w:rsidRPr="00B009F8" w:rsidRDefault="00C74C42" w:rsidP="00A47389">
            <w:pPr>
              <w:pStyle w:val="ListParagraph"/>
              <w:numPr>
                <w:ilvl w:val="0"/>
                <w:numId w:val="1"/>
              </w:numPr>
              <w:jc w:val="both"/>
              <w:rPr>
                <w:rFonts w:ascii="Garamond" w:hAnsi="Garamond"/>
                <w:sz w:val="22"/>
                <w:szCs w:val="22"/>
              </w:rPr>
            </w:pPr>
            <w:r>
              <w:rPr>
                <w:rFonts w:ascii="Garamond" w:hAnsi="Garamond"/>
                <w:sz w:val="22"/>
                <w:szCs w:val="22"/>
              </w:rPr>
              <w:t>przewodnictwo elektryczne,</w:t>
            </w:r>
          </w:p>
        </w:tc>
      </w:tr>
      <w:tr w:rsidR="00C74C42" w:rsidRPr="00B009F8" w:rsidTr="00276E85">
        <w:tc>
          <w:tcPr>
            <w:tcW w:w="10206" w:type="dxa"/>
          </w:tcPr>
          <w:p w:rsidR="00C74C42" w:rsidRPr="00B009F8" w:rsidRDefault="00C74C42" w:rsidP="00A47389">
            <w:pPr>
              <w:pStyle w:val="ListParagraph"/>
              <w:numPr>
                <w:ilvl w:val="0"/>
                <w:numId w:val="1"/>
              </w:numPr>
              <w:jc w:val="both"/>
              <w:rPr>
                <w:rFonts w:ascii="Garamond" w:hAnsi="Garamond"/>
                <w:sz w:val="22"/>
                <w:szCs w:val="22"/>
              </w:rPr>
            </w:pPr>
            <w:r>
              <w:rPr>
                <w:rFonts w:ascii="Garamond" w:hAnsi="Garamond"/>
                <w:sz w:val="22"/>
                <w:szCs w:val="22"/>
              </w:rPr>
              <w:t>przewodnictwo cieplne,</w:t>
            </w:r>
          </w:p>
        </w:tc>
      </w:tr>
      <w:tr w:rsidR="00C74C42" w:rsidRPr="00B009F8" w:rsidTr="00276E85">
        <w:tc>
          <w:tcPr>
            <w:tcW w:w="10206" w:type="dxa"/>
          </w:tcPr>
          <w:p w:rsidR="00C74C42" w:rsidRPr="00B009F8" w:rsidRDefault="00C74C42" w:rsidP="00A47389">
            <w:pPr>
              <w:pStyle w:val="ListParagraph"/>
              <w:numPr>
                <w:ilvl w:val="0"/>
                <w:numId w:val="3"/>
              </w:numPr>
              <w:jc w:val="both"/>
              <w:rPr>
                <w:rFonts w:ascii="Garamond" w:hAnsi="Garamond"/>
                <w:sz w:val="22"/>
                <w:szCs w:val="22"/>
              </w:rPr>
            </w:pPr>
            <w:r>
              <w:rPr>
                <w:rFonts w:ascii="Garamond" w:hAnsi="Garamond"/>
                <w:sz w:val="22"/>
                <w:szCs w:val="22"/>
              </w:rPr>
              <w:t>właściwości mechaniczne, takie jak wytrzymałość i odkształcalność.</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Metale odpowiadają kategorii materiałów o spójności na poziomie atomowym gwarantowanej przez związki metali. Można uznać, że są one równoważne z ogółem dodatnich jonów metalu tworzących rozbudowane sieci krystaliczne, w których elektrony walencyjne są rozłożone na przestrzeni całej struktury;</w:t>
            </w:r>
          </w:p>
        </w:tc>
      </w:tr>
      <w:tr w:rsidR="00C74C42" w:rsidRPr="00B009F8" w:rsidTr="00276E85">
        <w:tc>
          <w:tcPr>
            <w:tcW w:w="10206" w:type="dxa"/>
          </w:tcPr>
          <w:p w:rsidR="00C74C42" w:rsidRPr="00993C7F"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2° stopy: stop oznacza jednolity w skali makroskopowej materiał metaliczny składający się z dwóch lub większej liczby pierwiastków połączonych w taki sposób, że nie można ich łatwo rozdzielić w sposób mechaniczny;</w:t>
            </w:r>
          </w:p>
        </w:tc>
      </w:tr>
      <w:tr w:rsidR="00C74C42" w:rsidRPr="00B009F8" w:rsidTr="00276E85">
        <w:tc>
          <w:tcPr>
            <w:tcW w:w="10206" w:type="dxa"/>
          </w:tcPr>
          <w:p w:rsidR="00C74C42" w:rsidRPr="00993C7F"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3° uwalnianie: uwalnianie definiowane jest w dekrecie królewskim jako niezamierzone przeniesienie jonów metalu z materiałów lub wyrobów złożonych z metali lub stopów do żywności.</w:t>
            </w:r>
          </w:p>
        </w:tc>
      </w:tr>
      <w:tr w:rsidR="00C74C42" w:rsidRPr="00B009F8" w:rsidTr="00276E85">
        <w:tc>
          <w:tcPr>
            <w:tcW w:w="10206" w:type="dxa"/>
          </w:tcPr>
          <w:p w:rsidR="00C74C42" w:rsidRPr="00993C7F"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4° limit szczególnego uwalniania: maksymalna dopuszczalna ilość określonego jonu metalu lub metaloidu (w miligramach), która może zostać uwolniona przez materiał lub wyrób do żywności lub płynów modelowych imitujących żywność (w kilogramach).</w:t>
            </w:r>
          </w:p>
        </w:tc>
      </w:tr>
      <w:tr w:rsidR="00C74C42" w:rsidRPr="00B009F8" w:rsidTr="00276E85">
        <w:tc>
          <w:tcPr>
            <w:tcW w:w="10206" w:type="dxa"/>
          </w:tcPr>
          <w:p w:rsidR="00C74C42" w:rsidRPr="00993C7F" w:rsidRDefault="00C74C42" w:rsidP="00A47389">
            <w:pPr>
              <w:jc w:val="both"/>
              <w:rPr>
                <w:rFonts w:ascii="Garamond" w:hAnsi="Garamond"/>
                <w:color w:val="0000FF"/>
                <w:sz w:val="22"/>
                <w:szCs w:val="22"/>
              </w:rPr>
            </w:pPr>
          </w:p>
        </w:tc>
      </w:tr>
      <w:tr w:rsidR="00C74C42" w:rsidRPr="00B009F8" w:rsidTr="00276E85">
        <w:tc>
          <w:tcPr>
            <w:tcW w:w="10206" w:type="dxa"/>
          </w:tcPr>
          <w:p w:rsidR="00C74C42" w:rsidRPr="00B009F8" w:rsidRDefault="00C74C42" w:rsidP="00A47389">
            <w:pPr>
              <w:keepNext/>
              <w:keepLines/>
              <w:jc w:val="both"/>
              <w:rPr>
                <w:rFonts w:ascii="Garamond" w:hAnsi="Garamond"/>
                <w:b/>
                <w:sz w:val="22"/>
                <w:szCs w:val="22"/>
              </w:rPr>
            </w:pPr>
            <w:r>
              <w:rPr>
                <w:rFonts w:ascii="Garamond" w:hAnsi="Garamond"/>
                <w:b/>
                <w:sz w:val="22"/>
                <w:szCs w:val="22"/>
              </w:rPr>
              <w:t>Artykuł 3. Przepisy ogólne</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Materiały i wyroby z metalu lub stopu przeznaczone do kontaktu z żywnością muszą być wyprodukowane zgodnie z:</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 rozporządzeniem (WE) nr 1935/2004 Parlamentu Europejskiego i Rady z dnia 27 października 2004 r. w sprawie materiałów i wyrobów przeznaczonych do kontaktu z żywnością,</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 rozporządzeniem Komisji (WE) nr 2023/2006 z dnia 22 grudnia 2006 r. w sprawie dobrej praktyki produkcyjnej w odniesieniu do materiałów i wyrobów przeznaczonych do kontaktu z żywnością,</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 dekretem królewskim z dnia 11 maja 1992 r. w sprawie minerałów i przedmiotów przeznaczonych do kontaktu z żywnością.</w:t>
            </w:r>
          </w:p>
        </w:tc>
      </w:tr>
      <w:tr w:rsidR="00C74C42" w:rsidRPr="00B009F8" w:rsidTr="00276E85">
        <w:tc>
          <w:tcPr>
            <w:tcW w:w="10206" w:type="dxa"/>
          </w:tcPr>
          <w:p w:rsidR="00C74C42" w:rsidRPr="00993C7F"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keepNext/>
              <w:keepLines/>
              <w:jc w:val="both"/>
              <w:rPr>
                <w:rFonts w:ascii="Garamond" w:hAnsi="Garamond"/>
                <w:b/>
                <w:sz w:val="22"/>
                <w:szCs w:val="22"/>
              </w:rPr>
            </w:pPr>
            <w:r>
              <w:rPr>
                <w:rFonts w:ascii="Garamond" w:hAnsi="Garamond"/>
                <w:b/>
                <w:sz w:val="22"/>
                <w:szCs w:val="22"/>
              </w:rPr>
              <w:t>Artykuł 4. Limit szczególnego uwalniania</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Materiały i wyroby, o których mowa w art. 1, muszą spełniać limity dotyczące szczególnego uwalniania, o których mowa w rozdziale 1 załącznika.</w:t>
            </w:r>
          </w:p>
        </w:tc>
      </w:tr>
      <w:tr w:rsidR="00C74C42" w:rsidRPr="00B009F8" w:rsidTr="00276E85">
        <w:tc>
          <w:tcPr>
            <w:tcW w:w="10206" w:type="dxa"/>
          </w:tcPr>
          <w:p w:rsidR="00C74C42" w:rsidRPr="00B009F8" w:rsidRDefault="00C74C42" w:rsidP="00A47389">
            <w:pPr>
              <w:autoSpaceDE w:val="0"/>
              <w:autoSpaceDN w:val="0"/>
              <w:adjustRightInd w:val="0"/>
              <w:jc w:val="both"/>
              <w:rPr>
                <w:rFonts w:ascii="Garamond" w:hAnsi="Garamond"/>
                <w:sz w:val="22"/>
                <w:szCs w:val="22"/>
              </w:rPr>
            </w:pPr>
            <w:r>
              <w:rPr>
                <w:rFonts w:ascii="Garamond" w:hAnsi="Garamond"/>
                <w:sz w:val="22"/>
                <w:szCs w:val="22"/>
              </w:rPr>
              <w:t>Substancje w postaci nanomateriału wymagają we wszystkich przypadkach szczegółowej oceny właściwości, zamierzonego zastosowania oraz stopnia ekspozycji w przypadku uwolnienia do środka spożywczego.</w:t>
            </w:r>
          </w:p>
        </w:tc>
      </w:tr>
      <w:tr w:rsidR="00C74C42" w:rsidRPr="00B009F8" w:rsidTr="00276E85">
        <w:tc>
          <w:tcPr>
            <w:tcW w:w="10206" w:type="dxa"/>
          </w:tcPr>
          <w:p w:rsidR="00C74C42" w:rsidRPr="00993C7F"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keepNext/>
              <w:keepLines/>
              <w:autoSpaceDE w:val="0"/>
              <w:autoSpaceDN w:val="0"/>
              <w:adjustRightInd w:val="0"/>
              <w:jc w:val="both"/>
              <w:rPr>
                <w:rFonts w:ascii="Garamond" w:hAnsi="Garamond"/>
                <w:b/>
                <w:sz w:val="22"/>
                <w:szCs w:val="22"/>
              </w:rPr>
            </w:pPr>
            <w:r>
              <w:rPr>
                <w:rFonts w:ascii="Garamond" w:hAnsi="Garamond"/>
                <w:b/>
                <w:sz w:val="22"/>
                <w:szCs w:val="22"/>
              </w:rPr>
              <w:t>Artykuł 5. Zgodność limitu szczególnego uwalniania</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§1. Zgodność gotowych materiałów i wyrobów kontrolowana jest przez badania uwalniania i metody przesiewowe.</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Badania te przeprowadza się zgodnie z krajowymi i europejskimi metodami przeznaczonymi dla materiałów i wyrobów z metalu lub stopu przeznaczonych do kontaktu z żywnością.</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Badania uwalniania z materiałów i wyrobów do żywności są przeprowadzane z uwzględnieniem najbardziej niekorzystnych warunków, które są w uzasadnionym stopniu przewidywalne.</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Wyniki badań szczególnego uwalniania przeprowadzonych na żywności są nadrzędne wobec wyników badań przy zastosowaniu płynu modelowego imitującego żywność. Wyniki badań szczególnego uwalniania przeprowadzonych przy zastosowaniu płynu modelowego imitującego żywność są nadrzędne wobec wyników badań metodami przesiewowymi.</w:t>
            </w:r>
          </w:p>
        </w:tc>
      </w:tr>
      <w:tr w:rsidR="00C74C42" w:rsidRPr="00B009F8" w:rsidTr="00276E85">
        <w:tc>
          <w:tcPr>
            <w:tcW w:w="10206" w:type="dxa"/>
          </w:tcPr>
          <w:p w:rsidR="00C74C42" w:rsidRPr="00993C7F" w:rsidRDefault="00C74C42" w:rsidP="00A47389">
            <w:pPr>
              <w:jc w:val="both"/>
              <w:rPr>
                <w:rFonts w:ascii="Garamond" w:hAnsi="Garamond"/>
                <w:sz w:val="22"/>
                <w:szCs w:val="22"/>
              </w:rPr>
            </w:pP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§2. W celu sprawdzenia zgodności należy przedstawić wartości szczególnego uwalniania w produkcie końcowym wyrażone w mg/kg z zastosowaniem rzeczywistego stosunku powierzchni do objętości przy faktycznym lub zamierzonym zastosowaniu.</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W drodze odstępstwa od przepisów ust. 2 dla folii i powierzchni płaskich, które nie wchodzą w kontakt z żywnością, migrację wyraża się w mg/kg z zastosowaniem stosunku powierzchni do objętości wynoszącym 6 dm2 na kg żywności.</w:t>
            </w:r>
          </w:p>
        </w:tc>
      </w:tr>
      <w:tr w:rsidR="00C74C42" w:rsidRPr="00B009F8" w:rsidTr="00276E85">
        <w:tc>
          <w:tcPr>
            <w:tcW w:w="10206" w:type="dxa"/>
          </w:tcPr>
          <w:p w:rsidR="00C74C42" w:rsidRPr="00B009F8" w:rsidRDefault="00C74C42" w:rsidP="00A47389">
            <w:pPr>
              <w:jc w:val="both"/>
              <w:rPr>
                <w:rFonts w:ascii="Garamond" w:hAnsi="Garamond"/>
                <w:sz w:val="22"/>
                <w:szCs w:val="22"/>
                <w:lang w:val="nl-NL"/>
              </w:rPr>
            </w:pPr>
          </w:p>
        </w:tc>
      </w:tr>
      <w:tr w:rsidR="00C74C42" w:rsidRPr="00B009F8" w:rsidTr="00276E85">
        <w:tc>
          <w:tcPr>
            <w:tcW w:w="10206" w:type="dxa"/>
          </w:tcPr>
          <w:p w:rsidR="00C74C42" w:rsidRPr="00B009F8" w:rsidRDefault="00C74C42" w:rsidP="00A47389">
            <w:pPr>
              <w:keepNext/>
              <w:keepLines/>
              <w:jc w:val="both"/>
              <w:rPr>
                <w:rFonts w:ascii="Garamond" w:hAnsi="Garamond"/>
                <w:sz w:val="22"/>
                <w:szCs w:val="22"/>
              </w:rPr>
            </w:pPr>
            <w:r>
              <w:rPr>
                <w:rFonts w:ascii="Garamond" w:hAnsi="Garamond"/>
                <w:b/>
                <w:sz w:val="22"/>
                <w:szCs w:val="22"/>
              </w:rPr>
              <w:t>Artykuł 6. Deklaracja zgodności</w:t>
            </w:r>
          </w:p>
        </w:tc>
      </w:tr>
      <w:tr w:rsidR="00C74C42" w:rsidRPr="00B009F8" w:rsidTr="00276E85">
        <w:tc>
          <w:tcPr>
            <w:tcW w:w="10206" w:type="dxa"/>
          </w:tcPr>
          <w:p w:rsidR="00C74C42" w:rsidRPr="00B009F8" w:rsidRDefault="00C74C42" w:rsidP="00A47389">
            <w:pPr>
              <w:jc w:val="both"/>
              <w:rPr>
                <w:rFonts w:ascii="Garamond" w:hAnsi="Garamond"/>
                <w:sz w:val="22"/>
                <w:szCs w:val="22"/>
                <w:highlight w:val="magenta"/>
              </w:rPr>
            </w:pPr>
            <w:r>
              <w:rPr>
                <w:rFonts w:ascii="Garamond" w:hAnsi="Garamond"/>
                <w:sz w:val="22"/>
                <w:szCs w:val="22"/>
              </w:rPr>
              <w:t>§1. W drodze odstępstwa od przepisów art. 9 ust. 5 dekretu królewskiego z dnia 11 maja 1992 r. w sprawie minerałów i wyrobów przeznaczonych do kontaktu z żywnością należy stosować wzór deklaracji zgodności zawarty w rozdziale 2 załącznika do niniejszego dekretu królewskiego.</w:t>
            </w:r>
          </w:p>
        </w:tc>
      </w:tr>
      <w:tr w:rsidR="00C74C42" w:rsidRPr="00B009F8" w:rsidTr="00276E85">
        <w:tc>
          <w:tcPr>
            <w:tcW w:w="10206" w:type="dxa"/>
          </w:tcPr>
          <w:p w:rsidR="00C74C42" w:rsidRPr="00B009F8" w:rsidRDefault="00C74C42" w:rsidP="00A47389">
            <w:pPr>
              <w:jc w:val="both"/>
              <w:rPr>
                <w:rFonts w:ascii="Garamond" w:hAnsi="Garamond"/>
                <w:sz w:val="22"/>
                <w:szCs w:val="22"/>
                <w:highlight w:val="magenta"/>
                <w:lang w:val="nl-NL"/>
              </w:rPr>
            </w:pPr>
          </w:p>
        </w:tc>
      </w:tr>
      <w:tr w:rsidR="00C74C42" w:rsidRPr="00B009F8" w:rsidTr="00276E85">
        <w:tc>
          <w:tcPr>
            <w:tcW w:w="10206" w:type="dxa"/>
          </w:tcPr>
          <w:p w:rsidR="00C74C42" w:rsidRPr="00B009F8" w:rsidRDefault="00C74C42" w:rsidP="00A47389">
            <w:pPr>
              <w:jc w:val="both"/>
              <w:rPr>
                <w:rFonts w:ascii="Garamond" w:hAnsi="Garamond"/>
                <w:sz w:val="22"/>
                <w:szCs w:val="22"/>
                <w:highlight w:val="magenta"/>
              </w:rPr>
            </w:pPr>
            <w:r>
              <w:rPr>
                <w:rFonts w:ascii="Garamond" w:hAnsi="Garamond"/>
                <w:sz w:val="22"/>
                <w:szCs w:val="22"/>
              </w:rPr>
              <w:t>§2. W drodze odstępstwa od przepisów ust. 1 dla wszystkich produktów, których nie można jeszcze uznać za produkty końcowe, należy wypełnić przynajmniej punkt 1, 2, 3 i 5 deklaracji zgodności zawartej w rozdziale 2 załącznika do niniejszego dekretu królewskiego.</w:t>
            </w:r>
          </w:p>
        </w:tc>
      </w:tr>
      <w:tr w:rsidR="00C74C42" w:rsidRPr="00B009F8" w:rsidTr="00276E85">
        <w:tc>
          <w:tcPr>
            <w:tcW w:w="10206" w:type="dxa"/>
          </w:tcPr>
          <w:p w:rsidR="00C74C42" w:rsidRPr="00B009F8" w:rsidRDefault="00C74C42" w:rsidP="00A47389">
            <w:pPr>
              <w:jc w:val="both"/>
              <w:rPr>
                <w:rFonts w:ascii="Garamond" w:hAnsi="Garamond"/>
                <w:b/>
                <w:sz w:val="22"/>
                <w:szCs w:val="22"/>
                <w:lang w:val="nl-NL"/>
              </w:rPr>
            </w:pPr>
          </w:p>
        </w:tc>
      </w:tr>
      <w:tr w:rsidR="00C74C42" w:rsidRPr="00B009F8" w:rsidTr="00276E85">
        <w:tc>
          <w:tcPr>
            <w:tcW w:w="10206" w:type="dxa"/>
          </w:tcPr>
          <w:p w:rsidR="00C74C42" w:rsidRPr="00B009F8" w:rsidRDefault="00C74C42" w:rsidP="00A47389">
            <w:pPr>
              <w:keepNext/>
              <w:keepLines/>
              <w:jc w:val="both"/>
              <w:rPr>
                <w:rFonts w:ascii="Garamond" w:hAnsi="Garamond"/>
                <w:sz w:val="22"/>
                <w:szCs w:val="22"/>
              </w:rPr>
            </w:pPr>
            <w:r>
              <w:rPr>
                <w:rFonts w:ascii="Garamond" w:hAnsi="Garamond"/>
                <w:b/>
                <w:sz w:val="22"/>
                <w:szCs w:val="22"/>
              </w:rPr>
              <w:t xml:space="preserve">Artykuł 7. Wzajemne uznawanie </w:t>
            </w:r>
          </w:p>
        </w:tc>
      </w:tr>
      <w:tr w:rsidR="00C74C42" w:rsidRPr="00B009F8" w:rsidTr="00276E85">
        <w:tc>
          <w:tcPr>
            <w:tcW w:w="10206" w:type="dxa"/>
          </w:tcPr>
          <w:p w:rsidR="00C74C42" w:rsidRPr="00B009F8" w:rsidRDefault="00C74C42" w:rsidP="00A47389">
            <w:pPr>
              <w:jc w:val="both"/>
              <w:rPr>
                <w:rFonts w:ascii="Garamond" w:hAnsi="Garamond"/>
                <w:sz w:val="22"/>
                <w:szCs w:val="22"/>
              </w:rPr>
            </w:pPr>
            <w:r>
              <w:rPr>
                <w:rFonts w:ascii="Garamond" w:hAnsi="Garamond"/>
                <w:sz w:val="22"/>
                <w:szCs w:val="22"/>
              </w:rPr>
              <w:t>Przepisy niniejszego dekretu, z wyłączeniem art. 6, nie mają zastosowania do produktów wyprodukowanych lub wprowadzonych do obrotu zgodnie z prawem w innym państwie członkowskim bądź w Turcji ani do produktów wyprodukowanych zgodnie z prawem w państwie członkowskim Europejskiego Stowarzyszenia Wolnego Handlu będącym stroną Porozumienia o Europejskim Obszarze Gospodarczym, z wyjątkiem przypadku, w którym nie można zastosować klauzuli o wzajemnym uznawaniu zgodnie z art. 34 do 36 Traktatu o funkcjonowaniu Unii Europejskiej.</w:t>
            </w:r>
          </w:p>
        </w:tc>
      </w:tr>
      <w:tr w:rsidR="00C74C42" w:rsidRPr="00B009F8" w:rsidTr="00276E85">
        <w:tc>
          <w:tcPr>
            <w:tcW w:w="10206" w:type="dxa"/>
          </w:tcPr>
          <w:p w:rsidR="00C74C42" w:rsidRPr="00B009F8" w:rsidRDefault="00C74C42" w:rsidP="00A47389">
            <w:pPr>
              <w:jc w:val="both"/>
              <w:rPr>
                <w:rFonts w:ascii="Garamond" w:hAnsi="Garamond"/>
                <w:b/>
                <w:bCs/>
                <w:sz w:val="22"/>
                <w:szCs w:val="22"/>
                <w:lang w:val="nl-NL"/>
              </w:rPr>
            </w:pPr>
          </w:p>
        </w:tc>
      </w:tr>
      <w:tr w:rsidR="00C74C42" w:rsidRPr="00B009F8" w:rsidTr="00276E85">
        <w:tc>
          <w:tcPr>
            <w:tcW w:w="10206" w:type="dxa"/>
          </w:tcPr>
          <w:p w:rsidR="00C74C42" w:rsidRPr="00B009F8" w:rsidRDefault="00C74C42" w:rsidP="00A47389">
            <w:pPr>
              <w:keepNext/>
              <w:keepLines/>
              <w:jc w:val="both"/>
              <w:rPr>
                <w:rFonts w:ascii="Garamond" w:hAnsi="Garamond"/>
                <w:b/>
                <w:bCs/>
                <w:sz w:val="22"/>
                <w:szCs w:val="22"/>
              </w:rPr>
            </w:pPr>
            <w:r>
              <w:rPr>
                <w:rFonts w:ascii="Garamond" w:hAnsi="Garamond"/>
                <w:b/>
                <w:sz w:val="22"/>
                <w:szCs w:val="22"/>
              </w:rPr>
              <w:t>Artykuł 8. Naruszenia przepisów</w:t>
            </w:r>
          </w:p>
        </w:tc>
      </w:tr>
      <w:tr w:rsidR="00C74C42" w:rsidRPr="00B009F8" w:rsidTr="00276E85">
        <w:tc>
          <w:tcPr>
            <w:tcW w:w="10206" w:type="dxa"/>
          </w:tcPr>
          <w:p w:rsidR="00C74C42" w:rsidRPr="00B009F8" w:rsidRDefault="00C74C42" w:rsidP="00A47389">
            <w:pPr>
              <w:jc w:val="both"/>
              <w:rPr>
                <w:rFonts w:ascii="Garamond" w:hAnsi="Garamond"/>
                <w:b/>
                <w:bCs/>
                <w:sz w:val="22"/>
                <w:szCs w:val="22"/>
              </w:rPr>
            </w:pPr>
            <w:r>
              <w:rPr>
                <w:rFonts w:ascii="Garamond" w:hAnsi="Garamond"/>
                <w:sz w:val="22"/>
                <w:szCs w:val="22"/>
              </w:rPr>
              <w:t>Naruszenia przepisów niniejszego dekretu podlegają ściganiu i stwierdzeniu zgodnie z przepisami dekretu królewskiego z dnia 22 lutego 2001 r. w sprawie organizacji kontroli wykonywanych przez Federalną Agencję Bezpieczeństwa Łańcucha Żywnościowego i zmieniającego różne przepisy ustawowe.</w:t>
            </w:r>
          </w:p>
        </w:tc>
      </w:tr>
      <w:tr w:rsidR="00C74C42" w:rsidRPr="00B009F8" w:rsidTr="00276E85">
        <w:tc>
          <w:tcPr>
            <w:tcW w:w="10206" w:type="dxa"/>
          </w:tcPr>
          <w:p w:rsidR="00C74C42" w:rsidRPr="00B009F8" w:rsidRDefault="00C74C42" w:rsidP="00A47389">
            <w:pPr>
              <w:jc w:val="both"/>
              <w:rPr>
                <w:rFonts w:ascii="Garamond" w:hAnsi="Garamond"/>
                <w:color w:val="0070C0"/>
                <w:sz w:val="22"/>
                <w:szCs w:val="22"/>
              </w:rPr>
            </w:pPr>
            <w:r>
              <w:rPr>
                <w:rFonts w:ascii="Garamond" w:hAnsi="Garamond"/>
                <w:sz w:val="22"/>
                <w:szCs w:val="22"/>
              </w:rPr>
              <w:t>Naruszenia przepisów niniejszego dekretu podlegają sankcjom zgodnie z ustawą z dnia 24 stycznia 1977 r. o ochronie zdrowia konsumentów w odniesieniu do środków spożywczych i innych produktów.</w:t>
            </w:r>
          </w:p>
        </w:tc>
      </w:tr>
      <w:tr w:rsidR="00C74C42" w:rsidRPr="00B009F8" w:rsidTr="00276E85">
        <w:tc>
          <w:tcPr>
            <w:tcW w:w="10206" w:type="dxa"/>
          </w:tcPr>
          <w:p w:rsidR="00C74C42" w:rsidRPr="00B009F8" w:rsidRDefault="00C74C42" w:rsidP="00A47389">
            <w:pPr>
              <w:jc w:val="both"/>
              <w:rPr>
                <w:rFonts w:ascii="Garamond" w:hAnsi="Garamond"/>
                <w:sz w:val="22"/>
                <w:szCs w:val="22"/>
                <w:lang w:val="nl-NL"/>
              </w:rPr>
            </w:pPr>
          </w:p>
        </w:tc>
      </w:tr>
      <w:tr w:rsidR="00C74C42" w:rsidRPr="00B009F8" w:rsidTr="00276E85">
        <w:tc>
          <w:tcPr>
            <w:tcW w:w="10206" w:type="dxa"/>
          </w:tcPr>
          <w:p w:rsidR="00C74C42" w:rsidRPr="00B009F8" w:rsidRDefault="00C74C42" w:rsidP="00A47389">
            <w:pPr>
              <w:keepNext/>
              <w:keepLines/>
              <w:jc w:val="both"/>
              <w:rPr>
                <w:rFonts w:ascii="Garamond" w:hAnsi="Garamond"/>
                <w:sz w:val="22"/>
                <w:szCs w:val="22"/>
                <w:highlight w:val="red"/>
              </w:rPr>
            </w:pPr>
            <w:r>
              <w:rPr>
                <w:rFonts w:ascii="Garamond" w:hAnsi="Garamond"/>
                <w:b/>
                <w:sz w:val="22"/>
                <w:szCs w:val="22"/>
              </w:rPr>
              <w:t>Artykuł 9. Właściwi ministrowie</w:t>
            </w:r>
          </w:p>
        </w:tc>
      </w:tr>
      <w:tr w:rsidR="00C74C42" w:rsidRPr="00B009F8" w:rsidTr="00276E85">
        <w:tc>
          <w:tcPr>
            <w:tcW w:w="10206" w:type="dxa"/>
          </w:tcPr>
          <w:p w:rsidR="00C74C42" w:rsidRPr="00B009F8" w:rsidRDefault="00C74C42" w:rsidP="00A47389">
            <w:pPr>
              <w:jc w:val="both"/>
              <w:rPr>
                <w:rFonts w:ascii="Garamond" w:hAnsi="Garamond"/>
                <w:sz w:val="22"/>
                <w:szCs w:val="22"/>
                <w:highlight w:val="red"/>
              </w:rPr>
            </w:pPr>
            <w:r>
              <w:rPr>
                <w:rFonts w:ascii="Garamond" w:hAnsi="Garamond"/>
                <w:sz w:val="22"/>
                <w:szCs w:val="22"/>
              </w:rPr>
              <w:t>Minister właściwy do spraw zdrowia publicznego i minister właściwy do spraw rolnictwa są odpowiedzialni, w zakresie swojej właściwości, za wdrożenie niniejszego dekretu.</w:t>
            </w:r>
          </w:p>
        </w:tc>
      </w:tr>
      <w:tr w:rsidR="00C74C42" w:rsidRPr="00B009F8" w:rsidTr="00276E85">
        <w:tc>
          <w:tcPr>
            <w:tcW w:w="10206" w:type="dxa"/>
          </w:tcPr>
          <w:p w:rsidR="00C74C42" w:rsidRPr="00B009F8" w:rsidRDefault="00C74C42" w:rsidP="00276E85">
            <w:pPr>
              <w:jc w:val="both"/>
              <w:rPr>
                <w:rFonts w:ascii="Garamond" w:hAnsi="Garamond"/>
                <w:sz w:val="22"/>
                <w:szCs w:val="22"/>
                <w:highlight w:val="red"/>
                <w:lang w:val="nl-NL"/>
              </w:rPr>
            </w:pPr>
          </w:p>
        </w:tc>
      </w:tr>
      <w:tr w:rsidR="00C74C42" w:rsidRPr="00B009F8" w:rsidTr="00276E85">
        <w:tc>
          <w:tcPr>
            <w:tcW w:w="10206" w:type="dxa"/>
          </w:tcPr>
          <w:p w:rsidR="00C74C42" w:rsidRPr="00B009F8" w:rsidRDefault="00C74C42" w:rsidP="00276E85">
            <w:pPr>
              <w:jc w:val="both"/>
              <w:rPr>
                <w:rFonts w:ascii="Garamond" w:hAnsi="Garamond"/>
                <w:sz w:val="22"/>
                <w:szCs w:val="22"/>
              </w:rPr>
            </w:pPr>
            <w:bookmarkStart w:id="0" w:name="_GoBack"/>
            <w:r>
              <w:rPr>
                <w:rFonts w:ascii="Garamond" w:hAnsi="Garamond"/>
                <w:sz w:val="22"/>
                <w:szCs w:val="22"/>
              </w:rPr>
              <w:t xml:space="preserve">  </w:t>
            </w:r>
            <w:bookmarkEnd w:id="0"/>
            <w:r>
              <w:rPr>
                <w:rFonts w:ascii="Garamond" w:hAnsi="Garamond"/>
                <w:sz w:val="22"/>
                <w:szCs w:val="22"/>
              </w:rPr>
              <w:t xml:space="preserve">                              ,                              .</w:t>
            </w:r>
          </w:p>
        </w:tc>
      </w:tr>
      <w:tr w:rsidR="00C74C42" w:rsidRPr="00B009F8" w:rsidTr="00276E85">
        <w:tc>
          <w:tcPr>
            <w:tcW w:w="10206" w:type="dxa"/>
          </w:tcPr>
          <w:p w:rsidR="00C74C42" w:rsidRPr="00B009F8" w:rsidRDefault="00C74C42" w:rsidP="00276E85">
            <w:pPr>
              <w:jc w:val="both"/>
              <w:rPr>
                <w:rFonts w:ascii="Garamond" w:hAnsi="Garamond"/>
                <w:sz w:val="22"/>
                <w:szCs w:val="22"/>
                <w:lang w:val="nl-NL"/>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szCs w:val="22"/>
              </w:rPr>
              <w:t>W imieniu Króla:</w:t>
            </w:r>
          </w:p>
        </w:tc>
      </w:tr>
      <w:tr w:rsidR="00C74C42" w:rsidRPr="00B009F8" w:rsidTr="00276E85">
        <w:tc>
          <w:tcPr>
            <w:tcW w:w="10206" w:type="dxa"/>
          </w:tcPr>
          <w:p w:rsidR="00C74C42" w:rsidRPr="00B009F8" w:rsidRDefault="00C74C42" w:rsidP="00276E85">
            <w:pPr>
              <w:jc w:val="both"/>
              <w:rPr>
                <w:rFonts w:ascii="Garamond" w:hAnsi="Garamond"/>
                <w:sz w:val="22"/>
                <w:szCs w:val="22"/>
                <w:lang w:val="nl-NL"/>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szCs w:val="22"/>
              </w:rPr>
              <w:t>Minister Zdrowia Publicznego,</w:t>
            </w:r>
          </w:p>
        </w:tc>
      </w:tr>
      <w:tr w:rsidR="00C74C42" w:rsidRPr="00B009F8" w:rsidTr="00276E85">
        <w:tc>
          <w:tcPr>
            <w:tcW w:w="10206" w:type="dxa"/>
          </w:tcPr>
          <w:p w:rsidR="00C74C42" w:rsidRPr="00B009F8" w:rsidRDefault="00C74C42" w:rsidP="00276E85">
            <w:pPr>
              <w:jc w:val="center"/>
              <w:rPr>
                <w:rFonts w:ascii="Garamond" w:hAnsi="Garamond"/>
                <w:sz w:val="22"/>
                <w:szCs w:val="22"/>
                <w:lang w:val="nl-NL"/>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szCs w:val="22"/>
              </w:rPr>
              <w:t>M. DE BLOCK</w:t>
            </w:r>
          </w:p>
        </w:tc>
      </w:tr>
      <w:tr w:rsidR="00C74C42" w:rsidRPr="00B009F8" w:rsidTr="00276E85">
        <w:tc>
          <w:tcPr>
            <w:tcW w:w="10206" w:type="dxa"/>
          </w:tcPr>
          <w:p w:rsidR="00C74C42" w:rsidRPr="00B009F8" w:rsidRDefault="00C74C42" w:rsidP="00276E85">
            <w:pPr>
              <w:jc w:val="center"/>
              <w:rPr>
                <w:rFonts w:ascii="Garamond" w:hAnsi="Garamond"/>
                <w:sz w:val="22"/>
                <w:szCs w:val="22"/>
                <w:lang w:val="nl-NL"/>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szCs w:val="22"/>
              </w:rPr>
              <w:t>Minister Rolnictwa,</w:t>
            </w:r>
          </w:p>
        </w:tc>
      </w:tr>
      <w:tr w:rsidR="00C74C42" w:rsidRPr="00B009F8" w:rsidTr="00276E85">
        <w:tc>
          <w:tcPr>
            <w:tcW w:w="10206" w:type="dxa"/>
          </w:tcPr>
          <w:p w:rsidR="00C74C42" w:rsidRPr="00B009F8" w:rsidRDefault="00C74C42" w:rsidP="00276E85">
            <w:pPr>
              <w:jc w:val="center"/>
              <w:rPr>
                <w:rFonts w:ascii="Garamond" w:hAnsi="Garamond"/>
                <w:sz w:val="22"/>
                <w:szCs w:val="22"/>
                <w:lang w:val="nl-NL"/>
              </w:rPr>
            </w:pPr>
          </w:p>
        </w:tc>
      </w:tr>
      <w:tr w:rsidR="00C74C42" w:rsidRPr="00B009F8" w:rsidTr="00276E85">
        <w:tc>
          <w:tcPr>
            <w:tcW w:w="10206" w:type="dxa"/>
          </w:tcPr>
          <w:p w:rsidR="00C74C42" w:rsidRPr="00B009F8" w:rsidRDefault="00C74C42" w:rsidP="00276E85">
            <w:pPr>
              <w:jc w:val="center"/>
              <w:rPr>
                <w:rFonts w:ascii="Garamond" w:hAnsi="Garamond"/>
                <w:sz w:val="22"/>
                <w:szCs w:val="22"/>
              </w:rPr>
            </w:pPr>
            <w:r>
              <w:rPr>
                <w:rFonts w:ascii="Garamond" w:hAnsi="Garamond"/>
                <w:sz w:val="22"/>
                <w:szCs w:val="22"/>
              </w:rPr>
              <w:t>D. DUCARME</w:t>
            </w:r>
          </w:p>
        </w:tc>
      </w:tr>
      <w:tr w:rsidR="00C74C42" w:rsidRPr="00B009F8" w:rsidTr="00276E85">
        <w:tc>
          <w:tcPr>
            <w:tcW w:w="10206" w:type="dxa"/>
          </w:tcPr>
          <w:p w:rsidR="00C74C42" w:rsidRPr="00B009F8" w:rsidRDefault="00C74C42" w:rsidP="00276E85">
            <w:pPr>
              <w:jc w:val="center"/>
              <w:rPr>
                <w:rFonts w:ascii="Garamond" w:hAnsi="Garamond"/>
                <w:sz w:val="22"/>
                <w:szCs w:val="22"/>
                <w:lang w:val="nl-NL"/>
              </w:rPr>
            </w:pPr>
          </w:p>
        </w:tc>
      </w:tr>
      <w:tr w:rsidR="00C74C42" w:rsidRPr="00B009F8" w:rsidTr="00276E85">
        <w:tc>
          <w:tcPr>
            <w:tcW w:w="10206" w:type="dxa"/>
          </w:tcPr>
          <w:p w:rsidR="00C74C42" w:rsidRPr="00B009F8" w:rsidRDefault="00C74C42" w:rsidP="00276E85">
            <w:pPr>
              <w:jc w:val="center"/>
              <w:rPr>
                <w:rFonts w:ascii="Garamond" w:hAnsi="Garamond"/>
                <w:sz w:val="22"/>
                <w:szCs w:val="22"/>
                <w:lang w:val="nl-NL"/>
              </w:rPr>
            </w:pPr>
          </w:p>
        </w:tc>
      </w:tr>
      <w:tr w:rsidR="00C74C42" w:rsidRPr="00B009F8" w:rsidTr="00276E85">
        <w:tc>
          <w:tcPr>
            <w:tcW w:w="10206" w:type="dxa"/>
          </w:tcPr>
          <w:p w:rsidR="00C74C42" w:rsidRPr="00B009F8" w:rsidRDefault="00C74C42" w:rsidP="00276E85">
            <w:pPr>
              <w:jc w:val="center"/>
              <w:rPr>
                <w:rFonts w:ascii="Garamond" w:hAnsi="Garamond"/>
                <w:sz w:val="22"/>
                <w:szCs w:val="22"/>
                <w:lang w:val="nl-NL"/>
              </w:rPr>
            </w:pPr>
          </w:p>
        </w:tc>
      </w:tr>
      <w:tr w:rsidR="00C74C42" w:rsidRPr="00B009F8" w:rsidTr="00276E85">
        <w:tc>
          <w:tcPr>
            <w:tcW w:w="10206" w:type="dxa"/>
          </w:tcPr>
          <w:p w:rsidR="00C74C42" w:rsidRPr="00B009F8" w:rsidRDefault="00C74C42" w:rsidP="00276E85">
            <w:pPr>
              <w:jc w:val="center"/>
              <w:rPr>
                <w:rFonts w:ascii="Garamond" w:hAnsi="Garamond"/>
                <w:sz w:val="22"/>
                <w:szCs w:val="22"/>
                <w:lang w:val="nl-NL"/>
              </w:rPr>
            </w:pPr>
          </w:p>
        </w:tc>
      </w:tr>
      <w:tr w:rsidR="00C74C42" w:rsidRPr="00B009F8" w:rsidTr="00276E85">
        <w:tc>
          <w:tcPr>
            <w:tcW w:w="10206" w:type="dxa"/>
          </w:tcPr>
          <w:p w:rsidR="00C74C42" w:rsidRPr="00B009F8" w:rsidRDefault="00C74C42" w:rsidP="00276E85">
            <w:pPr>
              <w:jc w:val="center"/>
              <w:rPr>
                <w:rFonts w:ascii="Garamond" w:hAnsi="Garamond"/>
                <w:sz w:val="22"/>
                <w:szCs w:val="22"/>
                <w:lang w:val="nl-NL"/>
              </w:rPr>
            </w:pPr>
          </w:p>
        </w:tc>
      </w:tr>
      <w:tr w:rsidR="00C74C42" w:rsidRPr="00B009F8" w:rsidTr="00276E85">
        <w:tc>
          <w:tcPr>
            <w:tcW w:w="10206" w:type="dxa"/>
          </w:tcPr>
          <w:p w:rsidR="00C74C42" w:rsidRPr="00B009F8" w:rsidRDefault="00C74C42" w:rsidP="00276E85">
            <w:pPr>
              <w:jc w:val="center"/>
              <w:rPr>
                <w:rFonts w:ascii="Garamond" w:hAnsi="Garamond"/>
                <w:sz w:val="22"/>
                <w:szCs w:val="22"/>
                <w:lang w:val="nl-NL"/>
              </w:rPr>
            </w:pPr>
          </w:p>
        </w:tc>
      </w:tr>
    </w:tbl>
    <w:p w:rsidR="00C74C42" w:rsidRPr="00B009F8" w:rsidRDefault="00C74C42" w:rsidP="00F85383">
      <w:pPr>
        <w:pStyle w:val="Heading3"/>
        <w:keepLines/>
        <w:autoSpaceDE w:val="0"/>
        <w:autoSpaceDN w:val="0"/>
        <w:adjustRightInd w:val="0"/>
        <w:rPr>
          <w:rFonts w:ascii="Garamond" w:hAnsi="Garamond"/>
          <w:sz w:val="22"/>
          <w:szCs w:val="22"/>
        </w:rPr>
      </w:pPr>
      <w:r>
        <w:rPr>
          <w:rFonts w:ascii="Garamond" w:hAnsi="Garamond"/>
          <w:sz w:val="22"/>
          <w:szCs w:val="22"/>
        </w:rPr>
        <w:t>ZAŁĄCZNIK do dekretu królewskiego w sprawie materiałów i wyrobów metalowych oraz stopów przeznaczonych do kontaktu z żywnością</w:t>
      </w:r>
    </w:p>
    <w:p w:rsidR="00C74C42" w:rsidRPr="00993C7F" w:rsidRDefault="00C74C42" w:rsidP="00F85383">
      <w:pPr>
        <w:keepNext/>
        <w:keepLines/>
        <w:autoSpaceDE w:val="0"/>
        <w:autoSpaceDN w:val="0"/>
        <w:adjustRightInd w:val="0"/>
        <w:rPr>
          <w:rFonts w:ascii="Garamond" w:hAnsi="Garamond"/>
          <w:bCs/>
          <w:smallCaps/>
          <w:sz w:val="22"/>
          <w:szCs w:val="22"/>
          <w:lang w:eastAsia="fr-FR"/>
        </w:rPr>
      </w:pPr>
    </w:p>
    <w:p w:rsidR="00C74C42" w:rsidRPr="00617213" w:rsidRDefault="00C74C42" w:rsidP="00A47389">
      <w:pPr>
        <w:pStyle w:val="BodyText"/>
        <w:keepNext/>
        <w:keepLines/>
        <w:autoSpaceDE/>
        <w:autoSpaceDN/>
        <w:adjustRightInd/>
        <w:jc w:val="both"/>
        <w:rPr>
          <w:rFonts w:ascii="Garamond" w:hAnsi="Garamond"/>
          <w:bCs/>
          <w:smallCaps/>
          <w:sz w:val="22"/>
          <w:szCs w:val="22"/>
        </w:rPr>
      </w:pPr>
      <w:r>
        <w:rPr>
          <w:rFonts w:ascii="Garamond" w:hAnsi="Garamond"/>
          <w:bCs/>
          <w:smallCaps/>
          <w:sz w:val="22"/>
          <w:szCs w:val="22"/>
        </w:rPr>
        <w:t>Rozdział 1: Limit szczególnego uwalniania</w:t>
      </w:r>
    </w:p>
    <w:p w:rsidR="00C74C42" w:rsidRPr="00993C7F" w:rsidRDefault="00C74C42" w:rsidP="00A47389">
      <w:pPr>
        <w:pStyle w:val="BodyText"/>
        <w:keepNext/>
        <w:keepLines/>
        <w:autoSpaceDE/>
        <w:autoSpaceDN/>
        <w:adjustRightInd/>
        <w:jc w:val="both"/>
        <w:rPr>
          <w:rFonts w:ascii="Garamond" w:hAnsi="Garamond"/>
          <w:smallCaps/>
          <w:sz w:val="22"/>
          <w:szCs w:val="22"/>
        </w:rPr>
      </w:pPr>
    </w:p>
    <w:p w:rsidR="00C74C42" w:rsidRPr="00B009F8" w:rsidRDefault="00C74C42" w:rsidP="00A47389">
      <w:pPr>
        <w:pStyle w:val="BodyText"/>
        <w:keepNext/>
        <w:keepLines/>
        <w:autoSpaceDE/>
        <w:autoSpaceDN/>
        <w:adjustRightInd/>
        <w:jc w:val="both"/>
        <w:rPr>
          <w:rFonts w:ascii="Garamond" w:hAnsi="Garamond"/>
          <w:sz w:val="22"/>
          <w:szCs w:val="22"/>
        </w:rPr>
      </w:pPr>
      <w:r>
        <w:rPr>
          <w:rFonts w:ascii="Garamond" w:hAnsi="Garamond"/>
          <w:sz w:val="22"/>
          <w:szCs w:val="22"/>
        </w:rPr>
        <w:t>Tabela 1: Limit szczególnego uwalniania dla metali i składników stopów</w:t>
      </w:r>
    </w:p>
    <w:p w:rsidR="00C74C42" w:rsidRPr="00993C7F" w:rsidRDefault="00C74C42" w:rsidP="00F85383">
      <w:pPr>
        <w:pStyle w:val="BodyText"/>
        <w:keepNext/>
        <w:keepLines/>
        <w:autoSpaceDE/>
        <w:autoSpaceDN/>
        <w:adjustRightInd/>
        <w:rPr>
          <w:rFonts w:ascii="Garamond" w:hAnsi="Garamond"/>
          <w:sz w:val="22"/>
          <w:szCs w:val="22"/>
        </w:rPr>
      </w:pPr>
    </w:p>
    <w:tbl>
      <w:tblPr>
        <w:tblStyle w:val="TableGrid"/>
        <w:tblW w:w="0" w:type="auto"/>
        <w:tblLook w:val="04A0" w:firstRow="1" w:lastRow="0" w:firstColumn="1" w:lastColumn="0" w:noHBand="0" w:noVBand="1"/>
      </w:tblPr>
      <w:tblGrid>
        <w:gridCol w:w="3106"/>
        <w:gridCol w:w="3115"/>
        <w:gridCol w:w="3129"/>
      </w:tblGrid>
      <w:tr w:rsidR="00C74C42" w:rsidRPr="00B009F8" w:rsidTr="00F85383">
        <w:trPr>
          <w:cantSplit/>
        </w:trPr>
        <w:tc>
          <w:tcPr>
            <w:tcW w:w="3209"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szCs w:val="22"/>
              </w:rPr>
              <w:t>Symbol</w:t>
            </w:r>
          </w:p>
        </w:tc>
        <w:tc>
          <w:tcPr>
            <w:tcW w:w="3209"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szCs w:val="22"/>
              </w:rPr>
              <w:t>Nazwa</w:t>
            </w:r>
          </w:p>
        </w:tc>
        <w:tc>
          <w:tcPr>
            <w:tcW w:w="3210"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szCs w:val="22"/>
              </w:rPr>
              <w:t>Limit szczególnego uwalniania (mg/kg żywności)</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Al</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Glin</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5</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Sb</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Antymon</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0,04</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Ag</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Srebro</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0,08</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Cr</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Chrom</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0,250</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Co</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Kobalt</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0,02</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Cu</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Miedź</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4</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Sn*</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Cyna</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100</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Fe</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Żelazo</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40</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Mg</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Magnez</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Mn</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Mangan</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1,8</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Mo</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Molibden</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0,12</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Ni</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Nikiel</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0,14</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Ti</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Tytan</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V</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Wanad</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0,01</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Zn</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Cynk</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5</w:t>
            </w:r>
          </w:p>
        </w:tc>
      </w:tr>
    </w:tbl>
    <w:p w:rsidR="00C74C42" w:rsidRPr="00B009F8" w:rsidRDefault="00C74C42" w:rsidP="00A47389">
      <w:pPr>
        <w:pStyle w:val="BodyText"/>
        <w:autoSpaceDE/>
        <w:autoSpaceDN/>
        <w:adjustRightInd/>
        <w:jc w:val="both"/>
        <w:rPr>
          <w:rFonts w:ascii="Garamond" w:hAnsi="Garamond"/>
          <w:sz w:val="22"/>
          <w:szCs w:val="22"/>
        </w:rPr>
      </w:pPr>
      <w:r>
        <w:rPr>
          <w:rFonts w:ascii="Garamond" w:hAnsi="Garamond"/>
          <w:sz w:val="22"/>
          <w:szCs w:val="22"/>
        </w:rPr>
        <w:t xml:space="preserve">* Z wyjątkiem zakresu zastosowania rozporządzenia (UE) nr 1881/2006 </w:t>
      </w:r>
    </w:p>
    <w:p w:rsidR="00C74C42" w:rsidRPr="00993C7F" w:rsidRDefault="00C74C42" w:rsidP="00A47389">
      <w:pPr>
        <w:jc w:val="both"/>
        <w:rPr>
          <w:rFonts w:ascii="Garamond" w:hAnsi="Garamond"/>
          <w:sz w:val="22"/>
          <w:szCs w:val="22"/>
        </w:rPr>
      </w:pPr>
    </w:p>
    <w:p w:rsidR="00C74C42" w:rsidRPr="00B009F8" w:rsidRDefault="00C74C42" w:rsidP="00A47389">
      <w:pPr>
        <w:pStyle w:val="BodyText"/>
        <w:keepNext/>
        <w:keepLines/>
        <w:autoSpaceDE/>
        <w:autoSpaceDN/>
        <w:adjustRightInd/>
        <w:jc w:val="both"/>
        <w:rPr>
          <w:rFonts w:ascii="Garamond" w:hAnsi="Garamond"/>
          <w:sz w:val="22"/>
          <w:szCs w:val="22"/>
        </w:rPr>
      </w:pPr>
      <w:r>
        <w:rPr>
          <w:rFonts w:ascii="Garamond" w:hAnsi="Garamond"/>
          <w:sz w:val="22"/>
          <w:szCs w:val="22"/>
        </w:rPr>
        <w:t>Tabela 2: Limit szczególnego uwalniania dla metali w formie zanieczyszczeń</w:t>
      </w:r>
    </w:p>
    <w:p w:rsidR="00C74C42" w:rsidRPr="00993C7F" w:rsidRDefault="00C74C42" w:rsidP="00F85383">
      <w:pPr>
        <w:pStyle w:val="BodyText"/>
        <w:keepNext/>
        <w:keepLines/>
        <w:autoSpaceDE/>
        <w:autoSpaceDN/>
        <w:adjustRightInd/>
        <w:rPr>
          <w:rFonts w:ascii="Garamond" w:hAnsi="Garamond"/>
          <w:sz w:val="22"/>
          <w:szCs w:val="22"/>
        </w:rPr>
      </w:pPr>
    </w:p>
    <w:tbl>
      <w:tblPr>
        <w:tblStyle w:val="TableGrid"/>
        <w:tblW w:w="0" w:type="auto"/>
        <w:tblLook w:val="04A0" w:firstRow="1" w:lastRow="0" w:firstColumn="1" w:lastColumn="0" w:noHBand="0" w:noVBand="1"/>
      </w:tblPr>
      <w:tblGrid>
        <w:gridCol w:w="3110"/>
        <w:gridCol w:w="3108"/>
        <w:gridCol w:w="3132"/>
      </w:tblGrid>
      <w:tr w:rsidR="00C74C42" w:rsidRPr="00B009F8" w:rsidTr="00F85383">
        <w:trPr>
          <w:cantSplit/>
        </w:trPr>
        <w:tc>
          <w:tcPr>
            <w:tcW w:w="3209"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szCs w:val="22"/>
              </w:rPr>
              <w:t>Symbol</w:t>
            </w:r>
          </w:p>
        </w:tc>
        <w:tc>
          <w:tcPr>
            <w:tcW w:w="3209"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szCs w:val="22"/>
              </w:rPr>
              <w:t>Nazwa</w:t>
            </w:r>
          </w:p>
        </w:tc>
        <w:tc>
          <w:tcPr>
            <w:tcW w:w="3210" w:type="dxa"/>
          </w:tcPr>
          <w:p w:rsidR="00C74C42" w:rsidRPr="00B009F8" w:rsidRDefault="00C74C42" w:rsidP="00F85383">
            <w:pPr>
              <w:pStyle w:val="BodyText"/>
              <w:keepNext/>
              <w:keepLines/>
              <w:autoSpaceDE/>
              <w:autoSpaceDN/>
              <w:adjustRightInd/>
              <w:rPr>
                <w:rFonts w:ascii="Garamond" w:hAnsi="Garamond"/>
                <w:smallCaps/>
                <w:sz w:val="22"/>
                <w:szCs w:val="22"/>
              </w:rPr>
            </w:pPr>
            <w:r>
              <w:rPr>
                <w:rFonts w:ascii="Garamond" w:hAnsi="Garamond"/>
                <w:sz w:val="22"/>
                <w:szCs w:val="22"/>
              </w:rPr>
              <w:t>Limit szczególnego uwalniania (mg/kg żywności)</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As</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Arsen</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0,002</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Ba</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Bar</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1,2</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Be</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Beryl</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0,01</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Cd</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 xml:space="preserve">Kadm </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0,005</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Li</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Lit</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0,048</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Hg</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Rtęć</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0,003</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Pb</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Ołów</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0,010</w:t>
            </w:r>
          </w:p>
        </w:tc>
      </w:tr>
      <w:tr w:rsidR="00C74C42" w:rsidRPr="00B009F8" w:rsidTr="00F85383">
        <w:trPr>
          <w:cantSplit/>
        </w:trPr>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Tl</w:t>
            </w:r>
          </w:p>
        </w:tc>
        <w:tc>
          <w:tcPr>
            <w:tcW w:w="3209"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Tal</w:t>
            </w:r>
          </w:p>
        </w:tc>
        <w:tc>
          <w:tcPr>
            <w:tcW w:w="3210" w:type="dxa"/>
          </w:tcPr>
          <w:p w:rsidR="00C74C42" w:rsidRPr="00B009F8" w:rsidRDefault="00C74C42" w:rsidP="00276E85">
            <w:pPr>
              <w:pStyle w:val="BodyText"/>
              <w:autoSpaceDE/>
              <w:autoSpaceDN/>
              <w:adjustRightInd/>
              <w:rPr>
                <w:rFonts w:ascii="Garamond" w:hAnsi="Garamond"/>
                <w:sz w:val="22"/>
                <w:szCs w:val="22"/>
              </w:rPr>
            </w:pPr>
            <w:r>
              <w:rPr>
                <w:rFonts w:ascii="Garamond" w:hAnsi="Garamond"/>
                <w:sz w:val="22"/>
                <w:szCs w:val="22"/>
              </w:rPr>
              <w:t>0,0001</w:t>
            </w:r>
          </w:p>
        </w:tc>
      </w:tr>
    </w:tbl>
    <w:p w:rsidR="00C74C42" w:rsidRPr="00B009F8" w:rsidRDefault="00C74C42" w:rsidP="00276E85">
      <w:pPr>
        <w:pStyle w:val="BodyText"/>
        <w:autoSpaceDE/>
        <w:autoSpaceDN/>
        <w:adjustRightInd/>
        <w:rPr>
          <w:rFonts w:ascii="Garamond" w:hAnsi="Garamond"/>
          <w:sz w:val="22"/>
          <w:szCs w:val="22"/>
          <w:lang w:val="nl-NL"/>
        </w:rPr>
      </w:pPr>
    </w:p>
    <w:p w:rsidR="00C74C42" w:rsidRPr="00B009F8" w:rsidRDefault="00C74C42" w:rsidP="00276E85">
      <w:pPr>
        <w:pStyle w:val="BodyText"/>
        <w:autoSpaceDE/>
        <w:autoSpaceDN/>
        <w:adjustRightInd/>
        <w:rPr>
          <w:rFonts w:ascii="Garamond" w:hAnsi="Garamond"/>
          <w:sz w:val="22"/>
          <w:szCs w:val="22"/>
          <w:lang w:val="nl-NL"/>
        </w:rPr>
      </w:pPr>
    </w:p>
    <w:p w:rsidR="00C74C42" w:rsidRPr="00B009F8" w:rsidRDefault="00C74C42" w:rsidP="00A47389">
      <w:pPr>
        <w:keepNext/>
        <w:keepLines/>
        <w:jc w:val="both"/>
        <w:rPr>
          <w:rFonts w:ascii="Garamond" w:hAnsi="Garamond"/>
          <w:smallCaps/>
          <w:sz w:val="22"/>
          <w:szCs w:val="22"/>
        </w:rPr>
      </w:pPr>
      <w:r>
        <w:rPr>
          <w:rFonts w:ascii="Garamond" w:hAnsi="Garamond"/>
          <w:smallCaps/>
          <w:sz w:val="22"/>
          <w:szCs w:val="22"/>
        </w:rPr>
        <w:t>Rozdział 2: Informacje, które muszą zostać zawarte w deklaracji zgodności.</w:t>
      </w:r>
    </w:p>
    <w:p w:rsidR="00C74C42" w:rsidRPr="00993C7F" w:rsidRDefault="00C74C42" w:rsidP="00A47389">
      <w:pPr>
        <w:keepNext/>
        <w:keepLines/>
        <w:autoSpaceDE w:val="0"/>
        <w:autoSpaceDN w:val="0"/>
        <w:adjustRightInd w:val="0"/>
        <w:jc w:val="both"/>
        <w:rPr>
          <w:rFonts w:ascii="Garamond" w:hAnsi="Garamond"/>
          <w:sz w:val="22"/>
          <w:szCs w:val="22"/>
        </w:rPr>
      </w:pPr>
    </w:p>
    <w:p w:rsidR="00C74C42" w:rsidRPr="00B009F8" w:rsidRDefault="00C74C42" w:rsidP="00A47389">
      <w:pPr>
        <w:keepNext/>
        <w:keepLines/>
        <w:autoSpaceDE w:val="0"/>
        <w:autoSpaceDN w:val="0"/>
        <w:adjustRightInd w:val="0"/>
        <w:jc w:val="both"/>
        <w:rPr>
          <w:rFonts w:ascii="Garamond" w:hAnsi="Garamond"/>
          <w:sz w:val="22"/>
          <w:szCs w:val="22"/>
        </w:rPr>
      </w:pPr>
      <w:r>
        <w:rPr>
          <w:rFonts w:ascii="Garamond" w:hAnsi="Garamond"/>
          <w:sz w:val="22"/>
          <w:szCs w:val="22"/>
        </w:rPr>
        <w:t>Pisemna deklaracja, o której mowa w art. 6 ust. 1, powinna zawierać następujące informacje:</w:t>
      </w:r>
    </w:p>
    <w:p w:rsidR="00C74C42" w:rsidRPr="00993C7F" w:rsidRDefault="00C74C42" w:rsidP="00A47389">
      <w:pPr>
        <w:keepNext/>
        <w:keepLines/>
        <w:autoSpaceDE w:val="0"/>
        <w:autoSpaceDN w:val="0"/>
        <w:adjustRightInd w:val="0"/>
        <w:jc w:val="both"/>
        <w:rPr>
          <w:rFonts w:ascii="Garamond" w:hAnsi="Garamond"/>
          <w:sz w:val="22"/>
          <w:szCs w:val="22"/>
          <w:highlight w:val="yellow"/>
        </w:rPr>
      </w:pPr>
    </w:p>
    <w:p w:rsidR="00C74C42" w:rsidRPr="00B009F8" w:rsidRDefault="00C74C42" w:rsidP="00A47389">
      <w:pPr>
        <w:numPr>
          <w:ilvl w:val="0"/>
          <w:numId w:val="4"/>
        </w:numPr>
        <w:jc w:val="both"/>
        <w:rPr>
          <w:rFonts w:ascii="Garamond" w:hAnsi="Garamond"/>
          <w:sz w:val="22"/>
          <w:szCs w:val="22"/>
        </w:rPr>
      </w:pPr>
      <w:r>
        <w:rPr>
          <w:rFonts w:ascii="Garamond" w:hAnsi="Garamond"/>
          <w:sz w:val="22"/>
          <w:szCs w:val="22"/>
        </w:rPr>
        <w:t>pełną nazwę i adres podmiotu gospodarczego produkującego lub importującego materiały i wyroby, bądź substancje przeznaczone do produkcji tych materiałów i wyrobów;</w:t>
      </w:r>
    </w:p>
    <w:p w:rsidR="00C74C42" w:rsidRPr="00B009F8" w:rsidRDefault="00C74C42" w:rsidP="00A47389">
      <w:pPr>
        <w:numPr>
          <w:ilvl w:val="0"/>
          <w:numId w:val="4"/>
        </w:numPr>
        <w:jc w:val="both"/>
        <w:rPr>
          <w:rFonts w:ascii="Garamond" w:hAnsi="Garamond"/>
          <w:sz w:val="22"/>
          <w:szCs w:val="22"/>
        </w:rPr>
      </w:pPr>
      <w:r>
        <w:rPr>
          <w:rFonts w:ascii="Garamond" w:hAnsi="Garamond"/>
          <w:sz w:val="22"/>
          <w:szCs w:val="22"/>
        </w:rPr>
        <w:t>pełną nazwę użytych metali i stopów przeznaczonych do produkcji tych materiałów i wyrobów;</w:t>
      </w:r>
    </w:p>
    <w:p w:rsidR="00C74C42" w:rsidRPr="00B009F8" w:rsidRDefault="00C74C42" w:rsidP="00A47389">
      <w:pPr>
        <w:numPr>
          <w:ilvl w:val="0"/>
          <w:numId w:val="4"/>
        </w:numPr>
        <w:jc w:val="both"/>
        <w:rPr>
          <w:rFonts w:ascii="Garamond" w:hAnsi="Garamond"/>
          <w:sz w:val="22"/>
          <w:szCs w:val="22"/>
        </w:rPr>
      </w:pPr>
      <w:r>
        <w:rPr>
          <w:rFonts w:ascii="Garamond" w:hAnsi="Garamond"/>
          <w:sz w:val="22"/>
          <w:szCs w:val="22"/>
        </w:rPr>
        <w:t>datę deklaracji;</w:t>
      </w:r>
    </w:p>
    <w:p w:rsidR="00C74C42" w:rsidRPr="00B009F8" w:rsidRDefault="00C74C42" w:rsidP="00A47389">
      <w:pPr>
        <w:numPr>
          <w:ilvl w:val="0"/>
          <w:numId w:val="4"/>
        </w:numPr>
        <w:jc w:val="both"/>
        <w:rPr>
          <w:rFonts w:ascii="Garamond" w:hAnsi="Garamond"/>
          <w:sz w:val="22"/>
          <w:szCs w:val="22"/>
        </w:rPr>
      </w:pPr>
      <w:r>
        <w:rPr>
          <w:rFonts w:ascii="Garamond" w:hAnsi="Garamond"/>
          <w:sz w:val="22"/>
          <w:szCs w:val="22"/>
        </w:rPr>
        <w:t>potwierdzenie, że materiały i wyroby spełniają odpowiednie wymagania ustanowione w niniejszym dekrecie i rozporządzeniu (WE) nr 1935/2004;</w:t>
      </w:r>
    </w:p>
    <w:p w:rsidR="00C74C42" w:rsidRPr="00B009F8" w:rsidRDefault="00C74C42" w:rsidP="00A47389">
      <w:pPr>
        <w:numPr>
          <w:ilvl w:val="0"/>
          <w:numId w:val="4"/>
        </w:numPr>
        <w:jc w:val="both"/>
        <w:rPr>
          <w:rFonts w:ascii="Garamond" w:hAnsi="Garamond"/>
          <w:sz w:val="22"/>
          <w:szCs w:val="22"/>
        </w:rPr>
      </w:pPr>
      <w:r>
        <w:rPr>
          <w:rFonts w:ascii="Garamond" w:hAnsi="Garamond"/>
          <w:sz w:val="22"/>
          <w:szCs w:val="22"/>
        </w:rPr>
        <w:t>odpowiednie informacje dotyczące wykorzystywanych metali, do których odnoszą się ograniczenia lub specyfikacje obowiązujące zgodnie z niniejszym dekretem, co umożliwi dostawcom zapewnienie zgodności z tymi ograniczeniami;</w:t>
      </w:r>
    </w:p>
    <w:p w:rsidR="00C74C42" w:rsidRPr="00B009F8" w:rsidRDefault="00C74C42" w:rsidP="00A47389">
      <w:pPr>
        <w:numPr>
          <w:ilvl w:val="0"/>
          <w:numId w:val="4"/>
        </w:numPr>
        <w:jc w:val="both"/>
        <w:rPr>
          <w:rFonts w:ascii="Garamond" w:hAnsi="Garamond"/>
          <w:sz w:val="22"/>
          <w:szCs w:val="22"/>
        </w:rPr>
      </w:pPr>
      <w:r>
        <w:rPr>
          <w:rFonts w:ascii="Garamond" w:hAnsi="Garamond"/>
          <w:sz w:val="22"/>
          <w:szCs w:val="22"/>
        </w:rPr>
        <w:t>odpowiednie informacje dotyczące metali podlegających ograniczeniom w żywności, uzyskane z danych doświadczalnych lub w drodze teoretycznych obliczeń dotyczących poziomu ich szczególnego uwalniania;</w:t>
      </w:r>
    </w:p>
    <w:p w:rsidR="00C74C42" w:rsidRPr="00B009F8" w:rsidRDefault="00C74C42" w:rsidP="00A47389">
      <w:pPr>
        <w:keepNext/>
        <w:keepLines/>
        <w:numPr>
          <w:ilvl w:val="0"/>
          <w:numId w:val="4"/>
        </w:numPr>
        <w:jc w:val="both"/>
        <w:rPr>
          <w:rFonts w:ascii="Garamond" w:hAnsi="Garamond"/>
          <w:sz w:val="22"/>
          <w:szCs w:val="22"/>
        </w:rPr>
      </w:pPr>
      <w:r>
        <w:rPr>
          <w:rFonts w:ascii="Garamond" w:hAnsi="Garamond"/>
          <w:sz w:val="22"/>
          <w:szCs w:val="22"/>
        </w:rPr>
        <w:t>specyfikacje dotyczące zastosowania materiału lub wyrobu, takie jak:</w:t>
      </w:r>
    </w:p>
    <w:p w:rsidR="00C74C42" w:rsidRPr="00B009F8" w:rsidRDefault="00C74C42" w:rsidP="00A47389">
      <w:pPr>
        <w:numPr>
          <w:ilvl w:val="1"/>
          <w:numId w:val="4"/>
        </w:numPr>
        <w:tabs>
          <w:tab w:val="clear" w:pos="1800"/>
          <w:tab w:val="num" w:pos="1440"/>
        </w:tabs>
        <w:jc w:val="both"/>
        <w:rPr>
          <w:rFonts w:ascii="Garamond" w:hAnsi="Garamond"/>
          <w:sz w:val="22"/>
          <w:szCs w:val="22"/>
        </w:rPr>
      </w:pPr>
      <w:r>
        <w:rPr>
          <w:rFonts w:ascii="Garamond" w:hAnsi="Garamond"/>
          <w:sz w:val="22"/>
          <w:szCs w:val="22"/>
        </w:rPr>
        <w:t>rodzaj lub rodzaje żywności, z jaką ma mieć kontakt dany materiał lub wyrób;</w:t>
      </w:r>
    </w:p>
    <w:p w:rsidR="00C74C42" w:rsidRPr="00B009F8" w:rsidRDefault="00C74C42" w:rsidP="00A47389">
      <w:pPr>
        <w:numPr>
          <w:ilvl w:val="1"/>
          <w:numId w:val="4"/>
        </w:numPr>
        <w:tabs>
          <w:tab w:val="clear" w:pos="1800"/>
          <w:tab w:val="num" w:pos="1440"/>
        </w:tabs>
        <w:jc w:val="both"/>
        <w:rPr>
          <w:rFonts w:ascii="Garamond" w:hAnsi="Garamond"/>
          <w:sz w:val="22"/>
          <w:szCs w:val="22"/>
        </w:rPr>
      </w:pPr>
      <w:r>
        <w:rPr>
          <w:rFonts w:ascii="Garamond" w:hAnsi="Garamond"/>
          <w:sz w:val="22"/>
          <w:szCs w:val="22"/>
        </w:rPr>
        <w:t>czas i temperatura obróbki i przechowywania w kontakcie z żywnością;</w:t>
      </w:r>
    </w:p>
    <w:p w:rsidR="00C74C42" w:rsidRPr="00B009F8" w:rsidRDefault="00C74C42" w:rsidP="00A47389">
      <w:pPr>
        <w:numPr>
          <w:ilvl w:val="1"/>
          <w:numId w:val="4"/>
        </w:numPr>
        <w:tabs>
          <w:tab w:val="clear" w:pos="1800"/>
          <w:tab w:val="num" w:pos="1440"/>
        </w:tabs>
        <w:jc w:val="both"/>
        <w:rPr>
          <w:rFonts w:ascii="Garamond" w:hAnsi="Garamond"/>
          <w:sz w:val="22"/>
          <w:szCs w:val="22"/>
        </w:rPr>
      </w:pPr>
      <w:r>
        <w:rPr>
          <w:rFonts w:ascii="Garamond" w:hAnsi="Garamond"/>
          <w:sz w:val="22"/>
          <w:szCs w:val="22"/>
        </w:rPr>
        <w:t>stosunek powierzchni kontaktu z żywnością do objętości, wykorzystywany do stwierdzenia zgodności materiału lub wyrobu.</w:t>
      </w:r>
    </w:p>
    <w:p w:rsidR="00C74C42" w:rsidRPr="00993C7F" w:rsidRDefault="00C74C42" w:rsidP="00A47389">
      <w:pPr>
        <w:jc w:val="both"/>
        <w:rPr>
          <w:rFonts w:ascii="Garamond" w:hAnsi="Garamond"/>
          <w:sz w:val="22"/>
          <w:szCs w:val="22"/>
        </w:rPr>
      </w:pPr>
    </w:p>
    <w:p w:rsidR="00C74C42" w:rsidRPr="00993C7F" w:rsidRDefault="00C74C42" w:rsidP="00A47389">
      <w:pPr>
        <w:jc w:val="both"/>
        <w:rPr>
          <w:rFonts w:ascii="Garamond" w:hAnsi="Garamond"/>
          <w:sz w:val="22"/>
          <w:szCs w:val="22"/>
        </w:rPr>
      </w:pPr>
    </w:p>
    <w:p w:rsidR="00C74C42" w:rsidRPr="00B009F8" w:rsidRDefault="00C74C42" w:rsidP="00A47389">
      <w:pPr>
        <w:jc w:val="both"/>
        <w:rPr>
          <w:rFonts w:ascii="Garamond" w:hAnsi="Garamond"/>
          <w:sz w:val="22"/>
          <w:szCs w:val="22"/>
        </w:rPr>
      </w:pPr>
      <w:r>
        <w:rPr>
          <w:rFonts w:ascii="Garamond" w:hAnsi="Garamond"/>
          <w:sz w:val="22"/>
          <w:szCs w:val="22"/>
        </w:rPr>
        <w:t>Pisemna deklaracja winna umożliwiać łatwą identyfikację materiałów, wyrobów lub substancji, których dotyczy. Deklarację należy odnawiać w sytuacji, gdy istotne zmiany w zakresie produkcji pociągają za sobą zmiany poziomu uwalniania metali lub gdy pojawią się nowe dane naukowe. W przypadku braku zmian w zakresie surowców, ich przetwarzania, zastosowania, procesu produkcyjnego itp. deklaracja zgodności zachowuje ważność przez okres nieprzekraczający 5 lat. Osoba odpowiedzialna za produkt może zadecydować o odnowieniu deklaracji zgodności również w przypadku niezmienionych okoliczności.</w:t>
      </w:r>
    </w:p>
    <w:p w:rsidR="00C74C42" w:rsidRPr="00993C7F" w:rsidRDefault="00C74C42" w:rsidP="00A47389">
      <w:pPr>
        <w:autoSpaceDE w:val="0"/>
        <w:autoSpaceDN w:val="0"/>
        <w:adjustRightInd w:val="0"/>
        <w:jc w:val="both"/>
        <w:rPr>
          <w:rFonts w:ascii="Garamond" w:hAnsi="Garamond"/>
          <w:sz w:val="22"/>
          <w:szCs w:val="22"/>
        </w:rPr>
      </w:pPr>
    </w:p>
    <w:p w:rsidR="00C74C42" w:rsidRPr="00B009F8" w:rsidRDefault="00C74C42" w:rsidP="00A47389">
      <w:pPr>
        <w:pStyle w:val="Heading4"/>
        <w:keepNext w:val="0"/>
        <w:ind w:left="0"/>
        <w:jc w:val="both"/>
        <w:rPr>
          <w:rFonts w:ascii="Garamond" w:hAnsi="Garamond"/>
          <w:sz w:val="22"/>
          <w:szCs w:val="22"/>
        </w:rPr>
      </w:pPr>
      <w:r>
        <w:rPr>
          <w:rFonts w:ascii="Garamond" w:hAnsi="Garamond"/>
          <w:sz w:val="22"/>
          <w:szCs w:val="22"/>
        </w:rPr>
        <w:t xml:space="preserve">Do załączenia do dekretu królewskiego z dnia ................................... w sprawie materiałów i wyrobów metalowych oraz stopów przeznaczonych do kontaktu z żywnością. </w:t>
      </w:r>
    </w:p>
    <w:p w:rsidR="00C74C42" w:rsidRPr="00993C7F" w:rsidRDefault="00C74C42" w:rsidP="00276E85">
      <w:pPr>
        <w:jc w:val="center"/>
        <w:rPr>
          <w:rFonts w:ascii="Garamond" w:hAnsi="Garamond"/>
          <w:sz w:val="22"/>
          <w:szCs w:val="22"/>
        </w:rPr>
      </w:pPr>
    </w:p>
    <w:tbl>
      <w:tblPr>
        <w:tblW w:w="0" w:type="auto"/>
        <w:jc w:val="center"/>
        <w:tblLook w:val="0000" w:firstRow="0" w:lastRow="0" w:firstColumn="0" w:lastColumn="0" w:noHBand="0" w:noVBand="0"/>
      </w:tblPr>
      <w:tblGrid>
        <w:gridCol w:w="4385"/>
      </w:tblGrid>
      <w:tr w:rsidR="00C74C42" w:rsidRPr="00B009F8" w:rsidTr="00F85383">
        <w:trPr>
          <w:cantSplit/>
          <w:jc w:val="center"/>
        </w:trPr>
        <w:tc>
          <w:tcPr>
            <w:tcW w:w="4385" w:type="dxa"/>
          </w:tcPr>
          <w:p w:rsidR="00C74C42" w:rsidRPr="00993C7F" w:rsidRDefault="00C74C42" w:rsidP="00276E85">
            <w:pPr>
              <w:jc w:val="both"/>
              <w:rPr>
                <w:rFonts w:ascii="Garamond" w:hAnsi="Garamond"/>
                <w:sz w:val="22"/>
                <w:szCs w:val="22"/>
              </w:rPr>
            </w:pPr>
          </w:p>
        </w:tc>
      </w:tr>
      <w:tr w:rsidR="00C74C42" w:rsidRPr="00B009F8" w:rsidTr="00F85383">
        <w:trPr>
          <w:cantSplit/>
          <w:jc w:val="center"/>
        </w:trPr>
        <w:tc>
          <w:tcPr>
            <w:tcW w:w="4385" w:type="dxa"/>
          </w:tcPr>
          <w:p w:rsidR="00C74C42" w:rsidRPr="00B009F8" w:rsidRDefault="00C74C42" w:rsidP="00276E85">
            <w:pPr>
              <w:jc w:val="center"/>
              <w:rPr>
                <w:rFonts w:ascii="Garamond" w:hAnsi="Garamond"/>
                <w:sz w:val="22"/>
                <w:szCs w:val="22"/>
              </w:rPr>
            </w:pPr>
            <w:r>
              <w:rPr>
                <w:rFonts w:ascii="Garamond" w:hAnsi="Garamond"/>
                <w:sz w:val="22"/>
                <w:szCs w:val="22"/>
              </w:rPr>
              <w:t>W imieniu Króla:</w:t>
            </w:r>
          </w:p>
        </w:tc>
      </w:tr>
      <w:tr w:rsidR="00C74C42" w:rsidRPr="00B009F8" w:rsidTr="00F85383">
        <w:trPr>
          <w:cantSplit/>
          <w:jc w:val="center"/>
        </w:trPr>
        <w:tc>
          <w:tcPr>
            <w:tcW w:w="4385" w:type="dxa"/>
          </w:tcPr>
          <w:p w:rsidR="00C74C42" w:rsidRPr="00B009F8" w:rsidRDefault="00C74C42" w:rsidP="00276E85">
            <w:pPr>
              <w:jc w:val="both"/>
              <w:rPr>
                <w:rFonts w:ascii="Garamond" w:hAnsi="Garamond"/>
                <w:sz w:val="22"/>
                <w:szCs w:val="22"/>
                <w:lang w:val="nl-NL"/>
              </w:rPr>
            </w:pPr>
          </w:p>
        </w:tc>
      </w:tr>
      <w:tr w:rsidR="00C74C42" w:rsidRPr="00B009F8" w:rsidTr="00F85383">
        <w:trPr>
          <w:cantSplit/>
          <w:jc w:val="center"/>
        </w:trPr>
        <w:tc>
          <w:tcPr>
            <w:tcW w:w="4385" w:type="dxa"/>
          </w:tcPr>
          <w:p w:rsidR="00C74C42" w:rsidRPr="00B009F8" w:rsidRDefault="00C74C42" w:rsidP="00276E85">
            <w:pPr>
              <w:jc w:val="center"/>
              <w:rPr>
                <w:rFonts w:ascii="Garamond" w:hAnsi="Garamond"/>
                <w:sz w:val="22"/>
                <w:szCs w:val="22"/>
              </w:rPr>
            </w:pPr>
            <w:r>
              <w:rPr>
                <w:rFonts w:ascii="Garamond" w:hAnsi="Garamond"/>
                <w:sz w:val="22"/>
                <w:szCs w:val="22"/>
              </w:rPr>
              <w:t>Minister Zdrowia Publicznego,</w:t>
            </w:r>
          </w:p>
        </w:tc>
      </w:tr>
      <w:tr w:rsidR="00C74C42" w:rsidRPr="00B009F8" w:rsidTr="00F85383">
        <w:trPr>
          <w:cantSplit/>
          <w:jc w:val="center"/>
        </w:trPr>
        <w:tc>
          <w:tcPr>
            <w:tcW w:w="4385" w:type="dxa"/>
          </w:tcPr>
          <w:p w:rsidR="00C74C42" w:rsidRPr="00B009F8" w:rsidRDefault="00C74C42" w:rsidP="00276E85">
            <w:pPr>
              <w:jc w:val="both"/>
              <w:rPr>
                <w:rFonts w:ascii="Garamond" w:hAnsi="Garamond"/>
                <w:sz w:val="22"/>
                <w:szCs w:val="22"/>
                <w:lang w:val="nl-NL"/>
              </w:rPr>
            </w:pPr>
          </w:p>
        </w:tc>
      </w:tr>
      <w:tr w:rsidR="00C74C42" w:rsidRPr="00B009F8" w:rsidTr="00F85383">
        <w:trPr>
          <w:cantSplit/>
          <w:jc w:val="center"/>
        </w:trPr>
        <w:tc>
          <w:tcPr>
            <w:tcW w:w="4385" w:type="dxa"/>
          </w:tcPr>
          <w:p w:rsidR="00C74C42" w:rsidRPr="00B009F8" w:rsidRDefault="00C74C42" w:rsidP="00276E85">
            <w:pPr>
              <w:jc w:val="center"/>
              <w:rPr>
                <w:rFonts w:ascii="Garamond" w:hAnsi="Garamond"/>
                <w:sz w:val="22"/>
                <w:szCs w:val="22"/>
              </w:rPr>
            </w:pPr>
            <w:r>
              <w:rPr>
                <w:rFonts w:ascii="Garamond" w:hAnsi="Garamond"/>
                <w:sz w:val="22"/>
                <w:szCs w:val="22"/>
              </w:rPr>
              <w:t>M. DE BLOCK</w:t>
            </w:r>
          </w:p>
        </w:tc>
      </w:tr>
      <w:tr w:rsidR="00C74C42" w:rsidRPr="00B009F8" w:rsidTr="00F85383">
        <w:trPr>
          <w:cantSplit/>
          <w:jc w:val="center"/>
        </w:trPr>
        <w:tc>
          <w:tcPr>
            <w:tcW w:w="4385" w:type="dxa"/>
          </w:tcPr>
          <w:p w:rsidR="00C74C42" w:rsidRPr="00B009F8" w:rsidRDefault="00C74C42" w:rsidP="00276E85">
            <w:pPr>
              <w:jc w:val="both"/>
              <w:rPr>
                <w:rFonts w:ascii="Garamond" w:hAnsi="Garamond"/>
                <w:sz w:val="22"/>
                <w:szCs w:val="22"/>
                <w:lang w:val="nl-NL"/>
              </w:rPr>
            </w:pPr>
          </w:p>
        </w:tc>
      </w:tr>
      <w:tr w:rsidR="00C74C42" w:rsidRPr="00B009F8" w:rsidTr="00F85383">
        <w:trPr>
          <w:cantSplit/>
          <w:jc w:val="center"/>
        </w:trPr>
        <w:tc>
          <w:tcPr>
            <w:tcW w:w="4385" w:type="dxa"/>
          </w:tcPr>
          <w:p w:rsidR="00C74C42" w:rsidRPr="00B009F8" w:rsidRDefault="00C74C42" w:rsidP="00276E85">
            <w:pPr>
              <w:jc w:val="center"/>
              <w:rPr>
                <w:rFonts w:ascii="Garamond" w:hAnsi="Garamond"/>
                <w:sz w:val="22"/>
                <w:szCs w:val="22"/>
              </w:rPr>
            </w:pPr>
            <w:r>
              <w:rPr>
                <w:rFonts w:ascii="Garamond" w:hAnsi="Garamond"/>
                <w:sz w:val="22"/>
                <w:szCs w:val="22"/>
              </w:rPr>
              <w:t>Minister Rolnictwa,</w:t>
            </w:r>
          </w:p>
        </w:tc>
      </w:tr>
      <w:tr w:rsidR="00C74C42" w:rsidRPr="00B009F8" w:rsidTr="00F85383">
        <w:trPr>
          <w:cantSplit/>
          <w:jc w:val="center"/>
        </w:trPr>
        <w:tc>
          <w:tcPr>
            <w:tcW w:w="4385" w:type="dxa"/>
          </w:tcPr>
          <w:p w:rsidR="00C74C42" w:rsidRPr="00B009F8" w:rsidRDefault="00C74C42" w:rsidP="00276E85">
            <w:pPr>
              <w:jc w:val="both"/>
              <w:rPr>
                <w:rFonts w:ascii="Garamond" w:hAnsi="Garamond"/>
                <w:sz w:val="22"/>
                <w:szCs w:val="22"/>
                <w:lang w:val="nl-NL"/>
              </w:rPr>
            </w:pPr>
          </w:p>
        </w:tc>
      </w:tr>
      <w:tr w:rsidR="00C74C42" w:rsidRPr="00B009F8" w:rsidTr="00F85383">
        <w:trPr>
          <w:cantSplit/>
          <w:jc w:val="center"/>
        </w:trPr>
        <w:tc>
          <w:tcPr>
            <w:tcW w:w="4385" w:type="dxa"/>
          </w:tcPr>
          <w:p w:rsidR="00C74C42" w:rsidRPr="00B009F8" w:rsidRDefault="00C74C42" w:rsidP="00276E85">
            <w:pPr>
              <w:jc w:val="center"/>
              <w:rPr>
                <w:rFonts w:ascii="Garamond" w:hAnsi="Garamond"/>
                <w:sz w:val="22"/>
                <w:szCs w:val="22"/>
              </w:rPr>
            </w:pPr>
            <w:r>
              <w:rPr>
                <w:rFonts w:ascii="Garamond" w:hAnsi="Garamond"/>
                <w:sz w:val="22"/>
                <w:szCs w:val="22"/>
              </w:rPr>
              <w:t>D. DUCARME</w:t>
            </w:r>
          </w:p>
        </w:tc>
      </w:tr>
    </w:tbl>
    <w:p w:rsidR="00D50D5D" w:rsidRPr="00B009F8" w:rsidRDefault="00D50D5D" w:rsidP="00F85383">
      <w:pPr>
        <w:rPr>
          <w:lang w:val="nl-NL"/>
        </w:rPr>
      </w:pPr>
    </w:p>
    <w:sectPr w:rsidR="00D50D5D" w:rsidRPr="00B009F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AD1" w:rsidRDefault="00C55AD1" w:rsidP="000B55ED">
      <w:r>
        <w:separator/>
      </w:r>
    </w:p>
  </w:endnote>
  <w:endnote w:type="continuationSeparator" w:id="0">
    <w:p w:rsidR="00C55AD1" w:rsidRDefault="00C55AD1" w:rsidP="000B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AD1" w:rsidRDefault="00C55AD1" w:rsidP="000B55ED">
      <w:r>
        <w:separator/>
      </w:r>
    </w:p>
  </w:footnote>
  <w:footnote w:type="continuationSeparator" w:id="0">
    <w:p w:rsidR="00C55AD1" w:rsidRDefault="00C55AD1" w:rsidP="000B5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C7FA7"/>
    <w:multiLevelType w:val="hybridMultilevel"/>
    <w:tmpl w:val="373C74EE"/>
    <w:lvl w:ilvl="0" w:tplc="6008AA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F3D32"/>
    <w:multiLevelType w:val="hybridMultilevel"/>
    <w:tmpl w:val="A1AA9EE4"/>
    <w:lvl w:ilvl="0" w:tplc="6008AA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E688E"/>
    <w:multiLevelType w:val="hybridMultilevel"/>
    <w:tmpl w:val="1908CCC0"/>
    <w:lvl w:ilvl="0" w:tplc="6008AA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57206"/>
    <w:multiLevelType w:val="hybridMultilevel"/>
    <w:tmpl w:val="516E44AE"/>
    <w:lvl w:ilvl="0" w:tplc="F1866778">
      <w:start w:val="1"/>
      <w:numFmt w:val="decimal"/>
      <w:lvlText w:val="%1)"/>
      <w:lvlJc w:val="left"/>
      <w:pPr>
        <w:tabs>
          <w:tab w:val="num" w:pos="720"/>
        </w:tabs>
        <w:ind w:left="720" w:hanging="360"/>
      </w:pPr>
      <w:rPr>
        <w:rFonts w:hint="default"/>
        <w:b w:val="0"/>
        <w:i w:val="0"/>
      </w:rPr>
    </w:lvl>
    <w:lvl w:ilvl="1" w:tplc="EE6E92FE">
      <w:start w:val="1"/>
      <w:numFmt w:val="lowerRoman"/>
      <w:lvlText w:val="%2)"/>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42"/>
    <w:rsid w:val="000B55ED"/>
    <w:rsid w:val="00276E85"/>
    <w:rsid w:val="00617213"/>
    <w:rsid w:val="00695C9A"/>
    <w:rsid w:val="00712B78"/>
    <w:rsid w:val="008C5E75"/>
    <w:rsid w:val="00993C7F"/>
    <w:rsid w:val="00A47389"/>
    <w:rsid w:val="00B009F8"/>
    <w:rsid w:val="00C55AD1"/>
    <w:rsid w:val="00C74C42"/>
    <w:rsid w:val="00D50D5D"/>
    <w:rsid w:val="00E77776"/>
    <w:rsid w:val="00F8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3AED93-7877-4BFC-8D6C-7D67488F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C4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74C42"/>
    <w:pPr>
      <w:keepNext/>
      <w:jc w:val="center"/>
      <w:outlineLvl w:val="2"/>
    </w:pPr>
    <w:rPr>
      <w:szCs w:val="20"/>
      <w:lang w:eastAsia="fr-FR"/>
    </w:rPr>
  </w:style>
  <w:style w:type="paragraph" w:styleId="Heading4">
    <w:name w:val="heading 4"/>
    <w:basedOn w:val="Normal"/>
    <w:next w:val="Normal"/>
    <w:link w:val="Heading4Char"/>
    <w:qFormat/>
    <w:rsid w:val="00C74C42"/>
    <w:pPr>
      <w:keepNext/>
      <w:ind w:left="708"/>
      <w:jc w:val="center"/>
      <w:outlineLvl w:val="3"/>
    </w:pPr>
    <w:rPr>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C74C42"/>
    <w:pPr>
      <w:spacing w:before="120" w:after="120"/>
      <w:jc w:val="both"/>
    </w:pPr>
    <w:rPr>
      <w:sz w:val="20"/>
      <w:szCs w:val="20"/>
      <w:lang w:eastAsia="en-GB"/>
    </w:rPr>
  </w:style>
  <w:style w:type="character" w:customStyle="1" w:styleId="CommentTextChar">
    <w:name w:val="Comment Text Char"/>
    <w:basedOn w:val="DefaultParagraphFont"/>
    <w:link w:val="CommentText"/>
    <w:semiHidden/>
    <w:rsid w:val="00C74C42"/>
    <w:rPr>
      <w:rFonts w:ascii="Times New Roman" w:eastAsia="Times New Roman" w:hAnsi="Times New Roman" w:cs="Times New Roman"/>
      <w:sz w:val="20"/>
      <w:szCs w:val="20"/>
      <w:lang w:val="pl-PL" w:eastAsia="en-GB"/>
    </w:rPr>
  </w:style>
  <w:style w:type="paragraph" w:styleId="ListParagraph">
    <w:name w:val="List Paragraph"/>
    <w:basedOn w:val="Normal"/>
    <w:uiPriority w:val="34"/>
    <w:qFormat/>
    <w:rsid w:val="00C74C42"/>
    <w:pPr>
      <w:ind w:left="720"/>
      <w:contextualSpacing/>
    </w:pPr>
  </w:style>
  <w:style w:type="character" w:customStyle="1" w:styleId="Heading3Char">
    <w:name w:val="Heading 3 Char"/>
    <w:basedOn w:val="DefaultParagraphFont"/>
    <w:link w:val="Heading3"/>
    <w:rsid w:val="00C74C42"/>
    <w:rPr>
      <w:rFonts w:ascii="Times New Roman" w:eastAsia="Times New Roman" w:hAnsi="Times New Roman" w:cs="Times New Roman"/>
      <w:sz w:val="24"/>
      <w:szCs w:val="20"/>
      <w:lang w:val="pl-PL" w:eastAsia="fr-FR"/>
    </w:rPr>
  </w:style>
  <w:style w:type="character" w:customStyle="1" w:styleId="Heading4Char">
    <w:name w:val="Heading 4 Char"/>
    <w:basedOn w:val="DefaultParagraphFont"/>
    <w:link w:val="Heading4"/>
    <w:rsid w:val="00C74C42"/>
    <w:rPr>
      <w:rFonts w:ascii="Times New Roman" w:eastAsia="Times New Roman" w:hAnsi="Times New Roman" w:cs="Times New Roman"/>
      <w:sz w:val="24"/>
      <w:szCs w:val="20"/>
      <w:lang w:val="pl-PL" w:eastAsia="fr-FR"/>
    </w:rPr>
  </w:style>
  <w:style w:type="table" w:styleId="TableGrid">
    <w:name w:val="Table Grid"/>
    <w:basedOn w:val="TableNormal"/>
    <w:rsid w:val="00C74C42"/>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74C42"/>
    <w:pPr>
      <w:autoSpaceDE w:val="0"/>
      <w:autoSpaceDN w:val="0"/>
      <w:adjustRightInd w:val="0"/>
    </w:pPr>
    <w:rPr>
      <w:szCs w:val="19"/>
      <w:lang w:eastAsia="fr-FR"/>
    </w:rPr>
  </w:style>
  <w:style w:type="character" w:customStyle="1" w:styleId="BodyTextChar">
    <w:name w:val="Body Text Char"/>
    <w:basedOn w:val="DefaultParagraphFont"/>
    <w:link w:val="BodyText"/>
    <w:rsid w:val="00C74C42"/>
    <w:rPr>
      <w:rFonts w:ascii="Times New Roman" w:eastAsia="Times New Roman" w:hAnsi="Times New Roman" w:cs="Times New Roman"/>
      <w:sz w:val="24"/>
      <w:szCs w:val="19"/>
      <w:lang w:val="pl-PL" w:eastAsia="fr-FR"/>
    </w:rPr>
  </w:style>
  <w:style w:type="paragraph" w:styleId="PlainText">
    <w:name w:val="Plain Text"/>
    <w:basedOn w:val="Normal"/>
    <w:link w:val="PlainTextChar"/>
    <w:uiPriority w:val="99"/>
    <w:semiHidden/>
    <w:unhideWhenUsed/>
    <w:rsid w:val="00276E85"/>
    <w:rPr>
      <w:rFonts w:ascii="Courier New" w:hAnsi="Courier New" w:cs="Courier New"/>
      <w:sz w:val="20"/>
      <w:szCs w:val="20"/>
      <w:lang w:eastAsia="pl-PL"/>
    </w:rPr>
  </w:style>
  <w:style w:type="character" w:customStyle="1" w:styleId="PlainTextChar">
    <w:name w:val="Plain Text Char"/>
    <w:basedOn w:val="DefaultParagraphFont"/>
    <w:link w:val="PlainText"/>
    <w:uiPriority w:val="99"/>
    <w:semiHidden/>
    <w:rsid w:val="00276E85"/>
    <w:rPr>
      <w:rFonts w:ascii="Courier New" w:eastAsia="Times New Roman" w:hAnsi="Courier New" w:cs="Courier New"/>
      <w:sz w:val="20"/>
      <w:szCs w:val="20"/>
      <w:lang w:val="pl-PL" w:eastAsia="pl-PL"/>
    </w:rPr>
  </w:style>
  <w:style w:type="paragraph" w:styleId="Header">
    <w:name w:val="header"/>
    <w:basedOn w:val="Normal"/>
    <w:link w:val="HeaderChar"/>
    <w:uiPriority w:val="99"/>
    <w:unhideWhenUsed/>
    <w:rsid w:val="000B55ED"/>
    <w:pPr>
      <w:tabs>
        <w:tab w:val="center" w:pos="4320"/>
        <w:tab w:val="right" w:pos="8640"/>
      </w:tabs>
    </w:pPr>
  </w:style>
  <w:style w:type="character" w:customStyle="1" w:styleId="HeaderChar">
    <w:name w:val="Header Char"/>
    <w:basedOn w:val="DefaultParagraphFont"/>
    <w:link w:val="Header"/>
    <w:uiPriority w:val="99"/>
    <w:rsid w:val="000B55ED"/>
    <w:rPr>
      <w:rFonts w:ascii="Times New Roman" w:eastAsia="Times New Roman" w:hAnsi="Times New Roman" w:cs="Times New Roman"/>
      <w:sz w:val="24"/>
      <w:szCs w:val="24"/>
      <w:lang w:val="pl-PL"/>
    </w:rPr>
  </w:style>
  <w:style w:type="paragraph" w:styleId="Footer">
    <w:name w:val="footer"/>
    <w:basedOn w:val="Normal"/>
    <w:link w:val="FooterChar"/>
    <w:uiPriority w:val="99"/>
    <w:unhideWhenUsed/>
    <w:rsid w:val="000B55ED"/>
    <w:pPr>
      <w:tabs>
        <w:tab w:val="center" w:pos="4320"/>
        <w:tab w:val="right" w:pos="8640"/>
      </w:tabs>
    </w:pPr>
  </w:style>
  <w:style w:type="character" w:customStyle="1" w:styleId="FooterChar">
    <w:name w:val="Footer Char"/>
    <w:basedOn w:val="DefaultParagraphFont"/>
    <w:link w:val="Footer"/>
    <w:uiPriority w:val="99"/>
    <w:rsid w:val="000B55ED"/>
    <w:rPr>
      <w:rFonts w:ascii="Times New Roman" w:eastAsia="Times New Roman" w:hAnsi="Times New Roman" w:cs="Times New Roman"/>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1681</Words>
  <Characters>9582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Heyvaert Els</dc:creator>
  <cp:keywords/>
  <dc:description/>
  <cp:lastModifiedBy>Liu, Lei</cp:lastModifiedBy>
  <cp:revision>6</cp:revision>
  <dcterms:created xsi:type="dcterms:W3CDTF">2018-09-04T13:14:00Z</dcterms:created>
  <dcterms:modified xsi:type="dcterms:W3CDTF">2018-09-12T12:07:00Z</dcterms:modified>
</cp:coreProperties>
</file>