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85" w:rsidRPr="00B009F8" w:rsidRDefault="00276E85" w:rsidP="00276E85">
      <w:pPr>
        <w:pStyle w:val="PlainText"/>
        <w:jc w:val="center"/>
      </w:pPr>
      <w:r>
        <w:t xml:space="preserve"> 1. ------IND- 2018 0442 B-- RO- ------ 20180912 --- --- </w:t>
      </w:r>
      <w:proofErr w:type="spellStart"/>
      <w:r>
        <w:t>PROJET</w:t>
      </w:r>
      <w:proofErr w:type="spellEnd"/>
    </w:p>
    <w:tbl>
      <w:tblPr>
        <w:tblW w:w="10206" w:type="dxa"/>
        <w:tblLook w:val="0000" w:firstRow="0" w:lastRow="0" w:firstColumn="0" w:lastColumn="0" w:noHBand="0" w:noVBand="0"/>
      </w:tblPr>
      <w:tblGrid>
        <w:gridCol w:w="10206"/>
      </w:tblGrid>
      <w:tr w:rsidR="00C74C42" w:rsidRPr="00B009F8" w:rsidTr="00276E85">
        <w:tc>
          <w:tcPr>
            <w:tcW w:w="10206" w:type="dxa"/>
          </w:tcPr>
          <w:p w:rsidR="00C74C42" w:rsidRPr="00B009F8" w:rsidRDefault="00C74C42" w:rsidP="00276E85">
            <w:pPr>
              <w:jc w:val="center"/>
              <w:rPr>
                <w:rFonts w:ascii="Garamond" w:hAnsi="Garamond"/>
                <w:b/>
                <w:bCs/>
                <w:sz w:val="22"/>
                <w:szCs w:val="22"/>
              </w:rPr>
            </w:pPr>
            <w:r>
              <w:rPr>
                <w:rFonts w:ascii="Garamond" w:hAnsi="Garamond"/>
                <w:b/>
                <w:sz w:val="22"/>
              </w:rPr>
              <w:t>Regatul Belgiei</w:t>
            </w: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_________</w:t>
            </w:r>
          </w:p>
        </w:tc>
      </w:tr>
      <w:tr w:rsidR="00C74C42" w:rsidRPr="00B009F8" w:rsidTr="00276E85">
        <w:tc>
          <w:tcPr>
            <w:tcW w:w="10206" w:type="dxa"/>
          </w:tcPr>
          <w:p w:rsidR="00C74C42" w:rsidRPr="00B009F8"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caps/>
                <w:snapToGrid w:val="0"/>
                <w:color w:val="000000"/>
                <w:sz w:val="22"/>
              </w:rPr>
              <w:t>Serviciul public federal pentru sănătate, siguranța lanțului alimentar și mediu</w:t>
            </w: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________________________</w:t>
            </w:r>
          </w:p>
        </w:tc>
      </w:tr>
      <w:tr w:rsidR="00C74C42" w:rsidRPr="00B009F8" w:rsidTr="00276E85">
        <w:tc>
          <w:tcPr>
            <w:tcW w:w="10206" w:type="dxa"/>
          </w:tcPr>
          <w:p w:rsidR="00C74C42" w:rsidRPr="00B009F8"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b/>
                <w:bCs/>
                <w:sz w:val="22"/>
                <w:szCs w:val="22"/>
              </w:rPr>
            </w:pPr>
            <w:r>
              <w:rPr>
                <w:rFonts w:ascii="Garamond" w:hAnsi="Garamond"/>
                <w:b/>
                <w:sz w:val="22"/>
              </w:rPr>
              <w:t>Decret regal privind materialele și obiectele din metal și aliaj destinate să vină în contact cu produsele alimentare</w:t>
            </w:r>
          </w:p>
        </w:tc>
      </w:tr>
      <w:tr w:rsidR="00C74C42" w:rsidRPr="00B009F8" w:rsidTr="00276E85">
        <w:tc>
          <w:tcPr>
            <w:tcW w:w="10206" w:type="dxa"/>
          </w:tcPr>
          <w:p w:rsidR="00C74C42" w:rsidRPr="00B009F8" w:rsidRDefault="00C74C42" w:rsidP="00276E85">
            <w:pPr>
              <w:rPr>
                <w:rFonts w:ascii="Garamond" w:hAnsi="Garamond"/>
                <w:sz w:val="22"/>
                <w:szCs w:val="22"/>
              </w:rPr>
            </w:pPr>
            <w:bookmarkStart w:id="0" w:name="_GoBack"/>
            <w:bookmarkEnd w:id="0"/>
          </w:p>
        </w:tc>
      </w:tr>
      <w:tr w:rsidR="00C74C42" w:rsidRPr="00B009F8" w:rsidTr="00276E85">
        <w:tc>
          <w:tcPr>
            <w:tcW w:w="10206" w:type="dxa"/>
          </w:tcPr>
          <w:p w:rsidR="00C74C42" w:rsidRPr="00B009F8" w:rsidRDefault="00C74C42" w:rsidP="00276E85">
            <w:pPr>
              <w:jc w:val="center"/>
              <w:rPr>
                <w:rFonts w:ascii="Garamond" w:hAnsi="Garamond"/>
                <w:b/>
                <w:bCs/>
                <w:iCs/>
                <w:sz w:val="22"/>
                <w:szCs w:val="22"/>
              </w:rPr>
            </w:pPr>
            <w:r>
              <w:rPr>
                <w:rFonts w:ascii="Garamond" w:hAnsi="Garamond"/>
                <w:b/>
                <w:sz w:val="22"/>
              </w:rPr>
              <w:t>PHILIPPE, Regele belgienilor,</w:t>
            </w:r>
          </w:p>
        </w:tc>
      </w:tr>
      <w:tr w:rsidR="00C74C42" w:rsidRPr="00B009F8" w:rsidTr="00276E85">
        <w:tc>
          <w:tcPr>
            <w:tcW w:w="10206" w:type="dxa"/>
          </w:tcPr>
          <w:p w:rsidR="00C74C42" w:rsidRPr="00B009F8"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iCs/>
                <w:sz w:val="22"/>
                <w:szCs w:val="22"/>
              </w:rPr>
            </w:pPr>
            <w:r>
              <w:rPr>
                <w:rFonts w:ascii="Garamond" w:hAnsi="Garamond"/>
                <w:sz w:val="22"/>
              </w:rPr>
              <w:t>Salutări tuturor celor prezenți și celor ce vor veni.</w:t>
            </w:r>
          </w:p>
        </w:tc>
      </w:tr>
      <w:tr w:rsidR="00C74C42" w:rsidRPr="00B009F8" w:rsidTr="00276E85">
        <w:tc>
          <w:tcPr>
            <w:tcW w:w="10206" w:type="dxa"/>
          </w:tcPr>
          <w:p w:rsidR="00C74C42" w:rsidRPr="00B009F8"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având în vedere Regulamentul (CE) nr. 1935/2004 al Parlamentului European și al Consiliului din 27 octombrie 2004 privind materialele și obiectele destinate să vină în contact cu produsele alimentare și de abrogare a Directivelor 80/590/CEE și 89/109/CEE,</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având în vedere Legea din 24 ianuarie 1977 privind protecția sănătății consumatorilor în ceea ce privește produsele alimentare și alte produse articolul 3 alineatul (2) litera (a), astfel cum a fost modificată prin Legea din 22 martie 1989,</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 xml:space="preserve">având în vedere Decretul regal din 11 mai 1992 privind mineralele și articolele destinate să vină în contact cu produsele alimentare, </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 xml:space="preserve">având în vedere avizul Consiliului consultativ pentru politica privind alimentația și utilizarea altor produse de consum, acordat la </w:t>
            </w:r>
            <w:r>
              <w:rPr>
                <w:rFonts w:ascii="Garamond" w:hAnsi="Garamond"/>
                <w:color w:val="FF0000"/>
                <w:sz w:val="22"/>
              </w:rPr>
              <w:t xml:space="preserve">xx </w:t>
            </w:r>
            <w:proofErr w:type="spellStart"/>
            <w:r>
              <w:rPr>
                <w:rFonts w:ascii="Garamond" w:hAnsi="Garamond"/>
                <w:color w:val="FF0000"/>
                <w:sz w:val="22"/>
              </w:rPr>
              <w:t>xxxx</w:t>
            </w:r>
            <w:proofErr w:type="spellEnd"/>
            <w:r>
              <w:rPr>
                <w:rFonts w:ascii="Garamond" w:hAnsi="Garamond"/>
                <w:color w:val="FF0000"/>
                <w:sz w:val="22"/>
              </w:rPr>
              <w:t xml:space="preserve"> </w:t>
            </w:r>
            <w:proofErr w:type="spellStart"/>
            <w:r>
              <w:rPr>
                <w:rFonts w:ascii="Garamond" w:hAnsi="Garamond"/>
                <w:color w:val="FF0000"/>
                <w:sz w:val="22"/>
              </w:rPr>
              <w:t>20xx</w:t>
            </w:r>
            <w:proofErr w:type="spellEnd"/>
            <w:r>
              <w:rPr>
                <w:rFonts w:ascii="Garamond" w:hAnsi="Garamond"/>
                <w:sz w:val="22"/>
              </w:rPr>
              <w:t>,</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autoSpaceDE w:val="0"/>
              <w:autoSpaceDN w:val="0"/>
              <w:adjustRightInd w:val="0"/>
              <w:jc w:val="both"/>
              <w:rPr>
                <w:rFonts w:ascii="Garamond" w:hAnsi="Garamond"/>
                <w:sz w:val="22"/>
                <w:szCs w:val="22"/>
              </w:rPr>
            </w:pPr>
            <w:r>
              <w:rPr>
                <w:rFonts w:ascii="Garamond" w:hAnsi="Garamond"/>
                <w:sz w:val="22"/>
              </w:rPr>
              <w:t xml:space="preserve">având în vedere avizul Inspectoratului financiar, acordat la </w:t>
            </w:r>
            <w:r>
              <w:rPr>
                <w:rFonts w:ascii="Garamond" w:hAnsi="Garamond"/>
                <w:color w:val="FF0000"/>
                <w:sz w:val="22"/>
              </w:rPr>
              <w:t xml:space="preserve">xx </w:t>
            </w:r>
            <w:proofErr w:type="spellStart"/>
            <w:r>
              <w:rPr>
                <w:rFonts w:ascii="Garamond" w:hAnsi="Garamond"/>
                <w:color w:val="FF0000"/>
                <w:sz w:val="22"/>
              </w:rPr>
              <w:t>xxxxx</w:t>
            </w:r>
            <w:proofErr w:type="spellEnd"/>
            <w:r>
              <w:rPr>
                <w:rFonts w:ascii="Garamond" w:hAnsi="Garamond"/>
                <w:color w:val="FF0000"/>
                <w:sz w:val="22"/>
              </w:rPr>
              <w:t xml:space="preserve"> </w:t>
            </w:r>
            <w:proofErr w:type="spellStart"/>
            <w:r>
              <w:rPr>
                <w:rFonts w:ascii="Garamond" w:hAnsi="Garamond"/>
                <w:color w:val="FF0000"/>
                <w:sz w:val="22"/>
              </w:rPr>
              <w:t>20xx</w:t>
            </w:r>
            <w:proofErr w:type="spellEnd"/>
            <w:r>
              <w:rPr>
                <w:rFonts w:ascii="Garamond" w:hAnsi="Garamond"/>
                <w:sz w:val="22"/>
              </w:rPr>
              <w:t>,</w:t>
            </w:r>
          </w:p>
        </w:tc>
      </w:tr>
      <w:tr w:rsidR="00C74C42" w:rsidRPr="00B009F8" w:rsidTr="00276E85">
        <w:tc>
          <w:tcPr>
            <w:tcW w:w="10206" w:type="dxa"/>
          </w:tcPr>
          <w:p w:rsidR="00C74C42" w:rsidRPr="00B009F8" w:rsidRDefault="00C74C42" w:rsidP="00A47389">
            <w:pPr>
              <w:autoSpaceDE w:val="0"/>
              <w:autoSpaceDN w:val="0"/>
              <w:adjustRightInd w:val="0"/>
              <w:jc w:val="both"/>
              <w:rPr>
                <w:rFonts w:ascii="Garamond" w:hAnsi="Garamond" w:cs="Palatino Linotype"/>
                <w:color w:val="000000"/>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color w:val="000000"/>
                <w:sz w:val="22"/>
              </w:rPr>
              <w:t xml:space="preserve">având în vedere comunicarea adresată Comisiei Europene la </w:t>
            </w:r>
            <w:r>
              <w:rPr>
                <w:rFonts w:ascii="Garamond" w:hAnsi="Garamond"/>
                <w:color w:val="FF0000"/>
                <w:sz w:val="22"/>
              </w:rPr>
              <w:t xml:space="preserve">xx </w:t>
            </w:r>
            <w:proofErr w:type="spellStart"/>
            <w:r>
              <w:rPr>
                <w:rFonts w:ascii="Garamond" w:hAnsi="Garamond"/>
                <w:color w:val="FF0000"/>
                <w:sz w:val="22"/>
              </w:rPr>
              <w:t>xxxxx</w:t>
            </w:r>
            <w:proofErr w:type="spellEnd"/>
            <w:r>
              <w:rPr>
                <w:rFonts w:ascii="Garamond" w:hAnsi="Garamond"/>
                <w:color w:val="FF0000"/>
                <w:sz w:val="22"/>
              </w:rPr>
              <w:t xml:space="preserve"> </w:t>
            </w:r>
            <w:proofErr w:type="spellStart"/>
            <w:r>
              <w:rPr>
                <w:rFonts w:ascii="Garamond" w:hAnsi="Garamond"/>
                <w:color w:val="FF0000"/>
                <w:sz w:val="22"/>
              </w:rPr>
              <w:t>20xx</w:t>
            </w:r>
            <w:proofErr w:type="spellEnd"/>
            <w:r>
              <w:rPr>
                <w:rFonts w:ascii="Garamond" w:hAnsi="Garamond"/>
                <w:color w:val="FF0000"/>
                <w:sz w:val="22"/>
              </w:rPr>
              <w:t>.</w:t>
            </w:r>
            <w:r>
              <w:rPr>
                <w:rFonts w:ascii="Garamond" w:hAnsi="Garamond"/>
                <w:color w:val="000000"/>
                <w:sz w:val="22"/>
              </w:rPr>
              <w:t>,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 xml:space="preserve">având în vedere avizul nr. </w:t>
            </w:r>
            <w:proofErr w:type="spellStart"/>
            <w:r>
              <w:rPr>
                <w:rFonts w:ascii="Garamond" w:hAnsi="Garamond"/>
                <w:color w:val="FF0000"/>
                <w:sz w:val="22"/>
              </w:rPr>
              <w:t>xx.xxx</w:t>
            </w:r>
            <w:proofErr w:type="spellEnd"/>
            <w:r>
              <w:rPr>
                <w:rFonts w:ascii="Garamond" w:hAnsi="Garamond"/>
                <w:color w:val="FF0000"/>
                <w:sz w:val="22"/>
              </w:rPr>
              <w:t>/x</w:t>
            </w:r>
            <w:r>
              <w:rPr>
                <w:rFonts w:ascii="Garamond" w:hAnsi="Garamond"/>
                <w:sz w:val="22"/>
              </w:rPr>
              <w:t xml:space="preserve"> al Consiliului de Stat, acordat la </w:t>
            </w:r>
            <w:r>
              <w:rPr>
                <w:rFonts w:ascii="Garamond" w:hAnsi="Garamond"/>
                <w:color w:val="FF0000"/>
                <w:sz w:val="22"/>
              </w:rPr>
              <w:t xml:space="preserve">xx </w:t>
            </w:r>
            <w:proofErr w:type="spellStart"/>
            <w:r>
              <w:rPr>
                <w:rFonts w:ascii="Garamond" w:hAnsi="Garamond"/>
                <w:color w:val="FF0000"/>
                <w:sz w:val="22"/>
              </w:rPr>
              <w:t>xxxx</w:t>
            </w:r>
            <w:proofErr w:type="spellEnd"/>
            <w:r>
              <w:rPr>
                <w:rFonts w:ascii="Garamond" w:hAnsi="Garamond"/>
                <w:color w:val="FF0000"/>
                <w:sz w:val="22"/>
              </w:rPr>
              <w:t xml:space="preserve"> </w:t>
            </w:r>
            <w:proofErr w:type="spellStart"/>
            <w:r>
              <w:rPr>
                <w:rFonts w:ascii="Garamond" w:hAnsi="Garamond"/>
                <w:color w:val="FF0000"/>
                <w:sz w:val="22"/>
              </w:rPr>
              <w:t>201x</w:t>
            </w:r>
            <w:proofErr w:type="spellEnd"/>
            <w:r>
              <w:rPr>
                <w:rFonts w:ascii="Garamond" w:hAnsi="Garamond"/>
                <w:sz w:val="22"/>
              </w:rPr>
              <w:t>, în temeiul articolului 84 alineatul (1) punctul 1 subpunctul 2 din Legile Consiliului de Stat, consolidate la 12 ianuarie 1973,</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având în vedere Rezoluția Consiliului Europei CM/</w:t>
            </w:r>
            <w:proofErr w:type="spellStart"/>
            <w:r>
              <w:rPr>
                <w:rFonts w:ascii="Garamond" w:hAnsi="Garamond"/>
                <w:sz w:val="22"/>
              </w:rPr>
              <w:t>Res</w:t>
            </w:r>
            <w:proofErr w:type="spellEnd"/>
            <w:r>
              <w:rPr>
                <w:rFonts w:ascii="Garamond" w:hAnsi="Garamond"/>
                <w:sz w:val="22"/>
              </w:rPr>
              <w:t xml:space="preserve"> (2013)9 privind metalele și aliajele utilizate în materialele și obiectele care intră în contact cu produsele alimentare.</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La propunerea ministrului sănătății publice și a ministrului agriculturii,</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AM HOTĂRÂT ȘI HOTĂRÂM:</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8C5E75" w:rsidP="00A47389">
            <w:pPr>
              <w:keepNext/>
              <w:keepLines/>
              <w:jc w:val="both"/>
              <w:rPr>
                <w:rFonts w:ascii="Garamond" w:hAnsi="Garamond"/>
                <w:b/>
                <w:bCs/>
                <w:sz w:val="22"/>
                <w:szCs w:val="22"/>
              </w:rPr>
            </w:pPr>
            <w:r>
              <w:rPr>
                <w:rFonts w:ascii="Garamond" w:hAnsi="Garamond"/>
                <w:b/>
                <w:sz w:val="22"/>
              </w:rPr>
              <w:t>Articolul 1 Domeniu de aplicare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Dispozițiile prezentului decret se aplică eliberării neintenționate de ioni metalici de la materialele și obiectele finisate, fie că sunt sau nu fabricate în totalitate sau parțial din metal sau aliaje și/sau fie că sunt sau nu îmbrăcate într-un înveliș, care: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1. sunt destinate să vină în contact cu produsele alimentare sau</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2. sunt deja în contact cu produsele alimentare și sunt destinate acestui scop sau</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lastRenderedPageBreak/>
              <w:t>3. despre care se poate presupune în mod rezonabil că vin în contact cu produse alimentare sau că eliberează substanțele lor constitutive în produsele alimentare pe perioada utilizării lor obișnuite sau previzibile.</w:t>
            </w:r>
          </w:p>
        </w:tc>
      </w:tr>
      <w:tr w:rsidR="00C74C42" w:rsidRPr="00B009F8" w:rsidTr="00276E85">
        <w:tc>
          <w:tcPr>
            <w:tcW w:w="10206" w:type="dxa"/>
          </w:tcPr>
          <w:p w:rsidR="00C74C42" w:rsidRPr="00B009F8" w:rsidRDefault="00C74C42" w:rsidP="00A47389">
            <w:pPr>
              <w:pStyle w:val="ListParagraph"/>
              <w:ind w:left="360"/>
              <w:jc w:val="both"/>
              <w:rPr>
                <w:rFonts w:ascii="Garamond" w:hAnsi="Garamond"/>
                <w:sz w:val="22"/>
                <w:szCs w:val="22"/>
              </w:rPr>
            </w:pPr>
          </w:p>
        </w:tc>
      </w:tr>
      <w:tr w:rsidR="00C74C42" w:rsidRPr="00B009F8" w:rsidTr="00276E85">
        <w:tc>
          <w:tcPr>
            <w:tcW w:w="10206" w:type="dxa"/>
          </w:tcPr>
          <w:p w:rsidR="00C74C42" w:rsidRPr="00B009F8" w:rsidRDefault="008C5E75" w:rsidP="00A47389">
            <w:pPr>
              <w:keepNext/>
              <w:keepLines/>
              <w:jc w:val="both"/>
              <w:rPr>
                <w:rFonts w:ascii="Garamond" w:hAnsi="Garamond"/>
                <w:b/>
                <w:sz w:val="22"/>
                <w:szCs w:val="22"/>
              </w:rPr>
            </w:pPr>
            <w:r>
              <w:rPr>
                <w:rFonts w:ascii="Garamond" w:hAnsi="Garamond"/>
                <w:b/>
                <w:sz w:val="22"/>
              </w:rPr>
              <w:t>Articolul 2 Definiții</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În sensul prezentului decret, se aplică definițiile următoare: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 xml:space="preserve">(1) metale: metalele sunt caracterizate prin proprietățile lor </w:t>
            </w:r>
            <w:proofErr w:type="spellStart"/>
            <w:r>
              <w:rPr>
                <w:rFonts w:ascii="Garamond" w:hAnsi="Garamond"/>
                <w:sz w:val="22"/>
              </w:rPr>
              <w:t>fizico</w:t>
            </w:r>
            <w:proofErr w:type="spellEnd"/>
            <w:r>
              <w:rPr>
                <w:rFonts w:ascii="Garamond" w:hAnsi="Garamond"/>
                <w:sz w:val="22"/>
              </w:rPr>
              <w:t>-chimice în stare solidă:</w:t>
            </w:r>
          </w:p>
        </w:tc>
      </w:tr>
      <w:tr w:rsidR="00C74C42" w:rsidRPr="00B009F8" w:rsidTr="00276E85">
        <w:tc>
          <w:tcPr>
            <w:tcW w:w="10206" w:type="dxa"/>
          </w:tcPr>
          <w:p w:rsidR="00C74C42" w:rsidRPr="00B009F8" w:rsidRDefault="00C74C42" w:rsidP="00A47389">
            <w:pPr>
              <w:pStyle w:val="ListParagraph"/>
              <w:numPr>
                <w:ilvl w:val="0"/>
                <w:numId w:val="2"/>
              </w:numPr>
              <w:jc w:val="both"/>
              <w:rPr>
                <w:rFonts w:ascii="Garamond" w:hAnsi="Garamond"/>
                <w:sz w:val="22"/>
                <w:szCs w:val="22"/>
              </w:rPr>
            </w:pPr>
            <w:r>
              <w:rPr>
                <w:rFonts w:ascii="Garamond" w:hAnsi="Garamond"/>
                <w:sz w:val="22"/>
              </w:rPr>
              <w:t>Proprietăți reflectorizante care produc luciu metalic distinctiv,</w:t>
            </w:r>
          </w:p>
        </w:tc>
      </w:tr>
      <w:tr w:rsidR="00C74C42" w:rsidRPr="00B009F8" w:rsidTr="00276E85">
        <w:tc>
          <w:tcPr>
            <w:tcW w:w="10206" w:type="dxa"/>
          </w:tcPr>
          <w:p w:rsidR="00C74C42" w:rsidRPr="00B009F8" w:rsidRDefault="00C74C42" w:rsidP="00A47389">
            <w:pPr>
              <w:pStyle w:val="ListParagraph"/>
              <w:numPr>
                <w:ilvl w:val="0"/>
                <w:numId w:val="1"/>
              </w:numPr>
              <w:jc w:val="both"/>
              <w:rPr>
                <w:rFonts w:ascii="Garamond" w:hAnsi="Garamond"/>
                <w:sz w:val="22"/>
                <w:szCs w:val="22"/>
              </w:rPr>
            </w:pPr>
            <w:r>
              <w:rPr>
                <w:rFonts w:ascii="Garamond" w:hAnsi="Garamond"/>
                <w:sz w:val="22"/>
              </w:rPr>
              <w:t>Conductibilitate electrică,</w:t>
            </w:r>
          </w:p>
        </w:tc>
      </w:tr>
      <w:tr w:rsidR="00C74C42" w:rsidRPr="00B009F8" w:rsidTr="00276E85">
        <w:tc>
          <w:tcPr>
            <w:tcW w:w="10206" w:type="dxa"/>
          </w:tcPr>
          <w:p w:rsidR="00C74C42" w:rsidRPr="00B009F8" w:rsidRDefault="00C74C42" w:rsidP="00A47389">
            <w:pPr>
              <w:pStyle w:val="ListParagraph"/>
              <w:numPr>
                <w:ilvl w:val="0"/>
                <w:numId w:val="1"/>
              </w:numPr>
              <w:jc w:val="both"/>
              <w:rPr>
                <w:rFonts w:ascii="Garamond" w:hAnsi="Garamond"/>
                <w:sz w:val="22"/>
                <w:szCs w:val="22"/>
              </w:rPr>
            </w:pPr>
            <w:r>
              <w:rPr>
                <w:rFonts w:ascii="Garamond" w:hAnsi="Garamond"/>
                <w:sz w:val="22"/>
              </w:rPr>
              <w:t>Conductibilitate termică,</w:t>
            </w:r>
          </w:p>
        </w:tc>
      </w:tr>
      <w:tr w:rsidR="00C74C42" w:rsidRPr="00B009F8" w:rsidTr="00276E85">
        <w:tc>
          <w:tcPr>
            <w:tcW w:w="10206" w:type="dxa"/>
          </w:tcPr>
          <w:p w:rsidR="00C74C42" w:rsidRPr="00B009F8" w:rsidRDefault="00C74C42" w:rsidP="00A47389">
            <w:pPr>
              <w:pStyle w:val="ListParagraph"/>
              <w:numPr>
                <w:ilvl w:val="0"/>
                <w:numId w:val="3"/>
              </w:numPr>
              <w:jc w:val="both"/>
              <w:rPr>
                <w:rFonts w:ascii="Garamond" w:hAnsi="Garamond"/>
                <w:sz w:val="22"/>
                <w:szCs w:val="22"/>
              </w:rPr>
            </w:pPr>
            <w:r>
              <w:rPr>
                <w:rFonts w:ascii="Garamond" w:hAnsi="Garamond"/>
                <w:sz w:val="22"/>
              </w:rPr>
              <w:t>Proprietăți mecanice precum fermitatea și deformabilitatea.</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Metalele corespund unei categorii de materiale a căror coeziune, la nivel atomic, este asigurată prin legături metalice. Acestea pot fi considerate echivalente cu o structură de ioni metalici pozitivi care formează laturi cristaline mari în care electronii de valență sunt partajați de întreaga structură.</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(2) aliaje: un aliaj este un metal omogen macroscopic format din două sau mai multe elemente chimice legate astfel încât acestea nu pot fi imediat separate mecanic.</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(3) eliberare: eliberarea este definită în decretul regal ca fiind transferul neintenționat de ioni metalici către produsele alimentare de la materialele sau obiectele fabricate din metale sau aliaje.</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(4) limită specifică de eliberare: cantitatea maximă de ion metalic specific sau metaloid (în mg) pe care un material sau obiect o poate elibera către o cantitate de produse alimentare sau simulanți alimentari (în kg).</w:t>
            </w:r>
          </w:p>
        </w:tc>
      </w:tr>
      <w:tr w:rsidR="00C74C42" w:rsidRPr="00B009F8" w:rsidTr="00276E85">
        <w:tc>
          <w:tcPr>
            <w:tcW w:w="10206" w:type="dxa"/>
          </w:tcPr>
          <w:p w:rsidR="00C74C42" w:rsidRPr="00B009F8" w:rsidRDefault="00C74C42" w:rsidP="00A47389">
            <w:pPr>
              <w:jc w:val="both"/>
              <w:rPr>
                <w:rFonts w:ascii="Garamond" w:hAnsi="Garamond"/>
                <w:color w:val="0000FF"/>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b/>
                <w:sz w:val="22"/>
                <w:szCs w:val="22"/>
              </w:rPr>
            </w:pPr>
            <w:r>
              <w:rPr>
                <w:rFonts w:ascii="Garamond" w:hAnsi="Garamond"/>
                <w:b/>
                <w:sz w:val="22"/>
              </w:rPr>
              <w:t>Articolul 3 Dispoziție generală</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Materialele și obiectele din metal și aliaj destinate să intre în contact cu produsele alimentare trebuie să fi fost produse în conformitate cu:</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 Regulamentul (CE) nr. 1935/2004 al Comisiei din 27 octombrie 2004 privind materialele și obiectele destinate să vină în contact cu produsele alimentare,</w:t>
            </w:r>
          </w:p>
        </w:tc>
      </w:tr>
      <w:tr w:rsidR="00C74C42" w:rsidRPr="00B009F8" w:rsidTr="00276E85">
        <w:tc>
          <w:tcPr>
            <w:tcW w:w="10206" w:type="dxa"/>
          </w:tcPr>
          <w:p w:rsidR="00C74C42" w:rsidRPr="00B009F8" w:rsidRDefault="00C74C42" w:rsidP="00583446">
            <w:pPr>
              <w:jc w:val="both"/>
              <w:rPr>
                <w:rFonts w:ascii="Garamond" w:hAnsi="Garamond"/>
                <w:sz w:val="22"/>
                <w:szCs w:val="22"/>
              </w:rPr>
            </w:pPr>
            <w:r>
              <w:rPr>
                <w:rFonts w:ascii="Garamond" w:hAnsi="Garamond"/>
                <w:sz w:val="22"/>
              </w:rPr>
              <w:t>- Regulamentul (CE) nr. 2023/2006 al Comisiei din 22 decembrie 2006 privind buna practică de fabricație a materialelor și a obiectelor destinate să vină în contact cu produsele alimentare,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 Decretul regal din 11 mai 1992 privind mineralele și articolele destinate să vină în contact cu produsele alimentare.</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b/>
                <w:sz w:val="22"/>
                <w:szCs w:val="22"/>
              </w:rPr>
            </w:pPr>
            <w:r>
              <w:rPr>
                <w:rFonts w:ascii="Garamond" w:hAnsi="Garamond"/>
                <w:b/>
                <w:sz w:val="22"/>
              </w:rPr>
              <w:t>Articolul 4 Limita specifică de eliberare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Materialele și obiectele menționate la articolul 1 trebuie să respecte limitele specifice de eliberare prevăzute la capitolul 1 în anexă.</w:t>
            </w:r>
          </w:p>
        </w:tc>
      </w:tr>
      <w:tr w:rsidR="00C74C42" w:rsidRPr="00B009F8" w:rsidTr="00276E85">
        <w:tc>
          <w:tcPr>
            <w:tcW w:w="10206" w:type="dxa"/>
          </w:tcPr>
          <w:p w:rsidR="00C74C42" w:rsidRPr="00B009F8" w:rsidRDefault="00C74C42" w:rsidP="00A47389">
            <w:pPr>
              <w:autoSpaceDE w:val="0"/>
              <w:autoSpaceDN w:val="0"/>
              <w:adjustRightInd w:val="0"/>
              <w:jc w:val="both"/>
              <w:rPr>
                <w:rFonts w:ascii="Garamond" w:hAnsi="Garamond"/>
                <w:sz w:val="22"/>
                <w:szCs w:val="22"/>
              </w:rPr>
            </w:pPr>
            <w:r>
              <w:rPr>
                <w:rFonts w:ascii="Garamond" w:hAnsi="Garamond"/>
                <w:sz w:val="22"/>
              </w:rPr>
              <w:t xml:space="preserve">Substanțele în formă </w:t>
            </w:r>
            <w:proofErr w:type="spellStart"/>
            <w:r>
              <w:rPr>
                <w:rFonts w:ascii="Garamond" w:hAnsi="Garamond"/>
                <w:sz w:val="22"/>
              </w:rPr>
              <w:t>nano</w:t>
            </w:r>
            <w:proofErr w:type="spellEnd"/>
            <w:r>
              <w:rPr>
                <w:rFonts w:ascii="Garamond" w:hAnsi="Garamond"/>
                <w:sz w:val="22"/>
              </w:rPr>
              <w:t xml:space="preserve"> trebuie să fie întotdeauna evaluate individual în ceea ce privește caracteristicile lor, utilizările intenționate și nivelurile de expunere în cazul eliberării în produsele alimentare.</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keepNext/>
              <w:keepLines/>
              <w:autoSpaceDE w:val="0"/>
              <w:autoSpaceDN w:val="0"/>
              <w:adjustRightInd w:val="0"/>
              <w:jc w:val="both"/>
              <w:rPr>
                <w:rFonts w:ascii="Garamond" w:hAnsi="Garamond"/>
                <w:b/>
                <w:sz w:val="22"/>
                <w:szCs w:val="22"/>
              </w:rPr>
            </w:pPr>
            <w:r>
              <w:rPr>
                <w:rFonts w:ascii="Garamond" w:hAnsi="Garamond"/>
                <w:b/>
                <w:sz w:val="22"/>
              </w:rPr>
              <w:t>Articolul 5 Respectarea limitei specifice de eliberare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(1) Conformitatea materialelor și obiectelor finisate este verificată prin efectuarea de teste privind eliberarea și/sau metode de screening.</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Aceste teste și metode de screening sunt efectuate în conformitate cu metodele definite la nivel național sau European pentru materialele și articolele din metal și/sau aliaj destinate să intre în contact cu produsele alimentare.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Testele privind eliberarea de materiale și obiecte în produsele alimentare trebuie efectuate în baza celor mai nefavorabile circumstanțe preconizate în mod rezonabil.</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Rezultatele testelor obținute pentru eliberarea specifică în produsele alimentare au întâietate asupra rezultatelor testelor obținute în cazul simulanților alimentari. Rezultatele testelor privind eliberarea specifică în simulanții alimentari au întâietate asupra rezultatelor obținute prin metode de screening.</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(2) Pentru a evalua conformitatea, valorile specifice privind eliberarea pentru un produs finit sunt exprimate în mg/kg pe baza raportului efectiv suprafață-volum sau în timpul utilizării efective sau preconizate.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lastRenderedPageBreak/>
              <w:t xml:space="preserve">Fără a se aduce atingere alineatului (2) nivelul migrației pentru folii, filme și suprafețe plate care nu intră încă în contact cu produsele alimentare este exprimat în mg/kg în baza unui raport suprafață-volum de 6 </w:t>
            </w:r>
            <w:proofErr w:type="spellStart"/>
            <w:r>
              <w:rPr>
                <w:rFonts w:ascii="Garamond" w:hAnsi="Garamond"/>
                <w:sz w:val="22"/>
              </w:rPr>
              <w:t>dm2</w:t>
            </w:r>
            <w:proofErr w:type="spellEnd"/>
            <w:r>
              <w:rPr>
                <w:rFonts w:ascii="Garamond" w:hAnsi="Garamond"/>
                <w:sz w:val="22"/>
              </w:rPr>
              <w:t xml:space="preserve"> per kg de produse alimentare.</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sz w:val="22"/>
                <w:szCs w:val="22"/>
              </w:rPr>
            </w:pPr>
            <w:r>
              <w:rPr>
                <w:rFonts w:ascii="Garamond" w:hAnsi="Garamond"/>
                <w:b/>
                <w:sz w:val="22"/>
              </w:rPr>
              <w:t>Articolul 6 Declarația privind conformitatea</w:t>
            </w:r>
          </w:p>
        </w:tc>
      </w:tr>
      <w:tr w:rsidR="00C74C42" w:rsidRPr="00B009F8" w:rsidTr="00276E85">
        <w:tc>
          <w:tcPr>
            <w:tcW w:w="10206" w:type="dxa"/>
          </w:tcPr>
          <w:p w:rsidR="00C74C42" w:rsidRPr="00B009F8" w:rsidRDefault="00C74C42" w:rsidP="00A47389">
            <w:pPr>
              <w:jc w:val="both"/>
              <w:rPr>
                <w:rFonts w:ascii="Garamond" w:hAnsi="Garamond"/>
                <w:sz w:val="22"/>
                <w:szCs w:val="22"/>
                <w:highlight w:val="magenta"/>
              </w:rPr>
            </w:pPr>
            <w:r>
              <w:rPr>
                <w:rFonts w:ascii="Garamond" w:hAnsi="Garamond"/>
                <w:sz w:val="22"/>
              </w:rPr>
              <w:t>(1) Contrar articolului 9 alineatul (5) din Decretul regal din 11 mai 1992 privind mineralele și obiectele destinate să intre în contact cu produsele alimentare, se utilizează formularul declarație de conformitate din anexa la capitolul 2 din decretul regal.</w:t>
            </w:r>
          </w:p>
        </w:tc>
      </w:tr>
      <w:tr w:rsidR="00C74C42" w:rsidRPr="00B009F8" w:rsidTr="00276E85">
        <w:tc>
          <w:tcPr>
            <w:tcW w:w="10206" w:type="dxa"/>
          </w:tcPr>
          <w:p w:rsidR="00C74C42" w:rsidRPr="00B009F8" w:rsidRDefault="00C74C42" w:rsidP="00A47389">
            <w:pPr>
              <w:jc w:val="both"/>
              <w:rPr>
                <w:rFonts w:ascii="Garamond" w:hAnsi="Garamond"/>
                <w:sz w:val="22"/>
                <w:szCs w:val="22"/>
                <w:highlight w:val="magenta"/>
              </w:rPr>
            </w:pPr>
          </w:p>
        </w:tc>
      </w:tr>
      <w:tr w:rsidR="00C74C42" w:rsidRPr="00B009F8" w:rsidTr="00276E85">
        <w:tc>
          <w:tcPr>
            <w:tcW w:w="10206" w:type="dxa"/>
          </w:tcPr>
          <w:p w:rsidR="00C74C42" w:rsidRPr="00B009F8" w:rsidRDefault="00C74C42" w:rsidP="00A47389">
            <w:pPr>
              <w:jc w:val="both"/>
              <w:rPr>
                <w:rFonts w:ascii="Garamond" w:hAnsi="Garamond"/>
                <w:sz w:val="22"/>
                <w:szCs w:val="22"/>
                <w:highlight w:val="magenta"/>
              </w:rPr>
            </w:pPr>
            <w:r>
              <w:rPr>
                <w:rFonts w:ascii="Garamond" w:hAnsi="Garamond"/>
                <w:sz w:val="22"/>
              </w:rPr>
              <w:t>(2) Contrar alineatului (1), se completează cel puțin punctele 1, 2, 3 și 5 din declarația de conformitate din anexa la capitolul 2 din decretul regal pentru toate produsele care nu sunt încă considerate produse finite.</w:t>
            </w:r>
          </w:p>
        </w:tc>
      </w:tr>
      <w:tr w:rsidR="00C74C42" w:rsidRPr="00B009F8" w:rsidTr="00276E85">
        <w:tc>
          <w:tcPr>
            <w:tcW w:w="10206" w:type="dxa"/>
          </w:tcPr>
          <w:p w:rsidR="00C74C42" w:rsidRPr="00B009F8" w:rsidRDefault="00C74C42" w:rsidP="00A47389">
            <w:pPr>
              <w:jc w:val="both"/>
              <w:rPr>
                <w:rFonts w:ascii="Garamond" w:hAnsi="Garamond"/>
                <w:b/>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sz w:val="22"/>
                <w:szCs w:val="22"/>
              </w:rPr>
            </w:pPr>
            <w:r>
              <w:rPr>
                <w:rFonts w:ascii="Garamond" w:hAnsi="Garamond"/>
                <w:b/>
                <w:sz w:val="22"/>
              </w:rPr>
              <w:t xml:space="preserve">Articolul 7 Recunoașterea reciprocă </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Dispozițiile din prezentul decret, cu excepția articolului 6, nu se aplică în cazul produselor fabricate și/sau introduse în mod legal pe piață în alte state membre ale Uniunii Europene sau în Turcia sau în cazul produselor fabricate în mod legal într-un stat membru al Asociației Europene a Liberului Schimb semnatar al Acordului privind Spațiul Economic European, cu excepția cazului în care principiul recunoașterii reciproce nu poate fi aplicat în conformitate cu articolele 34-36 din Tratatul privind funcționarea Uniunii Europene.</w:t>
            </w:r>
          </w:p>
        </w:tc>
      </w:tr>
      <w:tr w:rsidR="00C74C42" w:rsidRPr="00B009F8" w:rsidTr="00276E85">
        <w:tc>
          <w:tcPr>
            <w:tcW w:w="10206" w:type="dxa"/>
          </w:tcPr>
          <w:p w:rsidR="00C74C42" w:rsidRPr="00B009F8" w:rsidRDefault="00C74C42" w:rsidP="00A47389">
            <w:pPr>
              <w:jc w:val="both"/>
              <w:rPr>
                <w:rFonts w:ascii="Garamond" w:hAnsi="Garamond"/>
                <w:b/>
                <w:bCs/>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b/>
                <w:bCs/>
                <w:sz w:val="22"/>
                <w:szCs w:val="22"/>
              </w:rPr>
            </w:pPr>
            <w:r>
              <w:rPr>
                <w:rFonts w:ascii="Garamond" w:hAnsi="Garamond"/>
                <w:b/>
                <w:sz w:val="22"/>
              </w:rPr>
              <w:t>Articolul 8 Încălcări</w:t>
            </w:r>
          </w:p>
        </w:tc>
      </w:tr>
      <w:tr w:rsidR="00C74C42" w:rsidRPr="00B009F8" w:rsidTr="00276E85">
        <w:tc>
          <w:tcPr>
            <w:tcW w:w="10206" w:type="dxa"/>
          </w:tcPr>
          <w:p w:rsidR="00C74C42" w:rsidRPr="00B009F8" w:rsidRDefault="00C74C42" w:rsidP="00A47389">
            <w:pPr>
              <w:jc w:val="both"/>
              <w:rPr>
                <w:rFonts w:ascii="Garamond" w:hAnsi="Garamond"/>
                <w:b/>
                <w:bCs/>
                <w:sz w:val="22"/>
                <w:szCs w:val="22"/>
              </w:rPr>
            </w:pPr>
            <w:r>
              <w:rPr>
                <w:rFonts w:ascii="Garamond" w:hAnsi="Garamond"/>
                <w:sz w:val="22"/>
              </w:rPr>
              <w:t>Încălcarea dispozițiilor prezentului decret este investigată și stabilită în conformitate cu dispozițiile Decretului regal din 22 februarie 2001 privind organizarea inspecțiilor efectuate de Agenția Federală pentru Siguranța Lanțului alimentar și de modificare a diferitelor dispoziții legale.</w:t>
            </w:r>
          </w:p>
        </w:tc>
      </w:tr>
      <w:tr w:rsidR="00C74C42" w:rsidRPr="00B009F8" w:rsidTr="00276E85">
        <w:tc>
          <w:tcPr>
            <w:tcW w:w="10206" w:type="dxa"/>
          </w:tcPr>
          <w:p w:rsidR="00C74C42" w:rsidRPr="00B009F8" w:rsidRDefault="00C74C42" w:rsidP="00A47389">
            <w:pPr>
              <w:jc w:val="both"/>
              <w:rPr>
                <w:rFonts w:ascii="Garamond" w:hAnsi="Garamond"/>
                <w:color w:val="0070C0"/>
                <w:sz w:val="22"/>
                <w:szCs w:val="22"/>
              </w:rPr>
            </w:pPr>
            <w:r>
              <w:rPr>
                <w:rFonts w:ascii="Garamond" w:hAnsi="Garamond"/>
                <w:sz w:val="22"/>
              </w:rPr>
              <w:t>Încălcările dispozițiilor prezentului decret se pedepsesc în conformitate cu Legea din 24 ianuarie 1977 privind protecția sănătății consumatorilor în ceea ce privește produsele alimentare și alte produse.</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sz w:val="22"/>
                <w:szCs w:val="22"/>
                <w:highlight w:val="red"/>
              </w:rPr>
            </w:pPr>
            <w:r>
              <w:rPr>
                <w:rFonts w:ascii="Garamond" w:hAnsi="Garamond"/>
                <w:b/>
                <w:sz w:val="22"/>
              </w:rPr>
              <w:t>Articolul 9 Miniștri responsabili</w:t>
            </w:r>
          </w:p>
        </w:tc>
      </w:tr>
      <w:tr w:rsidR="00C74C42" w:rsidRPr="00B009F8" w:rsidTr="00276E85">
        <w:tc>
          <w:tcPr>
            <w:tcW w:w="10206" w:type="dxa"/>
          </w:tcPr>
          <w:p w:rsidR="00C74C42" w:rsidRPr="00B009F8" w:rsidRDefault="00C74C42" w:rsidP="00A47389">
            <w:pPr>
              <w:jc w:val="both"/>
              <w:rPr>
                <w:rFonts w:ascii="Garamond" w:hAnsi="Garamond"/>
                <w:sz w:val="22"/>
                <w:szCs w:val="22"/>
                <w:highlight w:val="red"/>
              </w:rPr>
            </w:pPr>
            <w:r>
              <w:rPr>
                <w:rFonts w:ascii="Garamond" w:hAnsi="Garamond"/>
                <w:sz w:val="22"/>
              </w:rPr>
              <w:t>Ministrul sănătății publice și ministrul agriculturii sunt responsabili pentru punerea în aplicare a prezentului decret, fiecare în propriul său domeniu de competență.</w:t>
            </w:r>
          </w:p>
        </w:tc>
      </w:tr>
      <w:tr w:rsidR="00C74C42" w:rsidRPr="00B009F8" w:rsidTr="00276E85">
        <w:tc>
          <w:tcPr>
            <w:tcW w:w="10206" w:type="dxa"/>
          </w:tcPr>
          <w:p w:rsidR="00C74C42" w:rsidRPr="00B009F8" w:rsidRDefault="00C74C42" w:rsidP="00276E85">
            <w:pPr>
              <w:jc w:val="both"/>
              <w:rPr>
                <w:rFonts w:ascii="Garamond" w:hAnsi="Garamond"/>
                <w:sz w:val="22"/>
                <w:szCs w:val="22"/>
                <w:highlight w:val="red"/>
              </w:rPr>
            </w:pPr>
          </w:p>
        </w:tc>
      </w:tr>
      <w:tr w:rsidR="00C74C42" w:rsidRPr="00B009F8" w:rsidTr="00276E85">
        <w:tc>
          <w:tcPr>
            <w:tcW w:w="10206" w:type="dxa"/>
          </w:tcPr>
          <w:p w:rsidR="00C74C42" w:rsidRPr="00B009F8" w:rsidRDefault="00C74C42" w:rsidP="00276E85">
            <w:pPr>
              <w:jc w:val="both"/>
              <w:rPr>
                <w:rFonts w:ascii="Garamond" w:hAnsi="Garamond"/>
                <w:sz w:val="22"/>
                <w:szCs w:val="22"/>
              </w:rPr>
            </w:pPr>
            <w:r>
              <w:rPr>
                <w:rFonts w:ascii="Garamond" w:hAnsi="Garamond"/>
                <w:sz w:val="22"/>
              </w:rPr>
              <w:t xml:space="preserve">                                ,                              .</w:t>
            </w:r>
          </w:p>
        </w:tc>
      </w:tr>
      <w:tr w:rsidR="00C74C42" w:rsidRPr="00B009F8" w:rsidTr="00276E85">
        <w:tc>
          <w:tcPr>
            <w:tcW w:w="10206" w:type="dxa"/>
          </w:tcPr>
          <w:p w:rsidR="00C74C42" w:rsidRPr="00B009F8" w:rsidRDefault="00C74C42" w:rsidP="00276E85">
            <w:pPr>
              <w:jc w:val="both"/>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În numele Majestății Sale:</w:t>
            </w:r>
          </w:p>
        </w:tc>
      </w:tr>
      <w:tr w:rsidR="00C74C42" w:rsidRPr="00B009F8" w:rsidTr="00276E85">
        <w:tc>
          <w:tcPr>
            <w:tcW w:w="10206" w:type="dxa"/>
          </w:tcPr>
          <w:p w:rsidR="00C74C42" w:rsidRPr="00B009F8" w:rsidRDefault="00C74C42" w:rsidP="00276E85">
            <w:pPr>
              <w:jc w:val="both"/>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Ministrul sănătății publice,</w:t>
            </w: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M. DE BLOCK</w:t>
            </w: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Ministrul Agriculturii,</w:t>
            </w: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 xml:space="preserve">D. </w:t>
            </w:r>
            <w:proofErr w:type="spellStart"/>
            <w:r>
              <w:rPr>
                <w:rFonts w:ascii="Garamond" w:hAnsi="Garamond"/>
                <w:sz w:val="22"/>
              </w:rPr>
              <w:t>DUCARME</w:t>
            </w:r>
            <w:proofErr w:type="spellEnd"/>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bl>
    <w:p w:rsidR="00C74C42" w:rsidRPr="00B009F8" w:rsidRDefault="00C74C42" w:rsidP="00F85383">
      <w:pPr>
        <w:pStyle w:val="Heading3"/>
        <w:keepLines/>
        <w:autoSpaceDE w:val="0"/>
        <w:autoSpaceDN w:val="0"/>
        <w:adjustRightInd w:val="0"/>
        <w:rPr>
          <w:rFonts w:ascii="Garamond" w:hAnsi="Garamond"/>
          <w:sz w:val="22"/>
          <w:szCs w:val="22"/>
        </w:rPr>
      </w:pPr>
      <w:r>
        <w:rPr>
          <w:rFonts w:ascii="Garamond" w:hAnsi="Garamond"/>
          <w:sz w:val="22"/>
        </w:rPr>
        <w:lastRenderedPageBreak/>
        <w:t>ANEXA la Decretul regal privind materialele și obiectele din metal și aliaj destinate să vină în contact cu produsele alimentare</w:t>
      </w:r>
    </w:p>
    <w:p w:rsidR="00C74C42" w:rsidRPr="00617213" w:rsidRDefault="00C74C42" w:rsidP="00F85383">
      <w:pPr>
        <w:keepNext/>
        <w:keepLines/>
        <w:autoSpaceDE w:val="0"/>
        <w:autoSpaceDN w:val="0"/>
        <w:adjustRightInd w:val="0"/>
        <w:rPr>
          <w:rFonts w:ascii="Garamond" w:hAnsi="Garamond"/>
          <w:bCs/>
          <w:smallCaps/>
          <w:sz w:val="22"/>
          <w:szCs w:val="22"/>
        </w:rPr>
      </w:pPr>
    </w:p>
    <w:p w:rsidR="00C74C42" w:rsidRPr="00617213" w:rsidRDefault="00C74C42" w:rsidP="00A47389">
      <w:pPr>
        <w:pStyle w:val="BodyText"/>
        <w:keepNext/>
        <w:keepLines/>
        <w:autoSpaceDE/>
        <w:autoSpaceDN/>
        <w:adjustRightInd/>
        <w:jc w:val="both"/>
        <w:rPr>
          <w:rFonts w:ascii="Garamond" w:hAnsi="Garamond"/>
          <w:bCs/>
          <w:smallCaps/>
          <w:sz w:val="22"/>
          <w:szCs w:val="22"/>
        </w:rPr>
      </w:pPr>
      <w:r>
        <w:rPr>
          <w:rFonts w:ascii="Garamond" w:hAnsi="Garamond"/>
          <w:smallCaps/>
          <w:sz w:val="22"/>
        </w:rPr>
        <w:t>Capitolul 1: Limită specifică de eliberare</w:t>
      </w:r>
    </w:p>
    <w:p w:rsidR="00C74C42" w:rsidRPr="00B009F8" w:rsidRDefault="00C74C42" w:rsidP="00A47389">
      <w:pPr>
        <w:pStyle w:val="BodyText"/>
        <w:keepNext/>
        <w:keepLines/>
        <w:autoSpaceDE/>
        <w:autoSpaceDN/>
        <w:adjustRightInd/>
        <w:jc w:val="both"/>
        <w:rPr>
          <w:rFonts w:ascii="Garamond" w:hAnsi="Garamond"/>
          <w:smallCaps/>
          <w:sz w:val="22"/>
          <w:szCs w:val="22"/>
        </w:rPr>
      </w:pPr>
    </w:p>
    <w:p w:rsidR="00C74C42" w:rsidRPr="00B009F8" w:rsidRDefault="00C74C42" w:rsidP="00A47389">
      <w:pPr>
        <w:pStyle w:val="BodyText"/>
        <w:keepNext/>
        <w:keepLines/>
        <w:autoSpaceDE/>
        <w:autoSpaceDN/>
        <w:adjustRightInd/>
        <w:jc w:val="both"/>
        <w:rPr>
          <w:rFonts w:ascii="Garamond" w:hAnsi="Garamond"/>
          <w:sz w:val="22"/>
          <w:szCs w:val="22"/>
        </w:rPr>
      </w:pPr>
      <w:r>
        <w:rPr>
          <w:rFonts w:ascii="Garamond" w:hAnsi="Garamond"/>
          <w:sz w:val="22"/>
        </w:rPr>
        <w:t>Tabelul 1: Limită specifică de eliberare aplicabilă substanțelor constitutive ale metalului și aliajului</w:t>
      </w:r>
    </w:p>
    <w:p w:rsidR="00C74C42" w:rsidRPr="00B009F8" w:rsidRDefault="00C74C42" w:rsidP="00F85383">
      <w:pPr>
        <w:pStyle w:val="BodyText"/>
        <w:keepNext/>
        <w:keepLines/>
        <w:autoSpaceDE/>
        <w:autoSpaceDN/>
        <w:adjustRightInd/>
        <w:rPr>
          <w:rFonts w:ascii="Garamond" w:hAnsi="Garamond"/>
          <w:sz w:val="22"/>
          <w:szCs w:val="22"/>
        </w:rPr>
      </w:pPr>
    </w:p>
    <w:tbl>
      <w:tblPr>
        <w:tblStyle w:val="TableGrid"/>
        <w:tblW w:w="0" w:type="auto"/>
        <w:tblLook w:val="04A0" w:firstRow="1" w:lastRow="0" w:firstColumn="1" w:lastColumn="0" w:noHBand="0" w:noVBand="1"/>
      </w:tblPr>
      <w:tblGrid>
        <w:gridCol w:w="3111"/>
        <w:gridCol w:w="3119"/>
        <w:gridCol w:w="3120"/>
      </w:tblGrid>
      <w:tr w:rsidR="00C74C42" w:rsidRPr="00B009F8" w:rsidTr="00F85383">
        <w:trPr>
          <w:cantSplit/>
        </w:trPr>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Simbolul</w:t>
            </w:r>
          </w:p>
        </w:tc>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Denumirea</w:t>
            </w:r>
          </w:p>
        </w:tc>
        <w:tc>
          <w:tcPr>
            <w:tcW w:w="3210"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Limită specifică de eliberare (mg/kg de produse alimentare)</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Al</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Aluminiu</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5</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Sb</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Antimoniu</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0,04</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Ag</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Argint</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0,08</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Cr</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Crom</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0,250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Co</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Cobalt</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Cu</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Cupru</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4</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Sn*</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Staniu</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100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Fe</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Fier</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40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Mg</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Magneziu</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Mn</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Mangan</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1,8</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Mo</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Molibden</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0,12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Ni</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Nichel</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0,14</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Ti</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Titan</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V</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Vanadiu</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0,01</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Zn</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Zinc</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5</w:t>
            </w:r>
          </w:p>
        </w:tc>
      </w:tr>
    </w:tbl>
    <w:p w:rsidR="00C74C42" w:rsidRPr="00B009F8" w:rsidRDefault="00C74C42" w:rsidP="00A47389">
      <w:pPr>
        <w:pStyle w:val="BodyText"/>
        <w:autoSpaceDE/>
        <w:autoSpaceDN/>
        <w:adjustRightInd/>
        <w:jc w:val="both"/>
        <w:rPr>
          <w:rFonts w:ascii="Garamond" w:hAnsi="Garamond"/>
          <w:sz w:val="22"/>
          <w:szCs w:val="22"/>
        </w:rPr>
      </w:pPr>
      <w:r>
        <w:rPr>
          <w:rFonts w:ascii="Garamond" w:hAnsi="Garamond"/>
          <w:sz w:val="22"/>
        </w:rPr>
        <w:t xml:space="preserve">* Exceptând substanțele care intră în domeniul de aplicare al Regulamentului (UE) nr. 1881/2006 </w:t>
      </w:r>
    </w:p>
    <w:p w:rsidR="00C74C42" w:rsidRPr="00B009F8" w:rsidRDefault="00C74C42" w:rsidP="00A47389">
      <w:pPr>
        <w:jc w:val="both"/>
        <w:rPr>
          <w:rFonts w:ascii="Garamond" w:hAnsi="Garamond"/>
          <w:sz w:val="22"/>
          <w:szCs w:val="22"/>
        </w:rPr>
      </w:pPr>
    </w:p>
    <w:p w:rsidR="00C74C42" w:rsidRPr="00B009F8" w:rsidRDefault="00C74C42" w:rsidP="00A47389">
      <w:pPr>
        <w:pStyle w:val="BodyText"/>
        <w:keepNext/>
        <w:keepLines/>
        <w:autoSpaceDE/>
        <w:autoSpaceDN/>
        <w:adjustRightInd/>
        <w:jc w:val="both"/>
        <w:rPr>
          <w:rFonts w:ascii="Garamond" w:hAnsi="Garamond"/>
          <w:sz w:val="22"/>
          <w:szCs w:val="22"/>
        </w:rPr>
      </w:pPr>
      <w:r>
        <w:rPr>
          <w:rFonts w:ascii="Garamond" w:hAnsi="Garamond"/>
          <w:sz w:val="22"/>
        </w:rPr>
        <w:t>Tabelul 2: Limita specifică de eliberare aplicabilă metalelor sub formă de contaminanți și impurități.</w:t>
      </w:r>
    </w:p>
    <w:p w:rsidR="00C74C42" w:rsidRPr="00B009F8" w:rsidRDefault="00C74C42" w:rsidP="00F85383">
      <w:pPr>
        <w:pStyle w:val="BodyText"/>
        <w:keepNext/>
        <w:keepLines/>
        <w:autoSpaceDE/>
        <w:autoSpaceDN/>
        <w:adjustRightInd/>
        <w:rPr>
          <w:rFonts w:ascii="Garamond" w:hAnsi="Garamond"/>
          <w:sz w:val="22"/>
          <w:szCs w:val="22"/>
        </w:rPr>
      </w:pPr>
    </w:p>
    <w:tbl>
      <w:tblPr>
        <w:tblStyle w:val="TableGrid"/>
        <w:tblW w:w="0" w:type="auto"/>
        <w:tblLook w:val="04A0" w:firstRow="1" w:lastRow="0" w:firstColumn="1" w:lastColumn="0" w:noHBand="0" w:noVBand="1"/>
      </w:tblPr>
      <w:tblGrid>
        <w:gridCol w:w="3111"/>
        <w:gridCol w:w="3119"/>
        <w:gridCol w:w="3120"/>
      </w:tblGrid>
      <w:tr w:rsidR="00C74C42" w:rsidRPr="00B009F8" w:rsidTr="00F85383">
        <w:trPr>
          <w:cantSplit/>
        </w:trPr>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Simbolul</w:t>
            </w:r>
          </w:p>
        </w:tc>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Denumirea</w:t>
            </w:r>
          </w:p>
        </w:tc>
        <w:tc>
          <w:tcPr>
            <w:tcW w:w="3210"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Limită specifică de eliberare (mg/kg de produse alimentare)</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As</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Arsenic</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0,002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Ba</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Bariu</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1,2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Be</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Beriliu</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0,01</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Cd</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 xml:space="preserve">Cadmiu </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0,005</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Li</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Litiu</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0,048</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Hg</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Mercur</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0,003</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Pb</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Plumb</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0,010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Tl</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Taliu</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0,0001</w:t>
            </w:r>
          </w:p>
        </w:tc>
      </w:tr>
    </w:tbl>
    <w:p w:rsidR="00C74C42" w:rsidRPr="00B009F8" w:rsidRDefault="00C74C42" w:rsidP="00276E85">
      <w:pPr>
        <w:pStyle w:val="BodyText"/>
        <w:autoSpaceDE/>
        <w:autoSpaceDN/>
        <w:adjustRightInd/>
        <w:rPr>
          <w:rFonts w:ascii="Garamond" w:hAnsi="Garamond"/>
          <w:sz w:val="22"/>
          <w:szCs w:val="22"/>
        </w:rPr>
      </w:pPr>
    </w:p>
    <w:p w:rsidR="00C74C42" w:rsidRPr="00B009F8" w:rsidRDefault="00C74C42" w:rsidP="00276E85">
      <w:pPr>
        <w:pStyle w:val="BodyText"/>
        <w:autoSpaceDE/>
        <w:autoSpaceDN/>
        <w:adjustRightInd/>
        <w:rPr>
          <w:rFonts w:ascii="Garamond" w:hAnsi="Garamond"/>
          <w:sz w:val="22"/>
          <w:szCs w:val="22"/>
        </w:rPr>
      </w:pPr>
    </w:p>
    <w:p w:rsidR="00C74C42" w:rsidRPr="00B009F8" w:rsidRDefault="00C74C42" w:rsidP="00A47389">
      <w:pPr>
        <w:keepNext/>
        <w:keepLines/>
        <w:jc w:val="both"/>
        <w:rPr>
          <w:rFonts w:ascii="Garamond" w:hAnsi="Garamond"/>
          <w:smallCaps/>
          <w:sz w:val="22"/>
          <w:szCs w:val="22"/>
        </w:rPr>
      </w:pPr>
      <w:r>
        <w:rPr>
          <w:rFonts w:ascii="Garamond" w:hAnsi="Garamond"/>
          <w:smallCaps/>
          <w:sz w:val="22"/>
        </w:rPr>
        <w:t>Capitolul 2: Informații care trebuie incluse în declarația de conformitate.</w:t>
      </w:r>
    </w:p>
    <w:p w:rsidR="00C74C42" w:rsidRPr="00B009F8" w:rsidRDefault="00C74C42" w:rsidP="00A47389">
      <w:pPr>
        <w:keepNext/>
        <w:keepLines/>
        <w:autoSpaceDE w:val="0"/>
        <w:autoSpaceDN w:val="0"/>
        <w:adjustRightInd w:val="0"/>
        <w:jc w:val="both"/>
        <w:rPr>
          <w:rFonts w:ascii="Garamond" w:hAnsi="Garamond"/>
          <w:sz w:val="22"/>
          <w:szCs w:val="22"/>
        </w:rPr>
      </w:pPr>
    </w:p>
    <w:p w:rsidR="00C74C42" w:rsidRPr="00B009F8" w:rsidRDefault="00C74C42" w:rsidP="00A47389">
      <w:pPr>
        <w:keepNext/>
        <w:keepLines/>
        <w:autoSpaceDE w:val="0"/>
        <w:autoSpaceDN w:val="0"/>
        <w:adjustRightInd w:val="0"/>
        <w:jc w:val="both"/>
        <w:rPr>
          <w:rFonts w:ascii="Garamond" w:hAnsi="Garamond"/>
          <w:sz w:val="22"/>
          <w:szCs w:val="22"/>
        </w:rPr>
      </w:pPr>
      <w:r>
        <w:rPr>
          <w:rFonts w:ascii="Garamond" w:hAnsi="Garamond"/>
          <w:sz w:val="22"/>
        </w:rPr>
        <w:t>Declarația scrisă menționată la articolul 6 alineatul (1) include următoarele informații:</w:t>
      </w:r>
    </w:p>
    <w:p w:rsidR="00C74C42" w:rsidRPr="00B009F8" w:rsidRDefault="00C74C42" w:rsidP="00A47389">
      <w:pPr>
        <w:keepNext/>
        <w:keepLines/>
        <w:autoSpaceDE w:val="0"/>
        <w:autoSpaceDN w:val="0"/>
        <w:adjustRightInd w:val="0"/>
        <w:jc w:val="both"/>
        <w:rPr>
          <w:rFonts w:ascii="Garamond" w:hAnsi="Garamond"/>
          <w:sz w:val="22"/>
          <w:szCs w:val="22"/>
          <w:highlight w:val="yellow"/>
        </w:rPr>
      </w:pPr>
    </w:p>
    <w:p w:rsidR="00C74C42" w:rsidRPr="00B009F8" w:rsidRDefault="00C74C42" w:rsidP="00A47389">
      <w:pPr>
        <w:numPr>
          <w:ilvl w:val="0"/>
          <w:numId w:val="4"/>
        </w:numPr>
        <w:jc w:val="both"/>
        <w:rPr>
          <w:rFonts w:ascii="Garamond" w:hAnsi="Garamond"/>
          <w:sz w:val="22"/>
          <w:szCs w:val="22"/>
        </w:rPr>
      </w:pPr>
      <w:r>
        <w:rPr>
          <w:rFonts w:ascii="Garamond" w:hAnsi="Garamond"/>
          <w:sz w:val="22"/>
        </w:rPr>
        <w:t>identitatea și adresa operatorului care fabrică sau importă materialele sau obiectele sau substanțele destinate pentru fabricarea materialelor sau obiectelor respective;</w:t>
      </w:r>
    </w:p>
    <w:p w:rsidR="00C74C42" w:rsidRPr="00B009F8" w:rsidRDefault="00C74C42" w:rsidP="00A47389">
      <w:pPr>
        <w:numPr>
          <w:ilvl w:val="0"/>
          <w:numId w:val="4"/>
        </w:numPr>
        <w:jc w:val="both"/>
        <w:rPr>
          <w:rFonts w:ascii="Garamond" w:hAnsi="Garamond"/>
          <w:sz w:val="22"/>
          <w:szCs w:val="22"/>
        </w:rPr>
      </w:pPr>
      <w:r>
        <w:rPr>
          <w:rFonts w:ascii="Garamond" w:hAnsi="Garamond"/>
          <w:sz w:val="22"/>
        </w:rPr>
        <w:t>identitățile metalelor și aliajelor utilizate pentru fabricarea materialelor și obiectelor respective;</w:t>
      </w:r>
    </w:p>
    <w:p w:rsidR="00C74C42" w:rsidRPr="00B009F8" w:rsidRDefault="00C74C42" w:rsidP="00A47389">
      <w:pPr>
        <w:numPr>
          <w:ilvl w:val="0"/>
          <w:numId w:val="4"/>
        </w:numPr>
        <w:jc w:val="both"/>
        <w:rPr>
          <w:rFonts w:ascii="Garamond" w:hAnsi="Garamond"/>
          <w:sz w:val="22"/>
          <w:szCs w:val="22"/>
        </w:rPr>
      </w:pPr>
      <w:r>
        <w:rPr>
          <w:rFonts w:ascii="Garamond" w:hAnsi="Garamond"/>
          <w:sz w:val="22"/>
        </w:rPr>
        <w:t>data declarației;</w:t>
      </w:r>
    </w:p>
    <w:p w:rsidR="00C74C42" w:rsidRPr="00B009F8" w:rsidRDefault="00C74C42" w:rsidP="00A47389">
      <w:pPr>
        <w:numPr>
          <w:ilvl w:val="0"/>
          <w:numId w:val="4"/>
        </w:numPr>
        <w:jc w:val="both"/>
        <w:rPr>
          <w:rFonts w:ascii="Garamond" w:hAnsi="Garamond"/>
          <w:sz w:val="22"/>
          <w:szCs w:val="22"/>
        </w:rPr>
      </w:pPr>
      <w:r>
        <w:rPr>
          <w:rFonts w:ascii="Garamond" w:hAnsi="Garamond"/>
          <w:sz w:val="22"/>
        </w:rPr>
        <w:t>O confirmare că materialele și obiectele respectă dispozițiile relevante din prezentul decret și Regulamentul (CE) nr. 1935/2004;</w:t>
      </w:r>
    </w:p>
    <w:p w:rsidR="00C74C42" w:rsidRPr="00B009F8" w:rsidRDefault="00C74C42" w:rsidP="00A47389">
      <w:pPr>
        <w:numPr>
          <w:ilvl w:val="0"/>
          <w:numId w:val="4"/>
        </w:numPr>
        <w:jc w:val="both"/>
        <w:rPr>
          <w:rFonts w:ascii="Garamond" w:hAnsi="Garamond"/>
          <w:sz w:val="22"/>
          <w:szCs w:val="22"/>
        </w:rPr>
      </w:pPr>
      <w:r>
        <w:rPr>
          <w:rFonts w:ascii="Garamond" w:hAnsi="Garamond"/>
          <w:sz w:val="22"/>
        </w:rPr>
        <w:lastRenderedPageBreak/>
        <w:t>informații adecvate privind metalele utilizate pentru care prezentul decret prevede restricții sau specificații pentru a permite operatorilor din aval să asigure respectarea acestor restricții sau specificații;</w:t>
      </w:r>
    </w:p>
    <w:p w:rsidR="00C74C42" w:rsidRPr="00B009F8" w:rsidRDefault="00C74C42" w:rsidP="00A47389">
      <w:pPr>
        <w:numPr>
          <w:ilvl w:val="0"/>
          <w:numId w:val="4"/>
        </w:numPr>
        <w:jc w:val="both"/>
        <w:rPr>
          <w:rFonts w:ascii="Garamond" w:hAnsi="Garamond"/>
          <w:sz w:val="22"/>
          <w:szCs w:val="22"/>
        </w:rPr>
      </w:pPr>
      <w:r>
        <w:rPr>
          <w:rFonts w:ascii="Garamond" w:hAnsi="Garamond"/>
          <w:sz w:val="22"/>
        </w:rPr>
        <w:t>informații adecvate privind metalele care fac obiectul unei restricții privind produsele alimentare, derivate din date experimentale sau calcule teoretice, cu privire la eliberarea specifică a metalelor respective;</w:t>
      </w:r>
    </w:p>
    <w:p w:rsidR="00C74C42" w:rsidRPr="00B009F8" w:rsidRDefault="00C74C42" w:rsidP="00A47389">
      <w:pPr>
        <w:keepNext/>
        <w:keepLines/>
        <w:numPr>
          <w:ilvl w:val="0"/>
          <w:numId w:val="4"/>
        </w:numPr>
        <w:jc w:val="both"/>
        <w:rPr>
          <w:rFonts w:ascii="Garamond" w:hAnsi="Garamond"/>
          <w:sz w:val="22"/>
          <w:szCs w:val="22"/>
        </w:rPr>
      </w:pPr>
      <w:r>
        <w:rPr>
          <w:rFonts w:ascii="Garamond" w:hAnsi="Garamond"/>
          <w:sz w:val="22"/>
        </w:rPr>
        <w:t>specificațiile pentru utilizarea materialului sau obiectului, precum:</w:t>
      </w:r>
    </w:p>
    <w:p w:rsidR="00C74C42" w:rsidRPr="00B009F8" w:rsidRDefault="00C74C42" w:rsidP="00A47389">
      <w:pPr>
        <w:numPr>
          <w:ilvl w:val="1"/>
          <w:numId w:val="4"/>
        </w:numPr>
        <w:tabs>
          <w:tab w:val="clear" w:pos="1800"/>
          <w:tab w:val="num" w:pos="1440"/>
        </w:tabs>
        <w:jc w:val="both"/>
        <w:rPr>
          <w:rFonts w:ascii="Garamond" w:hAnsi="Garamond"/>
          <w:sz w:val="22"/>
          <w:szCs w:val="22"/>
        </w:rPr>
      </w:pPr>
      <w:r>
        <w:rPr>
          <w:rFonts w:ascii="Garamond" w:hAnsi="Garamond"/>
          <w:sz w:val="22"/>
        </w:rPr>
        <w:t>tipul (tipurile) de produse alimentare cu care este destinat să intre în contact;</w:t>
      </w:r>
    </w:p>
    <w:p w:rsidR="00C74C42" w:rsidRPr="00B009F8" w:rsidRDefault="00C74C42" w:rsidP="00A47389">
      <w:pPr>
        <w:numPr>
          <w:ilvl w:val="1"/>
          <w:numId w:val="4"/>
        </w:numPr>
        <w:tabs>
          <w:tab w:val="clear" w:pos="1800"/>
          <w:tab w:val="num" w:pos="1440"/>
        </w:tabs>
        <w:jc w:val="both"/>
        <w:rPr>
          <w:rFonts w:ascii="Garamond" w:hAnsi="Garamond"/>
          <w:sz w:val="22"/>
          <w:szCs w:val="22"/>
        </w:rPr>
      </w:pPr>
      <w:r>
        <w:rPr>
          <w:rFonts w:ascii="Garamond" w:hAnsi="Garamond"/>
          <w:sz w:val="22"/>
        </w:rPr>
        <w:t>durata și temperatura prelucrării și depozitării în contextul în care intră în contact cu produsele alimentare;</w:t>
      </w:r>
    </w:p>
    <w:p w:rsidR="00C74C42" w:rsidRPr="00B009F8" w:rsidRDefault="00C74C42" w:rsidP="00A47389">
      <w:pPr>
        <w:numPr>
          <w:ilvl w:val="1"/>
          <w:numId w:val="4"/>
        </w:numPr>
        <w:tabs>
          <w:tab w:val="clear" w:pos="1800"/>
          <w:tab w:val="num" w:pos="1440"/>
        </w:tabs>
        <w:jc w:val="both"/>
        <w:rPr>
          <w:rFonts w:ascii="Garamond" w:hAnsi="Garamond"/>
          <w:sz w:val="22"/>
          <w:szCs w:val="22"/>
        </w:rPr>
      </w:pPr>
      <w:r>
        <w:rPr>
          <w:rFonts w:ascii="Garamond" w:hAnsi="Garamond"/>
          <w:sz w:val="22"/>
        </w:rPr>
        <w:t>raportul între zona de contact cu produsele alimentare și volumul în care s-a considerat că materialul sau obiectul respectă cerințele.</w:t>
      </w:r>
    </w:p>
    <w:p w:rsidR="00C74C42" w:rsidRPr="00B009F8" w:rsidRDefault="00C74C42" w:rsidP="00A47389">
      <w:pPr>
        <w:jc w:val="both"/>
        <w:rPr>
          <w:rFonts w:ascii="Garamond" w:hAnsi="Garamond"/>
          <w:sz w:val="22"/>
          <w:szCs w:val="22"/>
        </w:rPr>
      </w:pPr>
    </w:p>
    <w:p w:rsidR="00C74C42" w:rsidRPr="00B009F8" w:rsidRDefault="00C74C42" w:rsidP="00A47389">
      <w:pPr>
        <w:jc w:val="both"/>
        <w:rPr>
          <w:rFonts w:ascii="Garamond" w:hAnsi="Garamond"/>
          <w:sz w:val="22"/>
          <w:szCs w:val="22"/>
        </w:rPr>
      </w:pPr>
    </w:p>
    <w:p w:rsidR="00C74C42" w:rsidRPr="00B009F8" w:rsidRDefault="00C74C42" w:rsidP="00A47389">
      <w:pPr>
        <w:jc w:val="both"/>
        <w:rPr>
          <w:rFonts w:ascii="Garamond" w:hAnsi="Garamond"/>
          <w:sz w:val="22"/>
          <w:szCs w:val="22"/>
        </w:rPr>
      </w:pPr>
      <w:r>
        <w:rPr>
          <w:rFonts w:ascii="Garamond" w:hAnsi="Garamond"/>
          <w:sz w:val="22"/>
        </w:rPr>
        <w:t>Materialele, articolele sau substanțele sunt ușor de identificat pe baza declarației scrise eliberate pentru acestea; în cazul unei schimbări în ceea ce privește nivelurile de eliberare ale metalelor pe fondul modificărilor aduse producției de materiale sau în cazul în care sunt disponibile noi date științifice, se eliberează o declarație nouă. În absența oricărei modificări aduse materialelor de bază, metodelor de prelucrare, utilizării, procesului de fabricație etc. o declarație de conformitate poate rămâne valabilă pentru o perioadă de maximum 5 ani. Partea responsabilă pentru produs poate, bineînțeles, să decidă să reînnoiască o declarație de conformitate chiar și fără o schimbare a circumstanțelor.</w:t>
      </w:r>
    </w:p>
    <w:p w:rsidR="00C74C42" w:rsidRPr="00B009F8" w:rsidRDefault="00C74C42" w:rsidP="00A47389">
      <w:pPr>
        <w:autoSpaceDE w:val="0"/>
        <w:autoSpaceDN w:val="0"/>
        <w:adjustRightInd w:val="0"/>
        <w:jc w:val="both"/>
        <w:rPr>
          <w:rFonts w:ascii="Garamond" w:hAnsi="Garamond"/>
          <w:sz w:val="22"/>
          <w:szCs w:val="22"/>
        </w:rPr>
      </w:pPr>
    </w:p>
    <w:p w:rsidR="00C74C42" w:rsidRPr="00B009F8" w:rsidRDefault="00C74C42" w:rsidP="00A47389">
      <w:pPr>
        <w:pStyle w:val="Heading4"/>
        <w:keepNext w:val="0"/>
        <w:ind w:left="0"/>
        <w:jc w:val="both"/>
        <w:rPr>
          <w:rFonts w:ascii="Garamond" w:hAnsi="Garamond"/>
          <w:sz w:val="22"/>
          <w:szCs w:val="22"/>
        </w:rPr>
      </w:pPr>
      <w:r>
        <w:rPr>
          <w:rFonts w:ascii="Garamond" w:hAnsi="Garamond"/>
          <w:sz w:val="22"/>
        </w:rPr>
        <w:t xml:space="preserve">Aprobată pentru a fi atașată la Decretul din ……………… privind materialele și obiectele din metal și aliaj destinate să intre în contact cu produsele alimentare. </w:t>
      </w:r>
    </w:p>
    <w:p w:rsidR="00C74C42" w:rsidRPr="00B009F8" w:rsidRDefault="00C74C42" w:rsidP="00276E85">
      <w:pPr>
        <w:jc w:val="center"/>
        <w:rPr>
          <w:rFonts w:ascii="Garamond" w:hAnsi="Garamond"/>
          <w:sz w:val="22"/>
          <w:szCs w:val="22"/>
        </w:rPr>
      </w:pPr>
    </w:p>
    <w:tbl>
      <w:tblPr>
        <w:tblW w:w="0" w:type="auto"/>
        <w:jc w:val="center"/>
        <w:tblLook w:val="0000" w:firstRow="0" w:lastRow="0" w:firstColumn="0" w:lastColumn="0" w:noHBand="0" w:noVBand="0"/>
      </w:tblPr>
      <w:tblGrid>
        <w:gridCol w:w="4385"/>
      </w:tblGrid>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rPr>
              <w:t>În numele Majestății Sale:</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rPr>
              <w:t>Ministrul sănătății publice,</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rPr>
              <w:t>M. DE BLOCK</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rPr>
              <w:t>Ministrul Agriculturii,</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rPr>
              <w:t xml:space="preserve">D. </w:t>
            </w:r>
            <w:proofErr w:type="spellStart"/>
            <w:r>
              <w:rPr>
                <w:rFonts w:ascii="Garamond" w:hAnsi="Garamond"/>
                <w:sz w:val="22"/>
              </w:rPr>
              <w:t>DUCARME</w:t>
            </w:r>
            <w:proofErr w:type="spellEnd"/>
          </w:p>
        </w:tc>
      </w:tr>
    </w:tbl>
    <w:p w:rsidR="00D50D5D" w:rsidRPr="00B009F8" w:rsidRDefault="00D50D5D" w:rsidP="00F85383"/>
    <w:sectPr w:rsidR="00D50D5D" w:rsidRPr="00B009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ADB" w:rsidRDefault="005D1ADB" w:rsidP="000B55ED">
      <w:r>
        <w:separator/>
      </w:r>
    </w:p>
  </w:endnote>
  <w:endnote w:type="continuationSeparator" w:id="0">
    <w:p w:rsidR="005D1ADB" w:rsidRDefault="005D1ADB" w:rsidP="000B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ADB" w:rsidRDefault="005D1ADB" w:rsidP="000B55ED">
      <w:r>
        <w:separator/>
      </w:r>
    </w:p>
  </w:footnote>
  <w:footnote w:type="continuationSeparator" w:id="0">
    <w:p w:rsidR="005D1ADB" w:rsidRDefault="005D1ADB" w:rsidP="000B5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C7FA7"/>
    <w:multiLevelType w:val="hybridMultilevel"/>
    <w:tmpl w:val="373C74EE"/>
    <w:lvl w:ilvl="0" w:tplc="6008A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F3D32"/>
    <w:multiLevelType w:val="hybridMultilevel"/>
    <w:tmpl w:val="A1AA9EE4"/>
    <w:lvl w:ilvl="0" w:tplc="6008A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E688E"/>
    <w:multiLevelType w:val="hybridMultilevel"/>
    <w:tmpl w:val="1908CCC0"/>
    <w:lvl w:ilvl="0" w:tplc="6008A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857206"/>
    <w:multiLevelType w:val="hybridMultilevel"/>
    <w:tmpl w:val="516E44AE"/>
    <w:lvl w:ilvl="0" w:tplc="F1866778">
      <w:start w:val="1"/>
      <w:numFmt w:val="decimal"/>
      <w:lvlText w:val="%1)"/>
      <w:lvlJc w:val="left"/>
      <w:pPr>
        <w:tabs>
          <w:tab w:val="num" w:pos="720"/>
        </w:tabs>
        <w:ind w:left="720" w:hanging="360"/>
      </w:pPr>
      <w:rPr>
        <w:rFonts w:hint="default"/>
        <w:b w:val="0"/>
        <w:i w:val="0"/>
      </w:rPr>
    </w:lvl>
    <w:lvl w:ilvl="1" w:tplc="EE6E92FE">
      <w:start w:val="1"/>
      <w:numFmt w:val="lowerRoman"/>
      <w:lvlText w:val="%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42"/>
    <w:rsid w:val="000B55ED"/>
    <w:rsid w:val="00276E85"/>
    <w:rsid w:val="00583446"/>
    <w:rsid w:val="005D1ADB"/>
    <w:rsid w:val="00617213"/>
    <w:rsid w:val="00695C9A"/>
    <w:rsid w:val="00712B78"/>
    <w:rsid w:val="008C5E75"/>
    <w:rsid w:val="00A47389"/>
    <w:rsid w:val="00AA1F4C"/>
    <w:rsid w:val="00B009F8"/>
    <w:rsid w:val="00C74C42"/>
    <w:rsid w:val="00D50D5D"/>
    <w:rsid w:val="00E77776"/>
    <w:rsid w:val="00F8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3AED93-7877-4BFC-8D6C-7D67488F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C4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74C42"/>
    <w:pPr>
      <w:keepNext/>
      <w:jc w:val="center"/>
      <w:outlineLvl w:val="2"/>
    </w:pPr>
    <w:rPr>
      <w:szCs w:val="20"/>
    </w:rPr>
  </w:style>
  <w:style w:type="paragraph" w:styleId="Heading4">
    <w:name w:val="heading 4"/>
    <w:basedOn w:val="Normal"/>
    <w:next w:val="Normal"/>
    <w:link w:val="Heading4Char"/>
    <w:qFormat/>
    <w:rsid w:val="00C74C42"/>
    <w:pPr>
      <w:keepNext/>
      <w:ind w:left="708"/>
      <w:jc w:val="center"/>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C74C42"/>
    <w:pPr>
      <w:spacing w:before="120" w:after="120"/>
      <w:jc w:val="both"/>
    </w:pPr>
    <w:rPr>
      <w:sz w:val="20"/>
      <w:szCs w:val="20"/>
    </w:rPr>
  </w:style>
  <w:style w:type="character" w:customStyle="1" w:styleId="CommentTextChar">
    <w:name w:val="Comment Text Char"/>
    <w:basedOn w:val="DefaultParagraphFont"/>
    <w:link w:val="CommentText"/>
    <w:semiHidden/>
    <w:rsid w:val="00C74C42"/>
    <w:rPr>
      <w:rFonts w:ascii="Times New Roman" w:eastAsia="Times New Roman" w:hAnsi="Times New Roman" w:cs="Times New Roman"/>
      <w:sz w:val="20"/>
      <w:szCs w:val="20"/>
      <w:lang w:val="ro-RO" w:eastAsia="en-GB"/>
    </w:rPr>
  </w:style>
  <w:style w:type="paragraph" w:styleId="ListParagraph">
    <w:name w:val="List Paragraph"/>
    <w:basedOn w:val="Normal"/>
    <w:uiPriority w:val="34"/>
    <w:qFormat/>
    <w:rsid w:val="00C74C42"/>
    <w:pPr>
      <w:ind w:left="720"/>
      <w:contextualSpacing/>
    </w:pPr>
  </w:style>
  <w:style w:type="character" w:customStyle="1" w:styleId="Heading3Char">
    <w:name w:val="Heading 3 Char"/>
    <w:basedOn w:val="DefaultParagraphFont"/>
    <w:link w:val="Heading3"/>
    <w:rsid w:val="00C74C42"/>
    <w:rPr>
      <w:rFonts w:ascii="Times New Roman" w:eastAsia="Times New Roman" w:hAnsi="Times New Roman" w:cs="Times New Roman"/>
      <w:sz w:val="24"/>
      <w:szCs w:val="20"/>
      <w:lang w:val="ro-RO" w:eastAsia="en-GB"/>
    </w:rPr>
  </w:style>
  <w:style w:type="character" w:customStyle="1" w:styleId="Heading4Char">
    <w:name w:val="Heading 4 Char"/>
    <w:basedOn w:val="DefaultParagraphFont"/>
    <w:link w:val="Heading4"/>
    <w:rsid w:val="00C74C42"/>
    <w:rPr>
      <w:rFonts w:ascii="Times New Roman" w:eastAsia="Times New Roman" w:hAnsi="Times New Roman" w:cs="Times New Roman"/>
      <w:sz w:val="24"/>
      <w:szCs w:val="20"/>
      <w:lang w:val="ro-RO" w:eastAsia="en-GB"/>
    </w:rPr>
  </w:style>
  <w:style w:type="table" w:styleId="TableGrid">
    <w:name w:val="Table Grid"/>
    <w:basedOn w:val="TableNormal"/>
    <w:rsid w:val="00C74C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74C42"/>
    <w:pPr>
      <w:autoSpaceDE w:val="0"/>
      <w:autoSpaceDN w:val="0"/>
      <w:adjustRightInd w:val="0"/>
    </w:pPr>
    <w:rPr>
      <w:szCs w:val="19"/>
    </w:rPr>
  </w:style>
  <w:style w:type="character" w:customStyle="1" w:styleId="BodyTextChar">
    <w:name w:val="Body Text Char"/>
    <w:basedOn w:val="DefaultParagraphFont"/>
    <w:link w:val="BodyText"/>
    <w:rsid w:val="00C74C42"/>
    <w:rPr>
      <w:rFonts w:ascii="Times New Roman" w:eastAsia="Times New Roman" w:hAnsi="Times New Roman" w:cs="Times New Roman"/>
      <w:sz w:val="24"/>
      <w:szCs w:val="19"/>
      <w:lang w:val="ro-RO" w:eastAsia="en-GB"/>
    </w:rPr>
  </w:style>
  <w:style w:type="paragraph" w:styleId="PlainText">
    <w:name w:val="Plain Text"/>
    <w:basedOn w:val="Normal"/>
    <w:link w:val="PlainTextChar"/>
    <w:uiPriority w:val="99"/>
    <w:semiHidden/>
    <w:unhideWhenUsed/>
    <w:rsid w:val="00276E8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76E85"/>
    <w:rPr>
      <w:rFonts w:ascii="Courier New" w:eastAsia="Times New Roman" w:hAnsi="Courier New" w:cs="Courier New"/>
      <w:sz w:val="20"/>
      <w:szCs w:val="20"/>
      <w:lang w:val="ro-RO" w:eastAsia="en-GB"/>
    </w:rPr>
  </w:style>
  <w:style w:type="paragraph" w:styleId="Header">
    <w:name w:val="header"/>
    <w:basedOn w:val="Normal"/>
    <w:link w:val="HeaderChar"/>
    <w:uiPriority w:val="99"/>
    <w:unhideWhenUsed/>
    <w:rsid w:val="000B55ED"/>
    <w:pPr>
      <w:tabs>
        <w:tab w:val="center" w:pos="4320"/>
        <w:tab w:val="right" w:pos="8640"/>
      </w:tabs>
    </w:pPr>
  </w:style>
  <w:style w:type="character" w:customStyle="1" w:styleId="HeaderChar">
    <w:name w:val="Header Char"/>
    <w:basedOn w:val="DefaultParagraphFont"/>
    <w:link w:val="Header"/>
    <w:uiPriority w:val="99"/>
    <w:rsid w:val="000B55ED"/>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0B55ED"/>
    <w:pPr>
      <w:tabs>
        <w:tab w:val="center" w:pos="4320"/>
        <w:tab w:val="right" w:pos="8640"/>
      </w:tabs>
    </w:pPr>
  </w:style>
  <w:style w:type="character" w:customStyle="1" w:styleId="FooterChar">
    <w:name w:val="Footer Char"/>
    <w:basedOn w:val="DefaultParagraphFont"/>
    <w:link w:val="Footer"/>
    <w:uiPriority w:val="99"/>
    <w:rsid w:val="000B55ED"/>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1757</Words>
  <Characters>10191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Heyvaert Els</dc:creator>
  <cp:keywords/>
  <dc:description/>
  <cp:lastModifiedBy>CIUDIN, Elena</cp:lastModifiedBy>
  <cp:revision>7</cp:revision>
  <dcterms:created xsi:type="dcterms:W3CDTF">2018-09-04T13:14:00Z</dcterms:created>
  <dcterms:modified xsi:type="dcterms:W3CDTF">2018-09-12T15:14:00Z</dcterms:modified>
</cp:coreProperties>
</file>