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7C7AB" w14:textId="4F1CE8E0" w:rsidR="00D43FA1" w:rsidRPr="00D43FA1" w:rsidRDefault="00D43FA1" w:rsidP="00D43FA1">
      <w:pPr>
        <w:spacing w:before="0" w:after="0"/>
        <w:rPr>
          <w:rFonts w:ascii="Courier New" w:hAnsi="Courier New" w:cs="Courier New"/>
          <w:sz w:val="20"/>
          <w:szCs w:val="20"/>
        </w:rPr>
      </w:pPr>
      <w:r>
        <w:rPr>
          <w:rFonts w:ascii="Courier New" w:hAnsi="Courier New"/>
          <w:sz w:val="20"/>
          <w:szCs w:val="20"/>
        </w:rPr>
        <w:t>1. ------IND- 2020 0510 D-- RO- ------ 20200830 --- --- PROJET</w:t>
      </w:r>
    </w:p>
    <w:p w14:paraId="78D3E792" w14:textId="77777777" w:rsidR="00D43FA1" w:rsidRPr="00D43FA1" w:rsidRDefault="00D43FA1" w:rsidP="00612652">
      <w:pPr>
        <w:pStyle w:val="Dokumentstatus"/>
      </w:pPr>
    </w:p>
    <w:p w14:paraId="2ADEED2D" w14:textId="02FDEE8E" w:rsidR="006444D5" w:rsidRPr="00D43FA1" w:rsidRDefault="00A5434C" w:rsidP="00D43FA1">
      <w:pPr>
        <w:pStyle w:val="Dokumentstatus"/>
        <w:keepNext/>
        <w:keepLines/>
      </w:pPr>
      <w:r>
        <w:t>Proiect al Ministerului Federal al Alimentației și Agriculturii</w:t>
      </w:r>
    </w:p>
    <w:p w14:paraId="453D9A69" w14:textId="77777777" w:rsidR="006444D5" w:rsidRPr="00D43FA1" w:rsidRDefault="006444D5" w:rsidP="00D43FA1">
      <w:pPr>
        <w:pStyle w:val="Bezeichnungnderungsdokument"/>
        <w:keepNext/>
        <w:keepLines/>
      </w:pPr>
      <w:r>
        <w:t>Al douăzeci și doilea Regulament de modificare a Regulamentului privind bunurile de consum</w:t>
      </w:r>
      <w:r>
        <w:rPr>
          <w:rStyle w:val="FootnoteReference"/>
        </w:rPr>
        <w:footnoteReference w:customMarkFollows="1" w:id="1"/>
        <w:t>1)</w:t>
      </w:r>
      <w:r>
        <w:t xml:space="preserve"> </w:t>
      </w:r>
    </w:p>
    <w:p w14:paraId="6759776C" w14:textId="77777777" w:rsidR="006444D5" w:rsidRPr="00D43FA1" w:rsidRDefault="006444D5" w:rsidP="00D43FA1">
      <w:pPr>
        <w:pStyle w:val="Ausfertigungsdatumnderungsdokument"/>
        <w:keepNext/>
        <w:keepLines/>
      </w:pPr>
      <w:r>
        <w:t>din ... 2020</w:t>
      </w:r>
    </w:p>
    <w:p w14:paraId="6E475CCC" w14:textId="77777777" w:rsidR="006444D5" w:rsidRPr="00D43FA1" w:rsidRDefault="006444D5" w:rsidP="000511BF">
      <w:pPr>
        <w:pStyle w:val="EingangsformelStandardnderungsdokument"/>
      </w:pPr>
      <w:r>
        <w:t xml:space="preserve">Ministerul Federal al Alimentației și Agriculturii, în temeiul </w:t>
      </w:r>
    </w:p>
    <w:p w14:paraId="42BFF3E6" w14:textId="77777777" w:rsidR="000511BF" w:rsidRPr="00D43FA1" w:rsidRDefault="006444D5" w:rsidP="00C74C74">
      <w:pPr>
        <w:pStyle w:val="EingangsformelStandardnderungsdokument"/>
        <w:numPr>
          <w:ilvl w:val="0"/>
          <w:numId w:val="1"/>
        </w:numPr>
        <w:ind w:left="0" w:firstLine="425"/>
      </w:pPr>
      <w:r>
        <w:t>articolului 31 alineatul (2) prima teză punctul 2 coroborat cu articolul 4 alineatul (2) punctul 2 și al articolului 46 alineatul (2) prima teză punctul 1 litera (a) din Codul alimentar și al furajelor în versiunea publicată la data de 3 iunie 2013 (Monitorul Oficial Federal I p. 1426), precum și</w:t>
      </w:r>
    </w:p>
    <w:p w14:paraId="58FC86B6" w14:textId="77777777" w:rsidR="006444D5" w:rsidRPr="00D43FA1" w:rsidRDefault="000511BF" w:rsidP="00C74C74">
      <w:pPr>
        <w:pStyle w:val="EingangsformelStandardnderungsdokument"/>
        <w:numPr>
          <w:ilvl w:val="0"/>
          <w:numId w:val="1"/>
        </w:numPr>
        <w:ind w:left="0" w:firstLine="425"/>
      </w:pPr>
      <w:r>
        <w:t>al articolului 34 prima teză punctul 2, astfel cum a fost modificat prin articolul 67 punctul 6 din Regulamentul din 31 august 2015 (Monitorul Oficial Federal I p. 1474), de asemenea, în coroborare cu articolul 4 alineatul (2) punctul 2 din Codul alimentar și al furajelor în versiunea comunicării din 3 iunie 2013 (Monitorul Oficial Federal I p. 1426), în acord cu Ministerul Federal pentru Economie și Energie, hotărăște următoarele:</w:t>
      </w:r>
    </w:p>
    <w:p w14:paraId="6AC8CAE2" w14:textId="1699357E" w:rsidR="006444D5" w:rsidRPr="00D43FA1" w:rsidRDefault="00D43FA1" w:rsidP="00D43FA1">
      <w:pPr>
        <w:pStyle w:val="ArtikelBezeichner"/>
        <w:keepLines/>
        <w:numPr>
          <w:ilvl w:val="0"/>
          <w:numId w:val="0"/>
        </w:numPr>
      </w:pPr>
      <w:r>
        <w:t>Articolul 1</w:t>
      </w:r>
    </w:p>
    <w:p w14:paraId="37102DCC" w14:textId="1749B86C" w:rsidR="006444D5" w:rsidRPr="007E01A6" w:rsidRDefault="006444D5" w:rsidP="00D43FA1">
      <w:pPr>
        <w:pStyle w:val="Artikelberschrift"/>
        <w:keepLines/>
      </w:pPr>
      <w:r>
        <w:t>Modificarea regulamentului privind bunurile de consum</w:t>
      </w:r>
    </w:p>
    <w:p w14:paraId="504DEE92" w14:textId="4F2C4E22" w:rsidR="00E24BD3" w:rsidRPr="005E71E1" w:rsidRDefault="00E24BD3" w:rsidP="00D43FA1">
      <w:pPr>
        <w:pStyle w:val="JuristischerAbsatznichtnummeriert"/>
        <w:keepNext/>
        <w:keepLines/>
        <w:rPr>
          <w:rStyle w:val="Marker"/>
          <w:color w:val="auto"/>
          <w:spacing w:val="-4"/>
        </w:rPr>
      </w:pPr>
      <w:r w:rsidRPr="005E71E1">
        <w:rPr>
          <w:rStyle w:val="Marker"/>
          <w:color w:val="auto"/>
          <w:spacing w:val="-4"/>
        </w:rPr>
        <w:t>Regulamentul privind bunurile de consum în versiunea publicată la 23 decembrie 1997 (Monitorul Oficial Federal 1998 I p. 5), modificat ultima dată prin articolul 2 alineatul (1) din Legea din 15 februarie 2016 (Monitorul Oficial Federal I p. 198), se modifică după cum urmează:</w:t>
      </w:r>
    </w:p>
    <w:p w14:paraId="02B9B0F2" w14:textId="7CA490A4" w:rsidR="00846C2F" w:rsidRPr="00D43FA1" w:rsidRDefault="00846C2F" w:rsidP="00846C2F">
      <w:pPr>
        <w:pStyle w:val="NummerierungStufe1"/>
      </w:pPr>
      <w:r>
        <w:t>Articolul 2 are formularea următoare:</w:t>
      </w:r>
    </w:p>
    <w:p w14:paraId="28C5F27B" w14:textId="77777777" w:rsidR="00846C2F" w:rsidRPr="00D43FA1" w:rsidRDefault="00846C2F" w:rsidP="00846C2F">
      <w:pPr>
        <w:pStyle w:val="NummerierungStufe2"/>
        <w:rPr>
          <w:rStyle w:val="Marker"/>
          <w:color w:val="auto"/>
        </w:rPr>
      </w:pPr>
      <w:r>
        <w:rPr>
          <w:rStyle w:val="Marker"/>
          <w:color w:val="auto"/>
        </w:rPr>
        <w:t>La punctul 6, punctul de la sfârșit se înlocuiește cu punct și virgulă.</w:t>
      </w:r>
    </w:p>
    <w:p w14:paraId="4CF425DD" w14:textId="26F4A3C3" w:rsidR="00846C2F" w:rsidRPr="00D43FA1" w:rsidRDefault="003B2E93" w:rsidP="00846C2F">
      <w:pPr>
        <w:pStyle w:val="NummerierungStufe2"/>
        <w:rPr>
          <w:rStyle w:val="Marker"/>
          <w:color w:val="auto"/>
        </w:rPr>
      </w:pPr>
      <w:r>
        <w:rPr>
          <w:rStyle w:val="Marker"/>
          <w:color w:val="auto"/>
        </w:rPr>
        <w:t>Se introduc punctele 7-10 cu formularea următoare:</w:t>
      </w:r>
    </w:p>
    <w:p w14:paraId="4D5D5D36" w14:textId="062BC587" w:rsidR="006444D5" w:rsidRPr="00D43FA1" w:rsidRDefault="00E24BD3" w:rsidP="00067EA9">
      <w:pPr>
        <w:pStyle w:val="JuristischerAbsatznichtnummeriert"/>
        <w:ind w:left="850" w:firstLine="295"/>
        <w:rPr>
          <w:rStyle w:val="Marker"/>
          <w:color w:val="auto"/>
        </w:rPr>
      </w:pPr>
      <w:r>
        <w:rPr>
          <w:rStyle w:val="Marker"/>
          <w:color w:val="auto"/>
        </w:rPr>
        <w:t>„7. deșeuri de hârtie înseamnă celuloză obținută din deșeuri de hârtie prin metode de prelucrare pentru fabricarea de hârtie, carton sau cutii de carton;</w:t>
      </w:r>
    </w:p>
    <w:p w14:paraId="0106737F" w14:textId="4BB05830" w:rsidR="00E24BD3" w:rsidRPr="00D43FA1" w:rsidRDefault="00E24BD3" w:rsidP="00067EA9">
      <w:pPr>
        <w:pStyle w:val="JuristischerAbsatznichtnummeriert"/>
        <w:ind w:left="850" w:firstLine="295"/>
      </w:pPr>
      <w:r>
        <w:rPr>
          <w:rStyle w:val="Marker"/>
          <w:color w:val="auto"/>
        </w:rPr>
        <w:t xml:space="preserve">8. </w:t>
      </w:r>
      <w:r>
        <w:t>hidrocarburi aromatice minerale: hidrocarburi aromatice alchilate cu un număr de atomi de carbon C16-C35 formați din unul sau mai multe inele, excluzând diizopropilnaftalenele; atomii de carbon sunt legați la intervalele sau la timpii de retenție ai n-alcanilor corespunzători în timpul analizei cromatografice în fază gazoasă pe o coloană de separare cu strat de dimetilpolisiloxan;</w:t>
      </w:r>
    </w:p>
    <w:p w14:paraId="1BECF263" w14:textId="3D179D1B" w:rsidR="00846C2F" w:rsidRPr="00D43FA1" w:rsidRDefault="00E24BD3" w:rsidP="00D43FA1">
      <w:pPr>
        <w:pStyle w:val="JuristischerAbsatznichtnummeriert"/>
        <w:keepNext/>
        <w:keepLines/>
        <w:ind w:left="425" w:firstLine="720"/>
      </w:pPr>
      <w:r>
        <w:rPr>
          <w:rStyle w:val="Marker"/>
          <w:color w:val="auto"/>
        </w:rPr>
        <w:lastRenderedPageBreak/>
        <w:t xml:space="preserve">9. </w:t>
      </w:r>
      <w:r>
        <w:t>barieră funcțională înseamnă</w:t>
      </w:r>
    </w:p>
    <w:p w14:paraId="74FD3E26" w14:textId="39827560" w:rsidR="00B643B8" w:rsidRPr="00D43FA1" w:rsidRDefault="002F7BDF" w:rsidP="00067EA9">
      <w:pPr>
        <w:pStyle w:val="JuristischerAbsatznichtnummeriert"/>
        <w:ind w:left="851" w:firstLine="589"/>
      </w:pPr>
      <w:r>
        <w:rPr>
          <w:rStyle w:val="Marker"/>
          <w:color w:val="auto"/>
        </w:rPr>
        <w:t xml:space="preserve">(a) </w:t>
      </w:r>
      <w:r>
        <w:t>unul sau mai multe straturi sau straturi de acoperire ale unui material care vine în contact cu produsele alimentare sau</w:t>
      </w:r>
    </w:p>
    <w:p w14:paraId="6C74E0DD" w14:textId="61F756EB" w:rsidR="002F7BDF" w:rsidRPr="00D43FA1" w:rsidRDefault="002F7BDF" w:rsidP="00067EA9">
      <w:pPr>
        <w:pStyle w:val="JuristischerAbsatznichtnummeriert"/>
        <w:ind w:left="720" w:firstLine="720"/>
      </w:pPr>
      <w:r>
        <w:rPr>
          <w:rStyle w:val="Marker"/>
          <w:color w:val="auto"/>
        </w:rPr>
        <w:t>(b) ambalajul unui produs alimentar,</w:t>
      </w:r>
    </w:p>
    <w:p w14:paraId="326B7F41" w14:textId="0B4EE35B" w:rsidR="00E24BD3" w:rsidRPr="00D43FA1" w:rsidRDefault="00E24BD3" w:rsidP="00067EA9">
      <w:pPr>
        <w:pStyle w:val="JuristischerAbsatznichtnummeriert"/>
        <w:ind w:left="851" w:firstLine="0"/>
      </w:pPr>
      <w:r>
        <w:t>care asigură că anumite substanțe din materialele care vin în contact cu produsele alimentare nu migrează în produsele alimentare;</w:t>
      </w:r>
    </w:p>
    <w:p w14:paraId="4B18F3E3" w14:textId="70788493" w:rsidR="00846C2F" w:rsidRPr="00D43FA1" w:rsidRDefault="00E24BD3" w:rsidP="00067EA9">
      <w:pPr>
        <w:pStyle w:val="JuristischerAbsatznichtnummeriert"/>
        <w:ind w:left="851" w:firstLine="294"/>
      </w:pPr>
      <w:r>
        <w:rPr>
          <w:rStyle w:val="Marker"/>
          <w:color w:val="auto"/>
        </w:rPr>
        <w:t xml:space="preserve">10. </w:t>
      </w:r>
      <w:r>
        <w:t>simulant alimentar înseamnă simulantul alimentar definit la articolul 3 punctul 12 din Regulamentul (UE) nr. 10/2011.”</w:t>
      </w:r>
    </w:p>
    <w:p w14:paraId="17512622" w14:textId="77777777" w:rsidR="00846C2F" w:rsidRPr="00D43FA1" w:rsidRDefault="00846C2F" w:rsidP="00D43FA1">
      <w:pPr>
        <w:pStyle w:val="NummerierungStufe1"/>
        <w:keepNext/>
        <w:keepLines/>
        <w:rPr>
          <w:rStyle w:val="Marker"/>
          <w:color w:val="auto"/>
        </w:rPr>
      </w:pPr>
      <w:r>
        <w:rPr>
          <w:rStyle w:val="Marker"/>
          <w:color w:val="auto"/>
        </w:rPr>
        <w:t>După articolul 6, se introduce articolul 6a cu următoarea formulare:</w:t>
      </w:r>
    </w:p>
    <w:p w14:paraId="254DF9EA" w14:textId="256D5011" w:rsidR="00846C2F" w:rsidRPr="00D43FA1" w:rsidRDefault="00846C2F" w:rsidP="007E01A6">
      <w:pPr>
        <w:pStyle w:val="RevisionParagraphBezeichnermanuell"/>
        <w:keepLines/>
        <w:ind w:left="425" w:hanging="75"/>
        <w:rPr>
          <w:color w:val="auto"/>
        </w:rPr>
      </w:pPr>
      <w:r>
        <w:rPr>
          <w:color w:val="auto"/>
        </w:rPr>
        <w:t xml:space="preserve">„Articolul </w:t>
      </w:r>
      <w:r>
        <w:rPr>
          <w:rStyle w:val="Marker"/>
          <w:color w:val="auto"/>
        </w:rPr>
        <w:t>6a</w:t>
      </w:r>
      <w:r>
        <w:rPr>
          <w:rStyle w:val="Marker"/>
          <w:color w:val="auto"/>
        </w:rPr>
        <w:br/>
        <w:t>Produse alimentare din hârtie, cutii de carton sau carton care conțin hârtie reciclată</w:t>
      </w:r>
    </w:p>
    <w:p w14:paraId="393F6670" w14:textId="6F9EF356" w:rsidR="00756335" w:rsidRPr="007E01A6" w:rsidRDefault="00E24BD3" w:rsidP="00067EA9">
      <w:pPr>
        <w:pStyle w:val="JuristischerAbsatznichtnummeriert"/>
        <w:ind w:left="425" w:firstLine="295"/>
        <w:rPr>
          <w:rStyle w:val="Marker"/>
          <w:color w:val="auto"/>
        </w:rPr>
      </w:pPr>
      <w:r>
        <w:rPr>
          <w:rStyle w:val="Marker"/>
          <w:color w:val="auto"/>
        </w:rPr>
        <w:t xml:space="preserve">(1) Materialele care vin în contact cu produsele alimentare, fabricate din hârtie, cutii de carton sau carton obținute din hârtie reciclată pot fi introduse pe piață numai dacă se asigură o barieră funcțională în conformitate cu articolul 2 punctul 9 care protejează împotriva transferului de hidrocarburi minerale din materialul care vine în contact cu produsele alimentare în produsul alimentar. Se consideră că transferul nu s-a produs în cazul în care: </w:t>
      </w:r>
    </w:p>
    <w:p w14:paraId="16C207F7" w14:textId="77777777" w:rsidR="002F7BDF" w:rsidRPr="00D43FA1" w:rsidRDefault="002F7BDF" w:rsidP="00067EA9">
      <w:pPr>
        <w:pStyle w:val="JuristischerAbsatznichtnummeriert"/>
        <w:ind w:left="425" w:firstLine="0"/>
        <w:rPr>
          <w:szCs w:val="24"/>
        </w:rPr>
      </w:pPr>
      <w:r>
        <w:t xml:space="preserve">1. nu se depășește limita de detecție de 0,5 miligrame din cantitatea totală a hidrocarburilor aromatice minerale pe kilogram de alimente; sau </w:t>
      </w:r>
    </w:p>
    <w:p w14:paraId="172F3F97" w14:textId="20287DA3" w:rsidR="00C74C74" w:rsidRPr="007E01A6" w:rsidRDefault="002F7BDF" w:rsidP="00067EA9">
      <w:pPr>
        <w:pStyle w:val="JuristischerAbsatznichtnummeriert"/>
        <w:ind w:left="425" w:firstLine="0"/>
        <w:rPr>
          <w:szCs w:val="24"/>
        </w:rPr>
      </w:pPr>
      <w:r>
        <w:t xml:space="preserve">2. nu se depășește limita de detecție de 0,15 miligrame din cantitatea totală a hidrocarburilor aromatice minerale pe kilogram de simulant alimentar. </w:t>
      </w:r>
    </w:p>
    <w:p w14:paraId="4CAF2837" w14:textId="266BC0F6" w:rsidR="00C74C74" w:rsidRPr="00D43FA1" w:rsidRDefault="00E24BD3" w:rsidP="00067EA9">
      <w:pPr>
        <w:pStyle w:val="JuristischerAbsatznichtnummeriert"/>
        <w:ind w:left="425" w:firstLine="295"/>
      </w:pPr>
      <w:r>
        <w:rPr>
          <w:rStyle w:val="Marker"/>
          <w:color w:val="auto"/>
        </w:rPr>
        <w:t xml:space="preserve">(2) </w:t>
      </w:r>
      <w:r>
        <w:t>Prima teză de la alineatul (1) nu se aplică în cazul în care transferul hidrocarburilor aromatice din uleiuri minerale din produsul alimentar în produsele alimentare menționate la alineatul (1) a doua teză este exclus deoarece:</w:t>
      </w:r>
    </w:p>
    <w:p w14:paraId="6CBC600B" w14:textId="68240402" w:rsidR="002F7BDF" w:rsidRPr="00D43FA1" w:rsidRDefault="002F7BDF" w:rsidP="00067EA9">
      <w:pPr>
        <w:pStyle w:val="JuristischerAbsatznichtnummeriert"/>
        <w:ind w:left="425" w:firstLine="0"/>
      </w:pPr>
      <w:r>
        <w:rPr>
          <w:rStyle w:val="Marker"/>
          <w:color w:val="auto"/>
        </w:rPr>
        <w:t>1. există cerințe speciale pentru obiectele care vin în contact cu produsele alimentare, în special faptul că obiectul care vine în contact cu produsul alimentar nu are decât un conținut scăzut de hidrocarburi aromatice minerale sau</w:t>
      </w:r>
    </w:p>
    <w:p w14:paraId="05A8EA42" w14:textId="0B5F5620" w:rsidR="00123700" w:rsidRPr="00D43FA1" w:rsidRDefault="002F7BDF" w:rsidP="00067EA9">
      <w:pPr>
        <w:pStyle w:val="JuristischerAbsatznichtnummeriert"/>
        <w:ind w:left="425" w:firstLine="0"/>
      </w:pPr>
      <w:r>
        <w:rPr>
          <w:rStyle w:val="Marker"/>
          <w:color w:val="auto"/>
        </w:rPr>
        <w:t xml:space="preserve">2. </w:t>
      </w:r>
      <w:r>
        <w:t>producătorul sau distribuitorul de materiale care vin în contact cu produsul alimentar a luat alte măsuri adecvate pentru a preveni transferul.</w:t>
      </w:r>
    </w:p>
    <w:p w14:paraId="0AD974E6" w14:textId="6D982343" w:rsidR="00735843" w:rsidRPr="00D43FA1" w:rsidRDefault="00E24BD3" w:rsidP="00067EA9">
      <w:pPr>
        <w:pStyle w:val="JuristischerAbsatznichtnummeriert"/>
        <w:ind w:left="425" w:firstLine="295"/>
      </w:pPr>
      <w:r>
        <w:rPr>
          <w:rStyle w:val="Marker"/>
          <w:color w:val="auto"/>
        </w:rPr>
        <w:t xml:space="preserve">(3) </w:t>
      </w:r>
      <w:r>
        <w:t xml:space="preserve">Prin derogare de la alineatul 1 prima teză, materialele care vin în contact cu produsele alimentare descrise acolo pot fi fabricate și introduse pe piață fără o barieră funcțională în cazul în care operatorul din sectorul alimentar care aduce mai întâi produsul alimentar în contact cu un produs alimentar prin ambalare sau prin alte mijloace, informează înainte de livrarea produsului alimentar, în scris sau electronic, producătorul sau distribuitorul produsului alimentar despre faptul că bariera funcțională menționată la articolul 2 punctul 9 nu se aplică. </w:t>
      </w:r>
    </w:p>
    <w:p w14:paraId="789B1568" w14:textId="520EFB10" w:rsidR="00E24BD3" w:rsidRPr="00D43FA1" w:rsidRDefault="00E24BD3" w:rsidP="005E71E1">
      <w:pPr>
        <w:pStyle w:val="JuristischerAbsatznichtnummeriert"/>
        <w:keepLines/>
        <w:ind w:left="425" w:firstLine="295"/>
      </w:pPr>
      <w:r>
        <w:rPr>
          <w:rStyle w:val="Marker"/>
          <w:color w:val="auto"/>
        </w:rPr>
        <w:lastRenderedPageBreak/>
        <w:t>(4)</w:t>
      </w:r>
      <w:r>
        <w:t xml:space="preserve"> În cazurile menționate la alineatul (3), operatorul din sectorul alimentar care utilizează produsul alimentar se asigură că: este exclus transferul hidrocarburilor aromatice minerale din produsul alimentar către produsele alimentare menționate la alineatul (1) a doua teză. În acest scop, operatorul trebuie să folosească o barieră funcțională în conformitate cu articolul 2 punctul 9 litera (b) sau să ia alte măsuri adecvate. A doua teză nu se aplică în cazul în care, în special din cauza naturii produselor alimentare care intră în contact cu materialul de contact cu produsele alimentare sau din cauza condițiilor prevăzute de utilizare a materialului de contact cu produsele alimentare, există condiții speciale care au ca rezultat un transfer de hidrocarburi aromatice minerale din materialul care vine în contact cu produsele alimentare prevăzute la alineatul (1) a doua teză.</w:t>
      </w:r>
    </w:p>
    <w:p w14:paraId="5366601D" w14:textId="03640CCF" w:rsidR="00313AFD" w:rsidRPr="00D43FA1" w:rsidRDefault="00E24BD3" w:rsidP="00C62066">
      <w:pPr>
        <w:pStyle w:val="JuristischerAbsatznichtnummeriert"/>
        <w:ind w:firstLine="720"/>
      </w:pPr>
      <w:r>
        <w:rPr>
          <w:rStyle w:val="Marker"/>
          <w:color w:val="auto"/>
        </w:rPr>
        <w:t xml:space="preserve">(5) </w:t>
      </w:r>
      <w:r>
        <w:t xml:space="preserve"> La cererea autorității competente, trebuie prezentate următoarele:</w:t>
      </w:r>
    </w:p>
    <w:p w14:paraId="77519757" w14:textId="4193C14E" w:rsidR="002F7BDF" w:rsidRPr="007E01A6" w:rsidRDefault="002F7BDF" w:rsidP="00C62066">
      <w:pPr>
        <w:pStyle w:val="JuristischerAbsatznichtnummeriert"/>
        <w:ind w:left="425" w:firstLine="0"/>
        <w:rPr>
          <w:rStyle w:val="Marker"/>
          <w:color w:val="auto"/>
        </w:rPr>
      </w:pPr>
      <w:r>
        <w:rPr>
          <w:rStyle w:val="Marker"/>
          <w:color w:val="auto"/>
        </w:rPr>
        <w:t>1. conformitatea producătorului sau distribuitorului produsului alimentar cu cerințele prevăzute la alineatele (2) și (3) și</w:t>
      </w:r>
    </w:p>
    <w:p w14:paraId="2F2FD13A" w14:textId="19286176" w:rsidR="00313AFD" w:rsidRPr="007E01A6" w:rsidRDefault="002F7BDF" w:rsidP="00C62066">
      <w:pPr>
        <w:pStyle w:val="JuristischerAbsatznichtnummeriert"/>
        <w:ind w:left="425" w:firstLine="0"/>
        <w:rPr>
          <w:rStyle w:val="Marker"/>
          <w:color w:val="auto"/>
        </w:rPr>
      </w:pPr>
      <w:r>
        <w:rPr>
          <w:rStyle w:val="Marker"/>
          <w:color w:val="auto"/>
        </w:rPr>
        <w:t>2. conformitatea operatorului din sectorul alimentar cu cerințele prevăzute la punctul 4.</w:t>
      </w:r>
    </w:p>
    <w:p w14:paraId="587A74FC" w14:textId="6F4A63D4" w:rsidR="004F1DB4" w:rsidRPr="00D43FA1" w:rsidRDefault="00E24BD3" w:rsidP="00C62066">
      <w:pPr>
        <w:pStyle w:val="JuristischerAbsatznichtnummeriert"/>
        <w:ind w:left="425" w:firstLine="0"/>
      </w:pPr>
      <w:r>
        <w:t>Entitățile obligate menționate în prima teză trebuie să prezinte documentele care atestă faptul că este exclus transferul hidrocarburilor aromatice minerale din produsul alimentar către produsele alimentare sau simulanții alimentari menționați la alineatul (1) a doua teză.</w:t>
      </w:r>
    </w:p>
    <w:p w14:paraId="0AA413D8" w14:textId="1C6B2756" w:rsidR="007F06A5" w:rsidRPr="00D43FA1" w:rsidRDefault="00E24BD3" w:rsidP="00C62066">
      <w:pPr>
        <w:pStyle w:val="JuristischerAbsatznichtnummeriert"/>
        <w:ind w:left="425" w:firstLine="295"/>
      </w:pPr>
      <w:r>
        <w:rPr>
          <w:rStyle w:val="Marker"/>
          <w:color w:val="auto"/>
        </w:rPr>
        <w:t xml:space="preserve">(6) </w:t>
      </w:r>
      <w:r>
        <w:t>Se interzice introducerea pe piață a produselor alimentare ca produse alimentare care au venit în contact cu un produs alimentar fără a respecta cerințele prevăzute la alineatul (1) prima teză sau la alineatul (4) prima teză.”</w:t>
      </w:r>
    </w:p>
    <w:p w14:paraId="6FA09614" w14:textId="77777777" w:rsidR="00D10507" w:rsidRPr="00D43FA1" w:rsidRDefault="00D10507" w:rsidP="00D43FA1">
      <w:pPr>
        <w:pStyle w:val="NummerierungStufe1"/>
        <w:keepNext/>
        <w:keepLines/>
      </w:pPr>
      <w:r>
        <w:t>La articolul 7 alineatul (1), textul „articolul 6” se înlocuiește cu textul „6a alineatul (4)”.</w:t>
      </w:r>
    </w:p>
    <w:p w14:paraId="7EAA6364" w14:textId="77777777" w:rsidR="00D10507" w:rsidRPr="00D43FA1" w:rsidRDefault="00634FE4" w:rsidP="00D43FA1">
      <w:pPr>
        <w:pStyle w:val="NummerierungStufe1"/>
        <w:keepNext/>
        <w:keepLines/>
      </w:pPr>
      <w:r>
        <w:t xml:space="preserve">Articolul 12 are formularea următoare: </w:t>
      </w:r>
    </w:p>
    <w:p w14:paraId="69B3E358" w14:textId="77777777" w:rsidR="005068AC" w:rsidRPr="00D43FA1" w:rsidRDefault="005068AC" w:rsidP="00D43FA1">
      <w:pPr>
        <w:pStyle w:val="NummerierungStufe2"/>
        <w:keepNext/>
        <w:keepLines/>
        <w:rPr>
          <w:rStyle w:val="Marker"/>
          <w:color w:val="auto"/>
        </w:rPr>
      </w:pPr>
      <w:r>
        <w:rPr>
          <w:rStyle w:val="Marker"/>
          <w:color w:val="auto"/>
        </w:rPr>
        <w:t>Alineatul (2) se modifică după cum urmează:</w:t>
      </w:r>
    </w:p>
    <w:p w14:paraId="35259617" w14:textId="77777777" w:rsidR="005068AC" w:rsidRPr="00D43FA1" w:rsidRDefault="00AC0D2A" w:rsidP="005068AC">
      <w:pPr>
        <w:pStyle w:val="NummerierungStufe3"/>
        <w:rPr>
          <w:rStyle w:val="Marker"/>
          <w:color w:val="auto"/>
        </w:rPr>
      </w:pPr>
      <w:r>
        <w:rPr>
          <w:rStyle w:val="Marker"/>
          <w:color w:val="auto"/>
        </w:rPr>
        <w:t>La punctul 3, cuvântul „sau” se înlocuiește cu o virgulă.</w:t>
      </w:r>
    </w:p>
    <w:p w14:paraId="7DFBB224" w14:textId="77777777" w:rsidR="005068AC" w:rsidRPr="00D43FA1" w:rsidRDefault="00AC0D2A" w:rsidP="005068AC">
      <w:pPr>
        <w:pStyle w:val="NummerierungStufe3"/>
        <w:rPr>
          <w:rStyle w:val="Marker"/>
          <w:color w:val="auto"/>
        </w:rPr>
      </w:pPr>
      <w:r>
        <w:rPr>
          <w:rStyle w:val="Marker"/>
          <w:color w:val="auto"/>
        </w:rPr>
        <w:t>La punctul 4, punctul de la sfârșit se înlocuiește cu o virgulă.</w:t>
      </w:r>
    </w:p>
    <w:p w14:paraId="3BEDFB5A" w14:textId="6B87E8A4" w:rsidR="00AC0D2A" w:rsidRPr="00D43FA1" w:rsidRDefault="003B2E93" w:rsidP="00D43FA1">
      <w:pPr>
        <w:pStyle w:val="NummerierungStufe3"/>
        <w:keepNext/>
        <w:keepLines/>
        <w:ind w:hanging="425"/>
        <w:rPr>
          <w:rStyle w:val="Marker"/>
          <w:color w:val="auto"/>
        </w:rPr>
      </w:pPr>
      <w:r>
        <w:rPr>
          <w:rStyle w:val="Marker"/>
          <w:color w:val="auto"/>
        </w:rPr>
        <w:t>Se introduc punctele 5 și 6 cu formularea următoare:</w:t>
      </w:r>
    </w:p>
    <w:p w14:paraId="33D0714E" w14:textId="1077FDEF" w:rsidR="00241B36" w:rsidRPr="00D43FA1" w:rsidRDefault="00E24BD3" w:rsidP="00E24BD3">
      <w:pPr>
        <w:pStyle w:val="JuristischerAbsatznichtnummeriert"/>
        <w:ind w:left="850" w:firstLine="426"/>
        <w:rPr>
          <w:rStyle w:val="Marker"/>
          <w:color w:val="auto"/>
        </w:rPr>
      </w:pPr>
      <w:r>
        <w:rPr>
          <w:rStyle w:val="Marker"/>
          <w:color w:val="auto"/>
        </w:rPr>
        <w:t xml:space="preserve">„5. contrar articolului 6a alineatul (1) prima teză sau alineatul (6), introduce pe piață un articol sau un produs alimentar care vine în contact cu produsele alimentare; sau </w:t>
      </w:r>
    </w:p>
    <w:p w14:paraId="5E978D5C" w14:textId="45631538" w:rsidR="00B77970" w:rsidRPr="00D43FA1" w:rsidRDefault="00E24BD3" w:rsidP="00E24BD3">
      <w:pPr>
        <w:pStyle w:val="JuristischerAbsatznichtnummeriert"/>
        <w:ind w:left="850" w:firstLine="426"/>
      </w:pPr>
      <w:r>
        <w:rPr>
          <w:rStyle w:val="Marker"/>
          <w:color w:val="auto"/>
        </w:rPr>
        <w:t xml:space="preserve">6. contrar articolului 6a alineatul (4) prima teză nu garantează excluderea transferului hidrocarburilor aromatice minerale.” </w:t>
      </w:r>
    </w:p>
    <w:p w14:paraId="7716DBF5" w14:textId="4D9148FD" w:rsidR="005068AC" w:rsidRPr="00D43FA1" w:rsidRDefault="005068AC" w:rsidP="00D43FA1">
      <w:pPr>
        <w:pStyle w:val="NummerierungStufe2"/>
        <w:keepNext/>
        <w:keepLines/>
        <w:rPr>
          <w:rStyle w:val="Marker"/>
          <w:color w:val="auto"/>
        </w:rPr>
      </w:pPr>
      <w:r>
        <w:rPr>
          <w:rStyle w:val="Marker"/>
          <w:color w:val="auto"/>
        </w:rPr>
        <w:t>Alineatul (6) se modifică după cum urmează:</w:t>
      </w:r>
    </w:p>
    <w:p w14:paraId="43014887" w14:textId="0AE6F9B7" w:rsidR="005068AC" w:rsidRPr="00D43FA1" w:rsidRDefault="003B2E93" w:rsidP="00D43FA1">
      <w:pPr>
        <w:pStyle w:val="NummerierungStufe3"/>
        <w:keepNext/>
        <w:keepLines/>
        <w:ind w:hanging="425"/>
        <w:rPr>
          <w:rStyle w:val="Marker"/>
          <w:color w:val="auto"/>
        </w:rPr>
      </w:pPr>
      <w:r>
        <w:rPr>
          <w:rStyle w:val="Marker"/>
          <w:color w:val="auto"/>
        </w:rPr>
        <w:t>Înaintea paragrafului (1), se introduce paragraful (1) următor:</w:t>
      </w:r>
    </w:p>
    <w:p w14:paraId="008549AE" w14:textId="466291BF" w:rsidR="00E24BD3" w:rsidRPr="007E01A6" w:rsidRDefault="00E24BD3" w:rsidP="00E24BD3">
      <w:pPr>
        <w:pStyle w:val="JuristischerAbsatznichtnummeriert"/>
        <w:ind w:left="720" w:firstLine="556"/>
        <w:rPr>
          <w:rStyle w:val="Marker"/>
          <w:color w:val="auto"/>
        </w:rPr>
      </w:pPr>
      <w:r>
        <w:rPr>
          <w:rStyle w:val="Marker"/>
          <w:color w:val="auto"/>
        </w:rPr>
        <w:t>1. contrar articolului 6a alineatul (5) a doua teză nu deține un document sau acesta este incorect sau incomplet”.</w:t>
      </w:r>
    </w:p>
    <w:p w14:paraId="27C15FD7" w14:textId="64F26C1B" w:rsidR="005068AC" w:rsidRPr="00D43FA1" w:rsidRDefault="00504030" w:rsidP="00E53816">
      <w:pPr>
        <w:pStyle w:val="NummerierungStufe3"/>
      </w:pPr>
      <w:r>
        <w:rPr>
          <w:rStyle w:val="Marker"/>
          <w:color w:val="auto"/>
        </w:rPr>
        <w:t>Punctul 1 anterior se renumerotează ca punctul 2.</w:t>
      </w:r>
    </w:p>
    <w:p w14:paraId="40868CB4" w14:textId="77777777" w:rsidR="00DA7A9F" w:rsidRPr="00D43FA1" w:rsidRDefault="00DA7A9F" w:rsidP="00D43FA1">
      <w:pPr>
        <w:pStyle w:val="NummerierungStufe1"/>
        <w:keepNext/>
        <w:keepLines/>
      </w:pPr>
      <w:r>
        <w:lastRenderedPageBreak/>
        <w:t>La articolul 16 se introduc alineatele (15) și (16) următoare:</w:t>
      </w:r>
    </w:p>
    <w:p w14:paraId="53C2A8E8" w14:textId="4612D6D2" w:rsidR="002666C4" w:rsidRPr="005E71E1" w:rsidRDefault="00C07FE5" w:rsidP="00C07FE5">
      <w:pPr>
        <w:pStyle w:val="JuristischerAbsatznichtnummeriert"/>
        <w:ind w:left="425" w:firstLine="295"/>
        <w:rPr>
          <w:spacing w:val="-4"/>
        </w:rPr>
      </w:pPr>
      <w:r w:rsidRPr="005E71E1">
        <w:rPr>
          <w:rStyle w:val="Marker"/>
          <w:color w:val="auto"/>
          <w:spacing w:val="-4"/>
        </w:rPr>
        <w:t xml:space="preserve">„(15) Articolul 6a </w:t>
      </w:r>
      <w:r w:rsidRPr="005E71E1">
        <w:rPr>
          <w:spacing w:val="-4"/>
        </w:rPr>
        <w:t>este disponibil numai de la ... [A se completa: data primei zile a celei de a treizeci și șaptea lună calendaristică următoare promulgării prezentului regulament].</w:t>
      </w:r>
    </w:p>
    <w:p w14:paraId="0BC81A17" w14:textId="18B7C145" w:rsidR="00C07FE5" w:rsidRPr="00D43FA1" w:rsidRDefault="00C07FE5" w:rsidP="00C07FE5">
      <w:pPr>
        <w:pStyle w:val="JuristischerAbsatznichtnummeriert"/>
        <w:tabs>
          <w:tab w:val="left" w:pos="1134"/>
          <w:tab w:val="left" w:pos="1418"/>
        </w:tabs>
        <w:ind w:left="425" w:firstLine="295"/>
      </w:pPr>
      <w:r>
        <w:t>(16)</w:t>
      </w:r>
      <w:r>
        <w:tab/>
        <w:t>Materialele care vin în contact cu produsele alimentare care au fost fabricate cu hârtie reciclată în conformitate cu reglementările aplicabile, până la data specificată la punctul 15, pot fi încă introduse pe piață și utilizate până la ... [a se completa Data primei zile a celei de-a șaizeci și una lună calendaristică următoare datei promulgării prezentului regulament].”</w:t>
      </w:r>
    </w:p>
    <w:p w14:paraId="6DD6BE05" w14:textId="1E96CDA2" w:rsidR="00C86A55" w:rsidRPr="00D43FA1" w:rsidRDefault="00D43FA1" w:rsidP="00D43FA1">
      <w:pPr>
        <w:pStyle w:val="ArtikelBezeichner"/>
        <w:numPr>
          <w:ilvl w:val="0"/>
          <w:numId w:val="0"/>
        </w:numPr>
        <w:ind w:left="720" w:hanging="720"/>
      </w:pPr>
      <w:r>
        <w:t>Articolul 2</w:t>
      </w:r>
    </w:p>
    <w:p w14:paraId="6244BBAD" w14:textId="77777777" w:rsidR="00C86A55" w:rsidRPr="00D43FA1" w:rsidRDefault="000B2DB8" w:rsidP="00C86A55">
      <w:pPr>
        <w:pStyle w:val="Artikelberschrift"/>
      </w:pPr>
      <w:r>
        <w:t>Permisiune de comunicare</w:t>
      </w:r>
    </w:p>
    <w:p w14:paraId="01E0D16A" w14:textId="3D86B3E2" w:rsidR="00C86A55" w:rsidRPr="00D43FA1" w:rsidRDefault="00C86A55" w:rsidP="00B643B8">
      <w:pPr>
        <w:pStyle w:val="JuristischerAbsatznichtnummeriert"/>
      </w:pPr>
      <w:r>
        <w:t>Ministerul Federal al Alimentației și Agriculturii poate utiliza textul Regulamentului privind bunurile de consum din ...[a se completa: Data intrării în vigoare a prezentului regulament] în versiunea în vigoare publicată în Monitorul Oficial Federal.</w:t>
      </w:r>
    </w:p>
    <w:p w14:paraId="28CE82C3" w14:textId="25904053" w:rsidR="006444D5" w:rsidRPr="00D43FA1" w:rsidRDefault="00D43FA1" w:rsidP="00D43FA1">
      <w:pPr>
        <w:pStyle w:val="ArtikelBezeichner"/>
        <w:numPr>
          <w:ilvl w:val="0"/>
          <w:numId w:val="0"/>
        </w:numPr>
      </w:pPr>
      <w:r>
        <w:t>Articolul 3</w:t>
      </w:r>
    </w:p>
    <w:p w14:paraId="157B2F9D" w14:textId="77777777" w:rsidR="006444D5" w:rsidRPr="00D43FA1" w:rsidRDefault="006444D5" w:rsidP="00612652">
      <w:pPr>
        <w:pStyle w:val="Artikelberschrift"/>
      </w:pPr>
      <w:r>
        <w:rPr>
          <w:rStyle w:val="Marker"/>
          <w:color w:val="auto"/>
        </w:rPr>
        <w:t>Intrare în vigoare</w:t>
      </w:r>
    </w:p>
    <w:p w14:paraId="31DE4A11" w14:textId="77777777" w:rsidR="006444D5" w:rsidRPr="00D43FA1" w:rsidRDefault="00C86A55" w:rsidP="00612652">
      <w:pPr>
        <w:pStyle w:val="JuristischerAbsatznichtnummeriert"/>
      </w:pPr>
      <w:r>
        <w:rPr>
          <w:rStyle w:val="Marker"/>
          <w:color w:val="auto"/>
        </w:rPr>
        <w:t>Prezentul regulament intră în vigoare în ziua următoare promulgării sale.</w:t>
      </w:r>
    </w:p>
    <w:p w14:paraId="37CC3236" w14:textId="77777777" w:rsidR="006444D5" w:rsidRPr="00D43FA1" w:rsidRDefault="006444D5" w:rsidP="006444D5">
      <w:pPr>
        <w:pStyle w:val="Schlussformel"/>
        <w:rPr>
          <w:rStyle w:val="Marker"/>
          <w:color w:val="auto"/>
        </w:rPr>
      </w:pPr>
      <w:r>
        <w:rPr>
          <w:rStyle w:val="Marker"/>
          <w:color w:val="auto"/>
        </w:rPr>
        <w:t>Bundesratul Germaniei a aprobat.</w:t>
      </w:r>
    </w:p>
    <w:p w14:paraId="2FAF18C3" w14:textId="5D4D10CB" w:rsidR="00646A3B" w:rsidRPr="00D43FA1" w:rsidRDefault="001B10CC" w:rsidP="00646A3B">
      <w:pPr>
        <w:pStyle w:val="OrtDatum"/>
      </w:pPr>
      <w:r>
        <w:t>Bonn, la data de…..2020</w:t>
      </w:r>
    </w:p>
    <w:p w14:paraId="6B55ADD4" w14:textId="5958D35B" w:rsidR="00646A3B" w:rsidRPr="00D43FA1" w:rsidRDefault="00646A3B" w:rsidP="00646A3B">
      <w:pPr>
        <w:pStyle w:val="Organisation"/>
        <w:rPr>
          <w:spacing w:val="0"/>
        </w:rPr>
      </w:pPr>
    </w:p>
    <w:p w14:paraId="50FA98AC" w14:textId="24B1EF63" w:rsidR="00646A3B" w:rsidRPr="005E71E1" w:rsidRDefault="00646A3B" w:rsidP="00646A3B">
      <w:pPr>
        <w:pStyle w:val="Organisation"/>
        <w:rPr>
          <w:spacing w:val="0"/>
        </w:rPr>
      </w:pPr>
      <w:r w:rsidRPr="005E71E1">
        <w:rPr>
          <w:spacing w:val="0"/>
        </w:rPr>
        <w:t xml:space="preserve">Ministrul federal </w:t>
      </w:r>
    </w:p>
    <w:p w14:paraId="38BFE5A9" w14:textId="2AF85087" w:rsidR="00646A3B" w:rsidRPr="005E71E1" w:rsidRDefault="00646A3B" w:rsidP="00646A3B">
      <w:pPr>
        <w:pStyle w:val="Organisation"/>
        <w:rPr>
          <w:spacing w:val="0"/>
        </w:rPr>
      </w:pPr>
      <w:r w:rsidRPr="005E71E1">
        <w:rPr>
          <w:spacing w:val="0"/>
        </w:rPr>
        <w:t>pentru alimentație și agricultură</w:t>
      </w:r>
    </w:p>
    <w:p w14:paraId="390D4D95" w14:textId="18482467" w:rsidR="006444D5" w:rsidRPr="00D43FA1" w:rsidRDefault="006444D5" w:rsidP="00D43FA1">
      <w:pPr>
        <w:pStyle w:val="BegrndungTitel"/>
        <w:keepLines/>
        <w:pageBreakBefore/>
      </w:pPr>
      <w:r>
        <w:lastRenderedPageBreak/>
        <w:t>Expunere de motive</w:t>
      </w:r>
    </w:p>
    <w:p w14:paraId="4E661150" w14:textId="77777777" w:rsidR="006444D5" w:rsidRPr="00D43FA1" w:rsidRDefault="006444D5" w:rsidP="00D43FA1">
      <w:pPr>
        <w:pStyle w:val="BegrndungAllgemeinerTeil"/>
        <w:keepLines/>
      </w:pPr>
      <w:r>
        <w:t>A. Partea generală</w:t>
      </w:r>
    </w:p>
    <w:p w14:paraId="3CB30F24" w14:textId="77777777" w:rsidR="006444D5" w:rsidRPr="00D43FA1" w:rsidRDefault="006444D5" w:rsidP="00D43FA1">
      <w:pPr>
        <w:pStyle w:val="berschriftrmischBegrndung"/>
        <w:keepLines/>
      </w:pPr>
      <w:r>
        <w:t>Stabilirea obiectivului și necesitatea reglementărilor</w:t>
      </w:r>
    </w:p>
    <w:p w14:paraId="3C58B331" w14:textId="65DA7301" w:rsidR="00CB5E99" w:rsidRPr="00D43FA1" w:rsidRDefault="00CB5E99" w:rsidP="00CB5E99">
      <w:pPr>
        <w:pStyle w:val="Text"/>
      </w:pPr>
      <w:r>
        <w:t xml:space="preserve">Produsele alimentare pot fi contaminate cu ulei mineral, după cum reiese din studiile efectuate în cadrul unui proiect de cercetare finanțat de Ministerul Federal al Alimentației și Agriculturii (Gradul de migrare a substanțelor nedorite din materialele de ambalare fabricate din deșeuri de hârtie în produsele alimentare - raport suplimentar „Analiza unui număr de 119 produse alimentare” pentru substanțele nedorite din deșeurile de hârtie, cod de licență 2809HS012). Pe lângă alte surse de contaminare, ambalajele alimentare din hârtie, cutii de carton sau carton, în special cele din hârtie reciclată, sunt o cauză majoră a contaminării. </w:t>
      </w:r>
    </w:p>
    <w:p w14:paraId="31DF33D8" w14:textId="77777777" w:rsidR="00CB5E99" w:rsidRPr="00D43FA1" w:rsidRDefault="00CB5E99" w:rsidP="00CB5E99">
      <w:pPr>
        <w:pStyle w:val="Text"/>
      </w:pPr>
      <w:r>
        <w:t>Uleiul mineral poate intra în hârtia reciclată prin recuperarea deșeurilor de hârtie. Hârtia reciclată conține fibre obținute din deșeuri de hârtie (așa-numitele materiale reziduale din hârtie). Deșeurile de hârtie constau în principal din ziare, hârtii din materiale publicitare, reviste, cataloage și alte hârtii grafice, precum și din hârtia de ambalaje. Pentru a tipări pe aceste lucrări se folosește cerneală de tipărire care, în funcție de procesul de imprimare și domeniul de aplicare, conține, de asemenea, ulei mineral.</w:t>
      </w:r>
    </w:p>
    <w:p w14:paraId="5AD4C587" w14:textId="1F6D1D80" w:rsidR="00CB5E99" w:rsidRPr="00D43FA1" w:rsidRDefault="00CB5E99" w:rsidP="00CB5E99">
      <w:pPr>
        <w:pStyle w:val="Text"/>
      </w:pPr>
      <w:r>
        <w:t>Uleiul mineral este obținut din petrol și este un amestec complex, care constă în principal din hidrocarburi saturate (în lanț și inele) și aromatice (în majoritate alchilate). În unele cazuri, în produsele alimentare au fost găsite cantități considerabile de hidrocarburi care conțin ulei mineral. De asemenea, conțin hidrocarburi aromatice minerale (MOAH). În opinia Institutului Federal de Evaluare a Riscurilor (BfR), conținutul de MOAH ar trebui redus la minimum (de exemplu, Avizul BfR nr. 008/2010, Comunicatul de presă BfR 41/2012, Întrebări frecvente BfR din 30 noiembrie 2012/26 noiembrie 2015), deoarece nu se poate exclude riscul ca MOAH să conțină substanțe dăunătoare pentru sănătate, cum ar fi, de exemplu, riscul de a provoca cancer. Autoritatea Europeană pentru Siguranța Alimentară (EFSA) și-a exprimat îngrijorarea în avizul său din 3 mai 2012 (Jurnalul EFSA din 2012; 10(6):2704) în ceea ce privește expunerea la MOAH din cauza potențialului său cancerigen. EFSA a mai constatat că ambalajele alimentare fabricate din deșeuri de hârtie pot avea un risc semnificativ de expunere la hidrocarburi minerale din produsele alimentare.</w:t>
      </w:r>
    </w:p>
    <w:p w14:paraId="2FAAA0A3" w14:textId="77777777" w:rsidR="00612652" w:rsidRPr="007E01A6" w:rsidRDefault="00612652">
      <w:pPr>
        <w:pStyle w:val="Text"/>
      </w:pPr>
      <w:r>
        <w:t>Prezentul regulament este menit să îmbunătățească în mod semnificativ protecția consumatorilor împotriva posibilelor pericole pentru sănătate cauzate de articolele care vin în contact cu produsele alimentare, realizate din hârtie, cutii de carton sau carton, care sunt fabricate cu hârtie reciclată și din care MOAH poate fi transferat în produsele alimentare.</w:t>
      </w:r>
    </w:p>
    <w:p w14:paraId="3FE169D4" w14:textId="0217AD32" w:rsidR="006444D5" w:rsidRPr="00D43FA1" w:rsidRDefault="006444D5">
      <w:pPr>
        <w:pStyle w:val="berschriftrmischBegrndung"/>
      </w:pPr>
      <w:r>
        <w:lastRenderedPageBreak/>
        <w:t>Conținut esențial</w:t>
      </w:r>
    </w:p>
    <w:p w14:paraId="45A5B0F9" w14:textId="2B0307C3" w:rsidR="00F04D45" w:rsidRPr="005E71E1" w:rsidRDefault="00F04D45" w:rsidP="005E71E1">
      <w:pPr>
        <w:pStyle w:val="Text"/>
        <w:keepLines/>
        <w:rPr>
          <w:spacing w:val="-4"/>
          <w:szCs w:val="24"/>
        </w:rPr>
      </w:pPr>
      <w:r w:rsidRPr="005E71E1">
        <w:rPr>
          <w:spacing w:val="-4"/>
        </w:rPr>
        <w:t>Scopul prezentului regulament este de a limita transferul de MOAH din materialele care vin în contact cu produsele alimentare, fabricate din hârtie, cutii de carton sau carton, care sunt obținute din hârtie reciclată, în produsele alimentare. O modalitate adecvată de a pune în aplicare o astfel de limitare este o barieră funcțională. Prin urmare, se instituie o obligație fundamentală de a dota materialele de contact relevante cu o astfel de barieră funcțională. Conform prezentului regulament, funcționalitatea barierei este determinată de o limită de detecție de 0,5 miligrame MOAH pe kilogram de produs alimentar pentru transferul din articolul care vine în contact cu produsul alimentar. În cazul testării în simulantele alimentare, se aplică o limită de detecție de 0,15 miligrame MOAH pe kilogram de simulant alimentar. Obligația producătorului sau a distribuitorului de materiale care vin în contact cu produsele alimentare de a dota materialele care vin în contact cu produsele alimentare cu o barieră funcțională nu se aplică, însă, în cazul în care operatorul din domeniul alimentar care procură materialul care vine în contact cu produsul alimentar declară producătorului sau distribuitorului, înainte de livrare, că nu folosește o barieră funcțională. În acest caz, operatorul din domeniul alimentar trebuie să ia propriile măsuri pentru a se asigura că este exclus transferul de MOAH în produsele alimentare, cu excepția cazului în care există condiții speciale, de exemplu în ceea ce privește natura alimentului, care împiedică transferul de MOAH în produsele alimentare. Obligația de a dota materialele care vin în contact cu produsele alimentare cu o barieră funcțională nu se aplică nici în cazul în care producătorul sau distribuitorul materialului care vine în contact cu produsul alimentar poate garanta într-un alt mod decât utilizarea unei bariere funcționale că este exclus un transfer de MOAH în produsele alimentare. De exemplu, acest lucru se poate întâmpla în cazul în care conținutul de MOAH din hârtie, cutia de carton sau carton este deja la o limită atât de scăzută încât nu se poate produce un transfer de MOAH în produsele alimentare peste limita de detecție.</w:t>
      </w:r>
    </w:p>
    <w:p w14:paraId="00831AD3" w14:textId="77777777" w:rsidR="006444D5" w:rsidRPr="00D43FA1" w:rsidRDefault="006444D5">
      <w:pPr>
        <w:pStyle w:val="berschriftrmischBegrndung"/>
      </w:pPr>
      <w:r>
        <w:t>Soluții alternative</w:t>
      </w:r>
    </w:p>
    <w:p w14:paraId="40A8C660" w14:textId="77777777" w:rsidR="00CB5E99" w:rsidRPr="00D43FA1" w:rsidRDefault="00E53816" w:rsidP="00CB5E99">
      <w:pPr>
        <w:pStyle w:val="Text"/>
      </w:pPr>
      <w:r>
        <w:t xml:space="preserve">Nu există. Pentru a proteja sănătatea consumatorilor și pentru a garanta o manipulare uniformă, sunt necesare cerințe legale corespunzătoare și aplicarea obligatorie a unei limite de detecție pentru MOAH în produsele alimentare. </w:t>
      </w:r>
    </w:p>
    <w:p w14:paraId="25CF33C9" w14:textId="77777777" w:rsidR="00F279DE" w:rsidRPr="00D43FA1" w:rsidRDefault="00F279DE">
      <w:pPr>
        <w:pStyle w:val="berschriftrmischBegrndung"/>
      </w:pPr>
      <w:r>
        <w:t>Competența de legiferare</w:t>
      </w:r>
    </w:p>
    <w:p w14:paraId="19025BF8" w14:textId="613F8FF1" w:rsidR="00F279DE" w:rsidRPr="00D43FA1" w:rsidRDefault="007525FC" w:rsidP="00F279DE">
      <w:pPr>
        <w:pStyle w:val="Text"/>
      </w:pPr>
      <w:r>
        <w:t>Ministerul Federal al Alimentației și Agriculturii este autorizat în conformitate cu articolul 31 alineatul (2) prima teză punctul 2 din LFGB, de asemenea, coroborat cu articolul 4 alineatul (2) punctul 2, și articolul 46 alineatul (2) prima teză punctul 1 litera (a) din LFGB, precum și articolul 34 prima teză punctul 2 coroborat cu articolul 4 alineatul (2) punctul 2 din LFGB, să adopte prezentul regulament.</w:t>
      </w:r>
    </w:p>
    <w:p w14:paraId="0A8F0A8B" w14:textId="77777777" w:rsidR="00CD79FA" w:rsidRPr="00D43FA1" w:rsidRDefault="00CD79FA">
      <w:pPr>
        <w:pStyle w:val="berschriftrmischBegrndung"/>
      </w:pPr>
      <w:r>
        <w:t>Compatibilitatea cu dreptul Uniunii Europene și cu tratatele internaționale</w:t>
      </w:r>
    </w:p>
    <w:p w14:paraId="2C943AFB" w14:textId="0C4761B7" w:rsidR="00CD79FA" w:rsidRPr="00D43FA1" w:rsidRDefault="00CD79FA" w:rsidP="00CD79FA">
      <w:pPr>
        <w:pStyle w:val="Text"/>
      </w:pPr>
      <w:r>
        <w:t>Dreptul Uniunii privind materialele care vin în contact cu produsele alimentare nu a fost încă complet armonizat. Regulamentul (CE) nr. 1935/2004 stabilește cerințele generale. Cu toate acestea, până în prezent, măsurile individuale au existat doar pentru grupuri individuale de materiale. Articolul 6 din Regulamentul (CE) nr. 1935/2004 permite statelor membre ale UE să mențină sau să adopte reglementări naționale pentru grupuri de materiale și obiecte pentru care nu au fost luate măsuri individuale la nivelul UE. Nu există astfel de măsuri individuale ale UE pentru materialele de contact cu alimente din hârtie, cutii de carton sau carton - atât din fibre proaspete, cât și din deșeuri de hârtie. În acest sens, este compatibil cu dreptul Uniunii. Tratatele internaționale nu sunt afectate.</w:t>
      </w:r>
    </w:p>
    <w:p w14:paraId="4DA789C5" w14:textId="77777777" w:rsidR="006444D5" w:rsidRPr="00D43FA1" w:rsidRDefault="006444D5">
      <w:pPr>
        <w:pStyle w:val="berschriftrmischBegrndung"/>
      </w:pPr>
      <w:r>
        <w:lastRenderedPageBreak/>
        <w:t>Consecințe juridice</w:t>
      </w:r>
    </w:p>
    <w:p w14:paraId="2F5D3B8F" w14:textId="77777777" w:rsidR="009809AB" w:rsidRPr="00D43FA1" w:rsidRDefault="009809AB">
      <w:pPr>
        <w:pStyle w:val="berschriftarabischBegrndung"/>
      </w:pPr>
      <w:r>
        <w:t>Simplificare juridică și administrativă</w:t>
      </w:r>
    </w:p>
    <w:p w14:paraId="26C2B37E" w14:textId="16E58B47" w:rsidR="009809AB" w:rsidRPr="005E71E1" w:rsidRDefault="009809AB" w:rsidP="009809AB">
      <w:pPr>
        <w:pStyle w:val="Text"/>
        <w:rPr>
          <w:spacing w:val="-4"/>
        </w:rPr>
      </w:pPr>
      <w:r w:rsidRPr="005E71E1">
        <w:rPr>
          <w:spacing w:val="-4"/>
        </w:rPr>
        <w:t xml:space="preserve">Prezentul regulament nu prevede o simplificare sau abrogarea reglementărilor. Cu toate acestea, cerințele referitoare la evitarea transferului de MOAH din materialele care vin în contact cu produsele alimentare fabricate din hârtie, cutii de carton sau carton cu conținut de hârtie reciclată vor fi standardizate, îmbunătățind în mod semnificativ securitatea juridică atât pentru autoritățile competente ale statelor federale, cât și pentru sectorul economic relevant. </w:t>
      </w:r>
    </w:p>
    <w:p w14:paraId="166CBABF" w14:textId="77777777" w:rsidR="006444D5" w:rsidRPr="00D43FA1" w:rsidRDefault="006444D5">
      <w:pPr>
        <w:pStyle w:val="berschriftarabischBegrndung"/>
      </w:pPr>
      <w:r>
        <w:t>Aspecte legate de durabilitate</w:t>
      </w:r>
    </w:p>
    <w:p w14:paraId="64450049" w14:textId="6C431023" w:rsidR="00612652" w:rsidRPr="00D43FA1" w:rsidRDefault="00B269E6">
      <w:pPr>
        <w:pStyle w:val="Text"/>
      </w:pPr>
      <w:r>
        <w:t xml:space="preserve">A fost efectuată o evaluare a impactului asupra dezvoltării durabile în conformitate cu punctul 44 alineatul (1) a patra teză din Regulamentul comun de procedură al ministerelor federale de stat. Reglementările actuale sunt durabile în sensul strategiei germane privind durabilitatea. Obiectivul de dezvoltare durabilă nr. 3 este deosebit de relevant. „Asigurarea unei vieți sănătoase și promovarea bunăstării tuturor, la toate vârstele”. În plus, se ține seama de obiectivul de dezvoltare durabilă numărul 3 b) „Evitarea pericolelor și a riscurilor inacceptabile pentru sănătatea umană”. De asemenea, contribuie la obiectivul de dezvoltare durabilă nr. 12 „Asigurarea unor modele de consum și producție durabile”. În ceea ce privește durabilitatea, utilizarea materialelor reciclate pentru fabricarea materialelor care vin în contact cu produsele alimentare, fabricate din hârtie, cutii de carton sau carton va fi, de asemenea, posibilă în viitor, cu condiția ca cerințele de protecție a consumatorilor specificate în prezentul regulament să fie îndeplinite. Regulamentul asigură faptul că consumatorii nu sunt afectați în mod negativ de componentele uleiului mineral din materialele care vin în contact cu produsele alimentare fabricate din hârtie, cutii din carton sau carton fabricate din hârtie reciclată. Asigură protecția sănătății consumatorilor și contribuie astfel la dezvoltarea durabilă. </w:t>
      </w:r>
    </w:p>
    <w:p w14:paraId="4628D4A0" w14:textId="77777777" w:rsidR="006444D5" w:rsidRPr="00D43FA1" w:rsidRDefault="006444D5">
      <w:pPr>
        <w:pStyle w:val="berschriftarabischBegrndung"/>
      </w:pPr>
      <w:r>
        <w:t>Cheltuieli bugetare fără costuri de asigurare a conformității</w:t>
      </w:r>
    </w:p>
    <w:p w14:paraId="2771CB61" w14:textId="77777777" w:rsidR="003923C4" w:rsidRPr="00D43FA1" w:rsidRDefault="00CB5E99">
      <w:pPr>
        <w:pStyle w:val="Text"/>
      </w:pPr>
      <w:r>
        <w:t>Bugetele publice nu suportă cheltuieli bugetare fără costuri de executare.</w:t>
      </w:r>
    </w:p>
    <w:p w14:paraId="53940621" w14:textId="77777777" w:rsidR="006444D5" w:rsidRPr="00D43FA1" w:rsidRDefault="006444D5" w:rsidP="0070360F">
      <w:pPr>
        <w:pStyle w:val="berschriftarabischBegrndung"/>
        <w:keepLines/>
      </w:pPr>
      <w:r>
        <w:t>Costurile de asigurare a conformității</w:t>
      </w:r>
    </w:p>
    <w:p w14:paraId="70BBFB2C" w14:textId="77777777" w:rsidR="00D25113" w:rsidRPr="00D43FA1" w:rsidRDefault="00D25113" w:rsidP="0070360F">
      <w:pPr>
        <w:pStyle w:val="Text"/>
        <w:keepNext/>
        <w:keepLines/>
        <w:rPr>
          <w:u w:val="single"/>
        </w:rPr>
      </w:pPr>
      <w:r>
        <w:rPr>
          <w:u w:val="single"/>
        </w:rPr>
        <w:t>Costurile de asigurare a conformității pentru administrație</w:t>
      </w:r>
    </w:p>
    <w:p w14:paraId="769FC95B" w14:textId="77777777" w:rsidR="00612652" w:rsidRPr="00D43FA1" w:rsidRDefault="00612652" w:rsidP="0070360F">
      <w:pPr>
        <w:pStyle w:val="Text"/>
        <w:keepNext/>
        <w:keepLines/>
      </w:pPr>
      <w:r>
        <w:t xml:space="preserve">Regulamentul nu prevede costuri suplimentare pentru administrația federală. </w:t>
      </w:r>
    </w:p>
    <w:p w14:paraId="6AFCAA5B" w14:textId="77777777" w:rsidR="00AD0A9D" w:rsidRPr="00D43FA1" w:rsidRDefault="006A578D" w:rsidP="0070360F">
      <w:pPr>
        <w:pStyle w:val="Text"/>
        <w:keepNext/>
        <w:keepLines/>
      </w:pPr>
      <w:r>
        <w:t>Potrivit informațiilor furnizate de landuri, ca urmare a adoptării regulamentului, guvernul landului suportă următoarele costuri suplimentare de asigurare a conformității datorită activităților suplimentare de monitorizare și control:</w:t>
      </w:r>
    </w:p>
    <w:tbl>
      <w:tblPr>
        <w:tblStyle w:val="TableGrid"/>
        <w:tblW w:w="0" w:type="auto"/>
        <w:tblLook w:val="04A0" w:firstRow="1" w:lastRow="0" w:firstColumn="1" w:lastColumn="0" w:noHBand="0" w:noVBand="1"/>
      </w:tblPr>
      <w:tblGrid>
        <w:gridCol w:w="4388"/>
        <w:gridCol w:w="4391"/>
      </w:tblGrid>
      <w:tr w:rsidR="00AD0A9D" w:rsidRPr="00D43FA1" w14:paraId="6E6BEC6C" w14:textId="77777777" w:rsidTr="007905CF">
        <w:tc>
          <w:tcPr>
            <w:tcW w:w="4464" w:type="dxa"/>
          </w:tcPr>
          <w:p w14:paraId="7A206076" w14:textId="77777777" w:rsidR="00AD0A9D" w:rsidRPr="00D43FA1" w:rsidRDefault="00E77C05" w:rsidP="007905CF">
            <w:pPr>
              <w:pStyle w:val="Text"/>
            </w:pPr>
            <w:r>
              <w:t>Costuri unice cu materialele</w:t>
            </w:r>
          </w:p>
        </w:tc>
        <w:tc>
          <w:tcPr>
            <w:tcW w:w="4465" w:type="dxa"/>
          </w:tcPr>
          <w:p w14:paraId="4721955D" w14:textId="77777777" w:rsidR="00AD0A9D" w:rsidRPr="00D43FA1" w:rsidRDefault="00AD0A9D" w:rsidP="009969BE">
            <w:pPr>
              <w:pStyle w:val="Text"/>
              <w:jc w:val="left"/>
            </w:pPr>
            <w:r>
              <w:t>aproximativ 1 058 000 EUR</w:t>
            </w:r>
          </w:p>
        </w:tc>
      </w:tr>
      <w:tr w:rsidR="00AD0A9D" w:rsidRPr="00D43FA1" w14:paraId="7EA31554" w14:textId="77777777" w:rsidTr="007905CF">
        <w:tc>
          <w:tcPr>
            <w:tcW w:w="4464" w:type="dxa"/>
          </w:tcPr>
          <w:p w14:paraId="3D59CAB2" w14:textId="77777777" w:rsidR="00AD0A9D" w:rsidRPr="00D43FA1" w:rsidRDefault="00E77C05" w:rsidP="007905CF">
            <w:pPr>
              <w:pStyle w:val="Text"/>
            </w:pPr>
            <w:r>
              <w:t>Costuri unice cu personalul</w:t>
            </w:r>
          </w:p>
        </w:tc>
        <w:tc>
          <w:tcPr>
            <w:tcW w:w="4465" w:type="dxa"/>
          </w:tcPr>
          <w:p w14:paraId="38C1D206" w14:textId="77777777" w:rsidR="00AD0A9D" w:rsidRPr="00D43FA1" w:rsidRDefault="00AD0A9D" w:rsidP="009969BE">
            <w:pPr>
              <w:pStyle w:val="Text"/>
              <w:jc w:val="left"/>
            </w:pPr>
            <w:r>
              <w:t>aproximativ 123 000 EUR</w:t>
            </w:r>
          </w:p>
        </w:tc>
      </w:tr>
      <w:tr w:rsidR="00AD0A9D" w:rsidRPr="00D43FA1" w14:paraId="1F558430" w14:textId="77777777" w:rsidTr="007905CF">
        <w:tc>
          <w:tcPr>
            <w:tcW w:w="4464" w:type="dxa"/>
          </w:tcPr>
          <w:p w14:paraId="51763FF6" w14:textId="77777777" w:rsidR="00AD0A9D" w:rsidRPr="00D43FA1" w:rsidRDefault="00E77C05" w:rsidP="007905CF">
            <w:pPr>
              <w:pStyle w:val="Text"/>
            </w:pPr>
            <w:r>
              <w:t>Costuri anuale cu materialele</w:t>
            </w:r>
          </w:p>
        </w:tc>
        <w:tc>
          <w:tcPr>
            <w:tcW w:w="4465" w:type="dxa"/>
          </w:tcPr>
          <w:p w14:paraId="4080915D" w14:textId="77777777" w:rsidR="00AD0A9D" w:rsidRPr="00D43FA1" w:rsidRDefault="00AD0A9D" w:rsidP="009969BE">
            <w:pPr>
              <w:pStyle w:val="Text"/>
              <w:jc w:val="left"/>
            </w:pPr>
            <w:r>
              <w:t>aproximativ 80 000 EUR</w:t>
            </w:r>
          </w:p>
        </w:tc>
      </w:tr>
      <w:tr w:rsidR="00AD0A9D" w:rsidRPr="00D43FA1" w14:paraId="525A416D" w14:textId="77777777" w:rsidTr="007905CF">
        <w:tc>
          <w:tcPr>
            <w:tcW w:w="4464" w:type="dxa"/>
          </w:tcPr>
          <w:p w14:paraId="2EBCF264" w14:textId="77777777" w:rsidR="00AD0A9D" w:rsidRPr="00D43FA1" w:rsidRDefault="00E77C05" w:rsidP="007905CF">
            <w:pPr>
              <w:pStyle w:val="Text"/>
            </w:pPr>
            <w:r>
              <w:t>Costuri anuale cu personalul</w:t>
            </w:r>
          </w:p>
        </w:tc>
        <w:tc>
          <w:tcPr>
            <w:tcW w:w="4465" w:type="dxa"/>
          </w:tcPr>
          <w:p w14:paraId="21ABAEB6" w14:textId="77777777" w:rsidR="00AD0A9D" w:rsidRPr="00D43FA1" w:rsidRDefault="00AD0A9D" w:rsidP="000636B3">
            <w:pPr>
              <w:pStyle w:val="Text"/>
              <w:jc w:val="left"/>
            </w:pPr>
            <w:r>
              <w:t>aproximativ 292 000 EUR</w:t>
            </w:r>
          </w:p>
        </w:tc>
      </w:tr>
    </w:tbl>
    <w:p w14:paraId="6B8CCD1C" w14:textId="77777777" w:rsidR="00E6133B" w:rsidRPr="00D43FA1" w:rsidRDefault="00E6133B" w:rsidP="00612652">
      <w:pPr>
        <w:pStyle w:val="Text"/>
      </w:pPr>
      <w:r>
        <w:t xml:space="preserve">Acest lucru duce la un cost mediu unic de asigurare a conformității în valoare de 236 200 EUR și la un cost mediu anual de conformitate de 74 400 EUR. </w:t>
      </w:r>
    </w:p>
    <w:p w14:paraId="525979E7" w14:textId="108FCA64" w:rsidR="00891D8C" w:rsidRPr="007E01A6" w:rsidRDefault="007C7B00" w:rsidP="00E24BD3">
      <w:pPr>
        <w:pStyle w:val="Text"/>
      </w:pPr>
      <w:r>
        <w:t xml:space="preserve">Aceste costuri sunt constituite din următoarele elemente, în conformitate cu detaliile individualeale landurilor, prezentate în continuare. Nu toate landurile au raportat impactul regulamentului asupra costurilor. Acest lucru poate fi justificat, de exemplu, de faptul că astfel de anchete nu sunt efectuate inițial sau sunt efectuate în cooperare cu alte țări. </w:t>
      </w:r>
    </w:p>
    <w:p w14:paraId="4DA66B7C" w14:textId="77777777" w:rsidR="007C7B00" w:rsidRPr="00D43FA1" w:rsidRDefault="007C7B00" w:rsidP="0070360F">
      <w:pPr>
        <w:pStyle w:val="Text"/>
        <w:keepNext/>
        <w:keepLines/>
        <w:tabs>
          <w:tab w:val="left" w:pos="0"/>
        </w:tabs>
        <w:spacing w:before="0" w:after="0"/>
        <w:rPr>
          <w:u w:val="single"/>
        </w:rPr>
      </w:pPr>
      <w:r>
        <w:rPr>
          <w:u w:val="single"/>
        </w:rPr>
        <w:lastRenderedPageBreak/>
        <w:t>Baden-Württemberg:</w:t>
      </w:r>
    </w:p>
    <w:p w14:paraId="0476425A" w14:textId="77777777" w:rsidR="009969BE" w:rsidRPr="00D43FA1" w:rsidRDefault="009969BE" w:rsidP="0070360F">
      <w:pPr>
        <w:pStyle w:val="Text"/>
        <w:keepNext/>
        <w:keepLines/>
        <w:tabs>
          <w:tab w:val="left" w:pos="0"/>
        </w:tabs>
        <w:spacing w:before="0" w:after="0"/>
      </w:pPr>
    </w:p>
    <w:tbl>
      <w:tblPr>
        <w:tblStyle w:val="TableGrid"/>
        <w:tblW w:w="0" w:type="auto"/>
        <w:tblLook w:val="04A0" w:firstRow="1" w:lastRow="0" w:firstColumn="1" w:lastColumn="0" w:noHBand="0" w:noVBand="1"/>
      </w:tblPr>
      <w:tblGrid>
        <w:gridCol w:w="4385"/>
        <w:gridCol w:w="4394"/>
      </w:tblGrid>
      <w:tr w:rsidR="009969BE" w:rsidRPr="00D43FA1" w14:paraId="3386D9CF" w14:textId="77777777" w:rsidTr="0070360F">
        <w:tc>
          <w:tcPr>
            <w:tcW w:w="4464" w:type="dxa"/>
          </w:tcPr>
          <w:p w14:paraId="47DC230D" w14:textId="0F7E0FFB" w:rsidR="009969BE" w:rsidRPr="00D43FA1" w:rsidRDefault="009969BE" w:rsidP="00E24BD3">
            <w:pPr>
              <w:pStyle w:val="Text"/>
              <w:tabs>
                <w:tab w:val="left" w:pos="0"/>
              </w:tabs>
            </w:pPr>
            <w:r>
              <w:t>Costuri unice cu materialele:</w:t>
            </w:r>
          </w:p>
        </w:tc>
        <w:tc>
          <w:tcPr>
            <w:tcW w:w="4465" w:type="dxa"/>
          </w:tcPr>
          <w:p w14:paraId="633997F1" w14:textId="77777777" w:rsidR="009969BE" w:rsidRPr="00D43FA1" w:rsidRDefault="000636B3" w:rsidP="000636B3">
            <w:pPr>
              <w:pStyle w:val="Text"/>
            </w:pPr>
            <w:r>
              <w:t xml:space="preserve">220 000 EUR (achiziții de echipamente) </w:t>
            </w:r>
          </w:p>
        </w:tc>
      </w:tr>
      <w:tr w:rsidR="009969BE" w:rsidRPr="00D43FA1" w14:paraId="0B1C7BA1" w14:textId="77777777" w:rsidTr="0070360F">
        <w:tc>
          <w:tcPr>
            <w:tcW w:w="4464" w:type="dxa"/>
          </w:tcPr>
          <w:p w14:paraId="575EAB32" w14:textId="77777777" w:rsidR="009969BE" w:rsidRPr="00D43FA1" w:rsidRDefault="009969BE" w:rsidP="000636B3">
            <w:pPr>
              <w:pStyle w:val="Text"/>
              <w:tabs>
                <w:tab w:val="left" w:pos="0"/>
              </w:tabs>
            </w:pPr>
            <w:r>
              <w:t xml:space="preserve">Costuri unice cu personalul: </w:t>
            </w:r>
          </w:p>
        </w:tc>
        <w:tc>
          <w:tcPr>
            <w:tcW w:w="4465" w:type="dxa"/>
          </w:tcPr>
          <w:p w14:paraId="65DA8490" w14:textId="77777777" w:rsidR="009969BE" w:rsidRPr="00D43FA1" w:rsidRDefault="000636B3" w:rsidP="000636B3">
            <w:pPr>
              <w:pStyle w:val="Text"/>
              <w:tabs>
                <w:tab w:val="left" w:pos="0"/>
              </w:tabs>
              <w:jc w:val="left"/>
            </w:pPr>
            <w:r>
              <w:t>35 000 EUR (stabilirea analizei standardizate fără măsurarea eșantioanelor de rutină)</w:t>
            </w:r>
          </w:p>
        </w:tc>
      </w:tr>
      <w:tr w:rsidR="009969BE" w:rsidRPr="00D43FA1" w14:paraId="55E9234D" w14:textId="77777777" w:rsidTr="0070360F">
        <w:tc>
          <w:tcPr>
            <w:tcW w:w="4464" w:type="dxa"/>
          </w:tcPr>
          <w:p w14:paraId="5EBF97DE" w14:textId="117BCA06" w:rsidR="009969BE" w:rsidRPr="00D43FA1" w:rsidRDefault="009969BE" w:rsidP="00E24BD3">
            <w:pPr>
              <w:pStyle w:val="Text"/>
              <w:tabs>
                <w:tab w:val="left" w:pos="0"/>
              </w:tabs>
            </w:pPr>
            <w:r>
              <w:t>Costuri anuale cu materialele:</w:t>
            </w:r>
          </w:p>
        </w:tc>
        <w:tc>
          <w:tcPr>
            <w:tcW w:w="4465" w:type="dxa"/>
          </w:tcPr>
          <w:p w14:paraId="77320B51" w14:textId="77777777" w:rsidR="009969BE" w:rsidRPr="00D43FA1" w:rsidRDefault="009969BE" w:rsidP="000636B3">
            <w:pPr>
              <w:pStyle w:val="Text"/>
              <w:jc w:val="left"/>
            </w:pPr>
            <w:r>
              <w:t>aproximativ 10 000 EUR (estimare) (întreținere dispozitiv, materiale consumabile, reparații etc.)</w:t>
            </w:r>
          </w:p>
        </w:tc>
      </w:tr>
      <w:tr w:rsidR="009969BE" w:rsidRPr="00D43FA1" w14:paraId="5B2A82B8" w14:textId="77777777" w:rsidTr="0070360F">
        <w:tc>
          <w:tcPr>
            <w:tcW w:w="4464" w:type="dxa"/>
          </w:tcPr>
          <w:p w14:paraId="6BFC2AFE" w14:textId="76CDD47F" w:rsidR="009969BE" w:rsidRPr="00D43FA1" w:rsidRDefault="009969BE" w:rsidP="00E24BD3">
            <w:pPr>
              <w:pStyle w:val="Text"/>
              <w:tabs>
                <w:tab w:val="left" w:pos="0"/>
              </w:tabs>
            </w:pPr>
            <w:r>
              <w:t>Costuri anuale cu personalul:</w:t>
            </w:r>
          </w:p>
        </w:tc>
        <w:tc>
          <w:tcPr>
            <w:tcW w:w="4465" w:type="dxa"/>
          </w:tcPr>
          <w:p w14:paraId="440A534D" w14:textId="6BDB973C" w:rsidR="000636B3" w:rsidRPr="00D43FA1" w:rsidRDefault="000636B3" w:rsidP="00E24BD3">
            <w:pPr>
              <w:contextualSpacing/>
              <w:jc w:val="left"/>
            </w:pPr>
            <w:r>
              <w:t>aproximativ 60 000 EUR (în ipoteza unui CTA și a unui manager de laborator care lucrează fiecare 50 %, costurile anuale efective cu personalul vor depinde de numărul real de eșantioane și de costul real al analizei documentelor).</w:t>
            </w:r>
          </w:p>
        </w:tc>
      </w:tr>
    </w:tbl>
    <w:p w14:paraId="08E5AD35" w14:textId="2F20F6E7" w:rsidR="007C7B00" w:rsidRPr="00D43FA1" w:rsidRDefault="007C7B00" w:rsidP="009969BE">
      <w:pPr>
        <w:pStyle w:val="Text"/>
        <w:spacing w:before="0" w:after="0"/>
      </w:pPr>
    </w:p>
    <w:p w14:paraId="37B8C963" w14:textId="77777777" w:rsidR="00D43FA1" w:rsidRDefault="007C7B00" w:rsidP="00BE6637">
      <w:pPr>
        <w:pStyle w:val="ListParagraph"/>
        <w:ind w:left="0"/>
        <w:contextualSpacing/>
        <w:rPr>
          <w:rFonts w:ascii="Arial" w:hAnsi="Arial" w:cs="Arial"/>
          <w:sz w:val="22"/>
          <w:szCs w:val="22"/>
        </w:rPr>
      </w:pPr>
      <w:r>
        <w:rPr>
          <w:rFonts w:ascii="Arial" w:hAnsi="Arial"/>
          <w:sz w:val="22"/>
          <w:szCs w:val="22"/>
        </w:rPr>
        <w:t xml:space="preserve">Costurile denumite includ efortul pentru analiză și costurile pentru doar o parte din revizuirea documentelor în cadrul unității de examinare, deoarece nu există nicio obligație de a înregistra unități în domeniul producției și introducerii pe piață a produselor alimentare de bază și, prin urmare, nu există date complete privind numărul producătorilor și distribuitorilor respectivi de produse alimentare care fac obiectul regulamentului. </w:t>
      </w:r>
    </w:p>
    <w:p w14:paraId="2817F13E" w14:textId="50A3D1E9" w:rsidR="00BE6637" w:rsidRPr="00D43FA1" w:rsidRDefault="00BE6637" w:rsidP="00BE6637">
      <w:pPr>
        <w:pStyle w:val="ListParagraph"/>
        <w:ind w:left="0"/>
        <w:contextualSpacing/>
        <w:rPr>
          <w:rFonts w:ascii="Arial" w:hAnsi="Arial" w:cs="Arial"/>
          <w:sz w:val="22"/>
          <w:szCs w:val="22"/>
        </w:rPr>
      </w:pPr>
    </w:p>
    <w:p w14:paraId="151285E1" w14:textId="733E5B75" w:rsidR="007C7B00" w:rsidRPr="00D43FA1" w:rsidRDefault="007C7B00" w:rsidP="0070360F">
      <w:pPr>
        <w:pStyle w:val="Text"/>
        <w:keepNext/>
        <w:keepLines/>
        <w:spacing w:before="0" w:after="0"/>
        <w:rPr>
          <w:u w:val="single"/>
        </w:rPr>
      </w:pPr>
      <w:r>
        <w:rPr>
          <w:u w:val="single"/>
        </w:rPr>
        <w:t>Bavaria:</w:t>
      </w:r>
    </w:p>
    <w:p w14:paraId="02A6CCC7"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9"/>
        <w:gridCol w:w="4390"/>
      </w:tblGrid>
      <w:tr w:rsidR="00C27F02" w:rsidRPr="00D43FA1" w14:paraId="34B0347D" w14:textId="77777777" w:rsidTr="00C27F02">
        <w:tc>
          <w:tcPr>
            <w:tcW w:w="4464" w:type="dxa"/>
          </w:tcPr>
          <w:p w14:paraId="540A9F12" w14:textId="26DBDA32" w:rsidR="00C27F02" w:rsidRPr="00D43FA1" w:rsidRDefault="00C27F02" w:rsidP="00E24BD3">
            <w:pPr>
              <w:pStyle w:val="Text"/>
              <w:rPr>
                <w:u w:val="single"/>
              </w:rPr>
            </w:pPr>
            <w:r>
              <w:rPr>
                <w:color w:val="000000"/>
              </w:rPr>
              <w:t>Costuri unice cu materialele:</w:t>
            </w:r>
          </w:p>
        </w:tc>
        <w:tc>
          <w:tcPr>
            <w:tcW w:w="4465" w:type="dxa"/>
          </w:tcPr>
          <w:p w14:paraId="368558E6" w14:textId="77777777" w:rsidR="000636B3" w:rsidRPr="00D43FA1" w:rsidRDefault="000636B3" w:rsidP="000636B3">
            <w:pPr>
              <w:pStyle w:val="Text"/>
              <w:rPr>
                <w:color w:val="000000"/>
              </w:rPr>
            </w:pPr>
            <w:r>
              <w:rPr>
                <w:color w:val="000000"/>
              </w:rPr>
              <w:t xml:space="preserve">aproximativ 200 000 EUR </w:t>
            </w:r>
          </w:p>
        </w:tc>
      </w:tr>
      <w:tr w:rsidR="00C27F02" w:rsidRPr="00D43FA1" w14:paraId="39092A00" w14:textId="77777777" w:rsidTr="00C27F02">
        <w:tc>
          <w:tcPr>
            <w:tcW w:w="4464" w:type="dxa"/>
          </w:tcPr>
          <w:p w14:paraId="66DA7D71" w14:textId="368D4C6E" w:rsidR="00C27F02" w:rsidRPr="00D43FA1" w:rsidRDefault="00C27F02" w:rsidP="00E24BD3">
            <w:pPr>
              <w:pStyle w:val="Text"/>
              <w:rPr>
                <w:u w:val="single"/>
              </w:rPr>
            </w:pPr>
            <w:r>
              <w:rPr>
                <w:color w:val="000000"/>
              </w:rPr>
              <w:t>Costuri anuale cu personalul:</w:t>
            </w:r>
          </w:p>
        </w:tc>
        <w:tc>
          <w:tcPr>
            <w:tcW w:w="4465" w:type="dxa"/>
          </w:tcPr>
          <w:p w14:paraId="670B56AD" w14:textId="77777777" w:rsidR="000636B3" w:rsidRPr="00D43FA1" w:rsidRDefault="000636B3" w:rsidP="000636B3">
            <w:pPr>
              <w:pStyle w:val="Text"/>
              <w:rPr>
                <w:color w:val="000000"/>
              </w:rPr>
            </w:pPr>
            <w:r>
              <w:rPr>
                <w:color w:val="000000"/>
              </w:rPr>
              <w:t xml:space="preserve">aproximativ 72 000 EUR </w:t>
            </w:r>
          </w:p>
        </w:tc>
      </w:tr>
      <w:tr w:rsidR="00C27F02" w:rsidRPr="00D43FA1" w14:paraId="0687D805" w14:textId="77777777" w:rsidTr="00C27F02">
        <w:tc>
          <w:tcPr>
            <w:tcW w:w="4464" w:type="dxa"/>
          </w:tcPr>
          <w:p w14:paraId="2F9D2535" w14:textId="77777777" w:rsidR="00C27F02" w:rsidRPr="00D43FA1" w:rsidRDefault="00C27F02" w:rsidP="000636B3">
            <w:pPr>
              <w:pStyle w:val="Text"/>
              <w:rPr>
                <w:u w:val="single"/>
              </w:rPr>
            </w:pPr>
            <w:r>
              <w:rPr>
                <w:color w:val="000000"/>
              </w:rPr>
              <w:t xml:space="preserve">Costuri anuale cu materialele: </w:t>
            </w:r>
          </w:p>
        </w:tc>
        <w:tc>
          <w:tcPr>
            <w:tcW w:w="4465" w:type="dxa"/>
          </w:tcPr>
          <w:p w14:paraId="3AA9289D" w14:textId="77777777" w:rsidR="000636B3" w:rsidRPr="00D43FA1" w:rsidRDefault="000636B3" w:rsidP="000636B3">
            <w:pPr>
              <w:pStyle w:val="Text"/>
              <w:rPr>
                <w:color w:val="000000"/>
              </w:rPr>
            </w:pPr>
            <w:r>
              <w:rPr>
                <w:color w:val="000000"/>
              </w:rPr>
              <w:t xml:space="preserve">aproximativ 10 000 EUR </w:t>
            </w:r>
          </w:p>
        </w:tc>
      </w:tr>
    </w:tbl>
    <w:p w14:paraId="2476E826" w14:textId="77777777" w:rsidR="00C27F02" w:rsidRPr="00D43FA1" w:rsidRDefault="00C27F02" w:rsidP="001D09DD">
      <w:pPr>
        <w:pStyle w:val="Text"/>
        <w:spacing w:before="0" w:after="0"/>
        <w:rPr>
          <w:u w:val="single"/>
        </w:rPr>
      </w:pPr>
    </w:p>
    <w:p w14:paraId="00B4B35B" w14:textId="77777777" w:rsidR="00042625" w:rsidRPr="00D43FA1" w:rsidRDefault="00042625" w:rsidP="0070360F">
      <w:pPr>
        <w:pStyle w:val="Text"/>
        <w:keepNext/>
        <w:keepLines/>
        <w:spacing w:before="0" w:after="0"/>
        <w:rPr>
          <w:u w:val="single"/>
        </w:rPr>
      </w:pPr>
      <w:r>
        <w:rPr>
          <w:u w:val="single"/>
        </w:rPr>
        <w:t>Saxonia Inferioară:</w:t>
      </w:r>
    </w:p>
    <w:p w14:paraId="2F514A5B" w14:textId="77777777" w:rsidR="00042625" w:rsidRPr="00D43FA1" w:rsidRDefault="00042625"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8"/>
        <w:gridCol w:w="4391"/>
      </w:tblGrid>
      <w:tr w:rsidR="0092712D" w:rsidRPr="00D43FA1" w14:paraId="4A665A3C" w14:textId="77777777" w:rsidTr="0092712D">
        <w:tc>
          <w:tcPr>
            <w:tcW w:w="4464" w:type="dxa"/>
          </w:tcPr>
          <w:p w14:paraId="5C9E438C" w14:textId="77777777" w:rsidR="0092712D" w:rsidRPr="00D43FA1" w:rsidRDefault="0092712D" w:rsidP="001D09DD">
            <w:pPr>
              <w:pStyle w:val="Text"/>
              <w:spacing w:before="0" w:after="0"/>
              <w:rPr>
                <w:u w:val="single"/>
              </w:rPr>
            </w:pPr>
            <w:r>
              <w:t>Costuri unice cu materialele: </w:t>
            </w:r>
          </w:p>
        </w:tc>
        <w:tc>
          <w:tcPr>
            <w:tcW w:w="4465" w:type="dxa"/>
          </w:tcPr>
          <w:p w14:paraId="3E9249EF" w14:textId="7A6FADAD" w:rsidR="0092712D" w:rsidRPr="00D43FA1" w:rsidRDefault="0092712D" w:rsidP="00CB2B7C">
            <w:pPr>
              <w:spacing w:before="0" w:after="0"/>
              <w:jc w:val="left"/>
            </w:pPr>
            <w:r>
              <w:t>170 000 EUR (costurile dispozitivului pentru cuplarea HPLC-GC)</w:t>
            </w:r>
          </w:p>
          <w:p w14:paraId="0D2B1F8F" w14:textId="77777777" w:rsidR="0092712D" w:rsidRPr="00D43FA1" w:rsidRDefault="0092712D" w:rsidP="00CB2B7C">
            <w:pPr>
              <w:pStyle w:val="Text"/>
              <w:spacing w:before="0" w:after="0"/>
              <w:jc w:val="left"/>
              <w:rPr>
                <w:u w:val="single"/>
              </w:rPr>
            </w:pPr>
          </w:p>
        </w:tc>
      </w:tr>
      <w:tr w:rsidR="0092712D" w:rsidRPr="00D43FA1" w14:paraId="69EEBE27" w14:textId="77777777" w:rsidTr="0092712D">
        <w:tc>
          <w:tcPr>
            <w:tcW w:w="4464" w:type="dxa"/>
          </w:tcPr>
          <w:p w14:paraId="53A08CDB" w14:textId="72CBA0D6" w:rsidR="0092712D" w:rsidRPr="00D43FA1" w:rsidRDefault="0092712D" w:rsidP="00E24BD3">
            <w:pPr>
              <w:pStyle w:val="Text"/>
              <w:spacing w:before="0" w:after="0"/>
              <w:rPr>
                <w:u w:val="single"/>
              </w:rPr>
            </w:pPr>
            <w:r>
              <w:t>Costuri anuale:</w:t>
            </w:r>
          </w:p>
        </w:tc>
        <w:tc>
          <w:tcPr>
            <w:tcW w:w="4465" w:type="dxa"/>
          </w:tcPr>
          <w:p w14:paraId="51489E53" w14:textId="640CCC19" w:rsidR="0092712D" w:rsidRPr="00D43FA1" w:rsidRDefault="0092712D" w:rsidP="00CB2B7C">
            <w:pPr>
              <w:pStyle w:val="Text"/>
              <w:spacing w:before="0" w:after="0"/>
              <w:jc w:val="left"/>
              <w:rPr>
                <w:u w:val="single"/>
              </w:rPr>
            </w:pPr>
            <w:r>
              <w:t>52 000 EUR (pe baza a 200 de eșantioane care urmează să fie examinate și a unui număr de 40 de recenzii pe an)</w:t>
            </w:r>
          </w:p>
        </w:tc>
      </w:tr>
    </w:tbl>
    <w:p w14:paraId="0701BC82" w14:textId="44B2969E" w:rsidR="00042625" w:rsidRPr="00D43FA1" w:rsidRDefault="00042625" w:rsidP="00891D8C">
      <w:pPr>
        <w:spacing w:before="0" w:after="0"/>
        <w:rPr>
          <w:rFonts w:ascii="Calibri" w:hAnsi="Calibri"/>
        </w:rPr>
      </w:pPr>
    </w:p>
    <w:p w14:paraId="68A96EA3" w14:textId="77777777" w:rsidR="007C7B00" w:rsidRPr="00D43FA1" w:rsidRDefault="007C7B00" w:rsidP="0070360F">
      <w:pPr>
        <w:pStyle w:val="Text"/>
        <w:keepNext/>
        <w:keepLines/>
        <w:spacing w:before="0" w:after="0"/>
        <w:rPr>
          <w:u w:val="single"/>
        </w:rPr>
      </w:pPr>
      <w:r>
        <w:rPr>
          <w:u w:val="single"/>
        </w:rPr>
        <w:t>Schleswig-Holstein:</w:t>
      </w:r>
    </w:p>
    <w:p w14:paraId="470651E2"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8"/>
        <w:gridCol w:w="4391"/>
      </w:tblGrid>
      <w:tr w:rsidR="0092712D" w:rsidRPr="00D43FA1" w14:paraId="2868753F" w14:textId="77777777" w:rsidTr="00CB2B7C">
        <w:tc>
          <w:tcPr>
            <w:tcW w:w="4464" w:type="dxa"/>
          </w:tcPr>
          <w:p w14:paraId="58802FCE" w14:textId="584D20E4" w:rsidR="0092712D" w:rsidRPr="00D43FA1" w:rsidRDefault="0092712D" w:rsidP="00E24BD3">
            <w:pPr>
              <w:pStyle w:val="Text"/>
              <w:rPr>
                <w:u w:val="single"/>
              </w:rPr>
            </w:pPr>
            <w:r>
              <w:rPr>
                <w:color w:val="000000"/>
              </w:rPr>
              <w:t>Costuri unice cu materialele:</w:t>
            </w:r>
          </w:p>
        </w:tc>
        <w:tc>
          <w:tcPr>
            <w:tcW w:w="4465" w:type="dxa"/>
          </w:tcPr>
          <w:p w14:paraId="48B6D078" w14:textId="77777777" w:rsidR="0092712D" w:rsidRPr="00D43FA1" w:rsidRDefault="0092712D" w:rsidP="00CB2B7C">
            <w:pPr>
              <w:pStyle w:val="Text"/>
              <w:jc w:val="left"/>
              <w:rPr>
                <w:color w:val="000000"/>
              </w:rPr>
            </w:pPr>
            <w:r>
              <w:rPr>
                <w:color w:val="000000"/>
              </w:rPr>
              <w:t>238 000 EUR (costurile dispozitivului pentru cuplarea LC-GC; dispozitivul a fost achiziționat în martie/aprilie 2017)</w:t>
            </w:r>
          </w:p>
        </w:tc>
      </w:tr>
      <w:tr w:rsidR="0092712D" w:rsidRPr="00D43FA1" w14:paraId="35D9098E" w14:textId="77777777" w:rsidTr="00CB2B7C">
        <w:tc>
          <w:tcPr>
            <w:tcW w:w="4464" w:type="dxa"/>
          </w:tcPr>
          <w:p w14:paraId="4A66A9B5" w14:textId="1366BFA4" w:rsidR="0092712D" w:rsidRPr="00D43FA1" w:rsidRDefault="0092712D" w:rsidP="00E24BD3">
            <w:pPr>
              <w:pStyle w:val="Text"/>
              <w:rPr>
                <w:u w:val="single"/>
              </w:rPr>
            </w:pPr>
            <w:r>
              <w:rPr>
                <w:color w:val="000000"/>
              </w:rPr>
              <w:t xml:space="preserve">Costuri unice cu personalul: </w:t>
            </w:r>
          </w:p>
        </w:tc>
        <w:tc>
          <w:tcPr>
            <w:tcW w:w="4465" w:type="dxa"/>
          </w:tcPr>
          <w:p w14:paraId="5F896AF4" w14:textId="77777777" w:rsidR="0092712D" w:rsidRPr="00D43FA1" w:rsidRDefault="0092712D" w:rsidP="0092712D">
            <w:pPr>
              <w:pStyle w:val="Text"/>
              <w:rPr>
                <w:color w:val="000000"/>
              </w:rPr>
            </w:pPr>
            <w:r>
              <w:rPr>
                <w:color w:val="000000"/>
              </w:rPr>
              <w:t>5 000 EUR (Formare)</w:t>
            </w:r>
          </w:p>
        </w:tc>
      </w:tr>
      <w:tr w:rsidR="0092712D" w:rsidRPr="00D43FA1" w14:paraId="3E394749" w14:textId="77777777" w:rsidTr="00CB2B7C">
        <w:tc>
          <w:tcPr>
            <w:tcW w:w="4464" w:type="dxa"/>
          </w:tcPr>
          <w:p w14:paraId="62504A2D" w14:textId="77777777" w:rsidR="0092712D" w:rsidRPr="00D43FA1" w:rsidRDefault="0092712D" w:rsidP="0092712D">
            <w:pPr>
              <w:pStyle w:val="Text"/>
              <w:rPr>
                <w:u w:val="single"/>
              </w:rPr>
            </w:pPr>
            <w:r>
              <w:rPr>
                <w:color w:val="000000"/>
              </w:rPr>
              <w:t xml:space="preserve">Costuri anuale cu personalul: </w:t>
            </w:r>
          </w:p>
        </w:tc>
        <w:tc>
          <w:tcPr>
            <w:tcW w:w="4465" w:type="dxa"/>
          </w:tcPr>
          <w:p w14:paraId="3D3A8607" w14:textId="77777777" w:rsidR="0092712D" w:rsidRPr="00D43FA1" w:rsidRDefault="00234C16" w:rsidP="00CB2B7C">
            <w:pPr>
              <w:pStyle w:val="Text"/>
              <w:tabs>
                <w:tab w:val="left" w:pos="2694"/>
              </w:tabs>
              <w:spacing w:after="0"/>
              <w:jc w:val="left"/>
              <w:rPr>
                <w:color w:val="000000"/>
              </w:rPr>
            </w:pPr>
            <w:r>
              <w:rPr>
                <w:color w:val="000000"/>
              </w:rPr>
              <w:t>aproximativ 70 000 EUR (0,5 posturi pentru personalul științific E14</w:t>
            </w:r>
          </w:p>
          <w:p w14:paraId="093480AE" w14:textId="77777777" w:rsidR="0092712D" w:rsidRPr="00D43FA1" w:rsidRDefault="0092712D" w:rsidP="0092712D">
            <w:pPr>
              <w:pStyle w:val="Text"/>
              <w:tabs>
                <w:tab w:val="left" w:pos="2694"/>
              </w:tabs>
              <w:spacing w:before="0"/>
              <w:rPr>
                <w:color w:val="000000"/>
              </w:rPr>
            </w:pPr>
            <w:r>
              <w:rPr>
                <w:color w:val="000000"/>
              </w:rPr>
              <w:t>1 post angajat tehnic E9)</w:t>
            </w:r>
          </w:p>
        </w:tc>
      </w:tr>
    </w:tbl>
    <w:p w14:paraId="36709E93" w14:textId="1D323CAC" w:rsidR="007C7B00" w:rsidRPr="00D43FA1" w:rsidRDefault="007C7B00" w:rsidP="0092712D">
      <w:pPr>
        <w:pStyle w:val="Text"/>
        <w:tabs>
          <w:tab w:val="left" w:pos="2694"/>
        </w:tabs>
        <w:spacing w:before="0" w:after="0"/>
        <w:rPr>
          <w:color w:val="000000"/>
        </w:rPr>
      </w:pPr>
    </w:p>
    <w:p w14:paraId="19804C30" w14:textId="77777777" w:rsidR="00F063FD" w:rsidRPr="00D43FA1" w:rsidRDefault="00042625" w:rsidP="0070360F">
      <w:pPr>
        <w:pStyle w:val="Text"/>
        <w:keepNext/>
        <w:keepLines/>
        <w:tabs>
          <w:tab w:val="left" w:pos="0"/>
        </w:tabs>
        <w:spacing w:before="0" w:after="0"/>
        <w:rPr>
          <w:color w:val="000000"/>
          <w:u w:val="single"/>
        </w:rPr>
      </w:pPr>
      <w:r>
        <w:rPr>
          <w:color w:val="000000"/>
          <w:u w:val="single"/>
        </w:rPr>
        <w:lastRenderedPageBreak/>
        <w:t>Saxonia:</w:t>
      </w:r>
    </w:p>
    <w:p w14:paraId="69F79EA8" w14:textId="77777777" w:rsidR="00891D8C" w:rsidRPr="00D43FA1" w:rsidRDefault="00891D8C" w:rsidP="0070360F">
      <w:pPr>
        <w:pStyle w:val="Text"/>
        <w:keepNext/>
        <w:keepLines/>
        <w:tabs>
          <w:tab w:val="left" w:pos="0"/>
        </w:tabs>
        <w:spacing w:before="0" w:after="0"/>
        <w:rPr>
          <w:color w:val="000000"/>
          <w:u w:val="single"/>
        </w:rPr>
      </w:pPr>
    </w:p>
    <w:tbl>
      <w:tblPr>
        <w:tblStyle w:val="TableGrid"/>
        <w:tblW w:w="0" w:type="auto"/>
        <w:tblLook w:val="04A0" w:firstRow="1" w:lastRow="0" w:firstColumn="1" w:lastColumn="0" w:noHBand="0" w:noVBand="1"/>
      </w:tblPr>
      <w:tblGrid>
        <w:gridCol w:w="4387"/>
        <w:gridCol w:w="4392"/>
      </w:tblGrid>
      <w:tr w:rsidR="00891D8C" w:rsidRPr="00D43FA1" w14:paraId="01F0B13B" w14:textId="77777777" w:rsidTr="00891D8C">
        <w:tc>
          <w:tcPr>
            <w:tcW w:w="4464" w:type="dxa"/>
          </w:tcPr>
          <w:p w14:paraId="5B8E8F56" w14:textId="27013CAF" w:rsidR="00891D8C" w:rsidRPr="00D43FA1" w:rsidRDefault="00891D8C" w:rsidP="00E24BD3">
            <w:pPr>
              <w:pStyle w:val="Text"/>
              <w:tabs>
                <w:tab w:val="left" w:pos="0"/>
              </w:tabs>
              <w:rPr>
                <w:color w:val="000000"/>
                <w:u w:val="single"/>
              </w:rPr>
            </w:pPr>
            <w:r>
              <w:t>Costuri unice cu materialele:</w:t>
            </w:r>
          </w:p>
        </w:tc>
        <w:tc>
          <w:tcPr>
            <w:tcW w:w="4465" w:type="dxa"/>
          </w:tcPr>
          <w:p w14:paraId="071DBD33" w14:textId="77777777" w:rsidR="00891D8C" w:rsidRPr="00D43FA1" w:rsidRDefault="00891D8C" w:rsidP="00CB2B7C">
            <w:pPr>
              <w:pStyle w:val="Text"/>
              <w:tabs>
                <w:tab w:val="left" w:pos="0"/>
              </w:tabs>
              <w:jc w:val="left"/>
            </w:pPr>
            <w:r>
              <w:t>230 000 EUR (achiziții de echipamente)</w:t>
            </w:r>
          </w:p>
          <w:p w14:paraId="1AEFF0AC" w14:textId="77777777" w:rsidR="00891D8C" w:rsidRPr="00D43FA1" w:rsidRDefault="00891D8C" w:rsidP="00CB2B7C">
            <w:pPr>
              <w:pStyle w:val="Text"/>
              <w:tabs>
                <w:tab w:val="left" w:pos="0"/>
              </w:tabs>
              <w:jc w:val="left"/>
              <w:rPr>
                <w:color w:val="000000"/>
                <w:u w:val="single"/>
              </w:rPr>
            </w:pPr>
          </w:p>
        </w:tc>
      </w:tr>
      <w:tr w:rsidR="00891D8C" w:rsidRPr="00D43FA1" w14:paraId="5A54C1C3" w14:textId="77777777" w:rsidTr="00891D8C">
        <w:tc>
          <w:tcPr>
            <w:tcW w:w="4464" w:type="dxa"/>
          </w:tcPr>
          <w:p w14:paraId="09CBE780" w14:textId="77777777" w:rsidR="00891D8C" w:rsidRPr="00D43FA1" w:rsidRDefault="00891D8C" w:rsidP="00891D8C">
            <w:pPr>
              <w:pStyle w:val="Text"/>
              <w:tabs>
                <w:tab w:val="left" w:pos="0"/>
              </w:tabs>
              <w:rPr>
                <w:color w:val="000000"/>
                <w:u w:val="single"/>
              </w:rPr>
            </w:pPr>
            <w:r>
              <w:t>Costuri unice cu personalul:</w:t>
            </w:r>
          </w:p>
        </w:tc>
        <w:tc>
          <w:tcPr>
            <w:tcW w:w="4465" w:type="dxa"/>
          </w:tcPr>
          <w:p w14:paraId="6E7CBC6B" w14:textId="77777777" w:rsidR="00891D8C" w:rsidRPr="00D43FA1" w:rsidRDefault="00891D8C" w:rsidP="00CB2B7C">
            <w:pPr>
              <w:pStyle w:val="Text"/>
              <w:jc w:val="left"/>
              <w:rPr>
                <w:color w:val="000000"/>
                <w:u w:val="single"/>
              </w:rPr>
            </w:pPr>
            <w:r>
              <w:t>83 000 EUR (0,5 grup salarial 13 echivalent normă întreagă și 1,0 grup salarial 6 echivalent normă întreagă în timpul etapei de formare pentru echipamentul analitic în cauză și pentru aplicarea metodei)</w:t>
            </w:r>
          </w:p>
          <w:p w14:paraId="42553811" w14:textId="77777777" w:rsidR="00891D8C" w:rsidRPr="00D43FA1" w:rsidRDefault="00891D8C" w:rsidP="00CB2B7C">
            <w:pPr>
              <w:pStyle w:val="Text"/>
              <w:tabs>
                <w:tab w:val="left" w:pos="0"/>
              </w:tabs>
              <w:jc w:val="left"/>
              <w:rPr>
                <w:color w:val="000000"/>
                <w:u w:val="single"/>
              </w:rPr>
            </w:pPr>
          </w:p>
        </w:tc>
      </w:tr>
      <w:tr w:rsidR="00891D8C" w:rsidRPr="00D43FA1" w14:paraId="407BBBD1" w14:textId="77777777" w:rsidTr="00891D8C">
        <w:tc>
          <w:tcPr>
            <w:tcW w:w="4464" w:type="dxa"/>
          </w:tcPr>
          <w:p w14:paraId="009A2AAA" w14:textId="77777777" w:rsidR="00891D8C" w:rsidRPr="00D43FA1" w:rsidRDefault="00891D8C" w:rsidP="00891D8C">
            <w:pPr>
              <w:pStyle w:val="Text"/>
              <w:tabs>
                <w:tab w:val="left" w:pos="0"/>
              </w:tabs>
              <w:rPr>
                <w:color w:val="000000"/>
                <w:u w:val="single"/>
              </w:rPr>
            </w:pPr>
            <w:r>
              <w:t xml:space="preserve">Costuri anuale cu materialele: </w:t>
            </w:r>
          </w:p>
        </w:tc>
        <w:tc>
          <w:tcPr>
            <w:tcW w:w="4465" w:type="dxa"/>
          </w:tcPr>
          <w:p w14:paraId="3563608C" w14:textId="77777777" w:rsidR="00891D8C" w:rsidRPr="00D43FA1" w:rsidRDefault="00891D8C" w:rsidP="00CB2B7C">
            <w:pPr>
              <w:pStyle w:val="Text"/>
              <w:tabs>
                <w:tab w:val="left" w:pos="0"/>
              </w:tabs>
              <w:jc w:val="left"/>
              <w:rPr>
                <w:color w:val="000000"/>
                <w:u w:val="single"/>
              </w:rPr>
            </w:pPr>
            <w:r>
              <w:t>aproximativ 6 000 - 8 000 EUR (întreținere echipamente, consumabile, reparații)</w:t>
            </w:r>
          </w:p>
        </w:tc>
      </w:tr>
      <w:tr w:rsidR="00891D8C" w:rsidRPr="00D43FA1" w14:paraId="32B3A7A2" w14:textId="77777777" w:rsidTr="00891D8C">
        <w:tc>
          <w:tcPr>
            <w:tcW w:w="4464" w:type="dxa"/>
          </w:tcPr>
          <w:p w14:paraId="65E127E0" w14:textId="77777777" w:rsidR="00891D8C" w:rsidRPr="00D43FA1" w:rsidRDefault="00891D8C" w:rsidP="00891D8C">
            <w:pPr>
              <w:pStyle w:val="Text"/>
              <w:tabs>
                <w:tab w:val="left" w:pos="0"/>
              </w:tabs>
              <w:rPr>
                <w:color w:val="000000"/>
                <w:u w:val="single"/>
              </w:rPr>
            </w:pPr>
            <w:r>
              <w:t xml:space="preserve">Costuri anuale cu personalul: </w:t>
            </w:r>
          </w:p>
        </w:tc>
        <w:tc>
          <w:tcPr>
            <w:tcW w:w="4465" w:type="dxa"/>
          </w:tcPr>
          <w:p w14:paraId="09C3AC3F" w14:textId="77777777" w:rsidR="00891D8C" w:rsidRPr="00D43FA1" w:rsidRDefault="00891D8C" w:rsidP="00CB2B7C">
            <w:pPr>
              <w:pStyle w:val="Text"/>
              <w:tabs>
                <w:tab w:val="left" w:pos="0"/>
              </w:tabs>
              <w:jc w:val="left"/>
              <w:rPr>
                <w:color w:val="000000"/>
                <w:u w:val="single"/>
              </w:rPr>
            </w:pPr>
            <w:r>
              <w:t>aproximativ 90 000 EUR (2,0 grup salarial 6 echivalent normă întreagă pentru activități de rutină)</w:t>
            </w:r>
          </w:p>
        </w:tc>
      </w:tr>
    </w:tbl>
    <w:p w14:paraId="01533E4B" w14:textId="093896D0" w:rsidR="007C7B00" w:rsidRPr="00D43FA1" w:rsidRDefault="007C7B00" w:rsidP="00891D8C">
      <w:pPr>
        <w:pStyle w:val="Text"/>
        <w:spacing w:before="0" w:after="0"/>
        <w:ind w:left="2694" w:hanging="2694"/>
      </w:pPr>
    </w:p>
    <w:p w14:paraId="00EEF1D6" w14:textId="77777777" w:rsidR="00D43FA1" w:rsidRDefault="00042625" w:rsidP="00E24BD3">
      <w:pPr>
        <w:pStyle w:val="Text"/>
        <w:spacing w:before="0" w:after="0"/>
      </w:pPr>
      <w:r>
        <w:rPr>
          <w:u w:val="single"/>
        </w:rPr>
        <w:t>Saxonia-Anhalt</w:t>
      </w:r>
      <w:r>
        <w:t xml:space="preserve"> nu a fost încă în măsură să cuantifice costurile unice și recurente.</w:t>
      </w:r>
    </w:p>
    <w:p w14:paraId="3F91406B" w14:textId="494897A8" w:rsidR="00977AB9" w:rsidRPr="00D43FA1" w:rsidRDefault="00042625" w:rsidP="00E24BD3">
      <w:pPr>
        <w:pStyle w:val="Text"/>
        <w:spacing w:before="0" w:after="0"/>
      </w:pPr>
      <w:r>
        <w:t xml:space="preserve"> </w:t>
      </w:r>
    </w:p>
    <w:p w14:paraId="2291BC65" w14:textId="0F1CA2AE" w:rsidR="00042625" w:rsidRDefault="00042625" w:rsidP="00E24BD3">
      <w:pPr>
        <w:pStyle w:val="Text"/>
        <w:spacing w:before="0" w:after="0"/>
        <w:rPr>
          <w:color w:val="000000"/>
        </w:rPr>
      </w:pPr>
      <w:r>
        <w:rPr>
          <w:color w:val="000000"/>
        </w:rPr>
        <w:t xml:space="preserve">Turingia a anunțat că există probabilitatea apariției unor costuri unice pentru sume nesemnificative. O precizare detaliată a costurilor pentru Turingia nu este posibilă în această etapă. </w:t>
      </w:r>
    </w:p>
    <w:p w14:paraId="5899A39C" w14:textId="77777777" w:rsidR="00D43FA1" w:rsidRPr="00D43FA1" w:rsidRDefault="00D43FA1" w:rsidP="00E24BD3">
      <w:pPr>
        <w:pStyle w:val="Text"/>
        <w:spacing w:before="0" w:after="0"/>
        <w:rPr>
          <w:color w:val="000000"/>
          <w:u w:val="single"/>
        </w:rPr>
      </w:pPr>
    </w:p>
    <w:p w14:paraId="4BF540BD" w14:textId="77777777" w:rsidR="00D25113" w:rsidRPr="00D43FA1" w:rsidRDefault="00D25113" w:rsidP="0070360F">
      <w:pPr>
        <w:pStyle w:val="Text"/>
        <w:keepNext/>
        <w:keepLines/>
        <w:rPr>
          <w:u w:val="single"/>
        </w:rPr>
      </w:pPr>
      <w:r>
        <w:rPr>
          <w:u w:val="single"/>
        </w:rPr>
        <w:t>(b) Costurile de asigurare a conformității pentru economie</w:t>
      </w:r>
    </w:p>
    <w:p w14:paraId="1AC16888" w14:textId="187C182C" w:rsidR="00755B7A" w:rsidRPr="005E71E1" w:rsidRDefault="004D5050" w:rsidP="007C7B00">
      <w:pPr>
        <w:pStyle w:val="Text"/>
        <w:rPr>
          <w:spacing w:val="-4"/>
        </w:rPr>
      </w:pPr>
      <w:r w:rsidRPr="005E71E1">
        <w:rPr>
          <w:spacing w:val="-4"/>
        </w:rPr>
        <w:t>În ceea ce privește costurile de asigurare a conformității pentru economie, regulamentul prevede, în special, costuri suplimentare pentru întreprinderile mijlocii. Întrucât problema contaminării produselor alimentare cu componente din ulei mineral din articole care vin în contact cu produsele alimentare este cunoscută de mult timp, o serie de ambalaje au fost deja transformate, de exemplu, în locul deșeurilor de fibre de hârtie pot fi utilizate pungi intermediare, straturi de învelire sau fibre neprelucrate. Cu toate acestea, acum vor fi necesare, de asemenea, modificări pentru o proporție suplimentară semnificativă de materiale care vin în contact cu produsele alimentare, cu excepția cazului în care se aplică scutirea prevăzută.</w:t>
      </w:r>
    </w:p>
    <w:p w14:paraId="08D3E308" w14:textId="77777777" w:rsidR="0082568F" w:rsidRPr="00D43FA1" w:rsidRDefault="0082568F" w:rsidP="007C7B00">
      <w:pPr>
        <w:pStyle w:val="Text"/>
      </w:pPr>
      <w:r>
        <w:t xml:space="preserve">O estimare ex-ante a Oficiului Federal de Statistică a demonstrat că există costuri de asigurare a conformității unice (costuri de conversie) de aproximativ 9 280 000 EUR și un cost suplimentar anual de asigurare a conformității de aproximativ 8 160 000 EUR. Oficiul Federal de Statistică estimează că cele două noi obligații de informare planificate - declarația scrisă sau electronică în cazul în care se renunță la utilizarea unei bariere funcționale, în conformitate cu articolul 6a alineatul (3) și la obligația de a furniza dovezi privind excluderea transferului de MOAH în conformitate cu articolul 6a alineatul (5), costurile care rezultă sunt nesemnificative. </w:t>
      </w:r>
    </w:p>
    <w:p w14:paraId="43B9512B" w14:textId="77777777" w:rsidR="006B7BFE" w:rsidRPr="00D43FA1" w:rsidRDefault="006B7BFE" w:rsidP="0070360F">
      <w:pPr>
        <w:pStyle w:val="Text"/>
        <w:keepNext/>
        <w:keepLines/>
      </w:pPr>
      <w:r>
        <w:rPr>
          <w:b/>
          <w:bCs/>
        </w:rPr>
        <w:lastRenderedPageBreak/>
        <w:t xml:space="preserve">Tabelul 1: Rezumatul costurilor de asigurare a conformității </w:t>
      </w:r>
    </w:p>
    <w:tbl>
      <w:tblPr>
        <w:tblStyle w:val="TableGrid"/>
        <w:tblW w:w="9171" w:type="dxa"/>
        <w:tblLayout w:type="fixed"/>
        <w:tblLook w:val="04A0" w:firstRow="1" w:lastRow="0" w:firstColumn="1" w:lastColumn="0" w:noHBand="0" w:noVBand="1"/>
      </w:tblPr>
      <w:tblGrid>
        <w:gridCol w:w="1696"/>
        <w:gridCol w:w="3470"/>
        <w:gridCol w:w="1912"/>
        <w:gridCol w:w="2093"/>
      </w:tblGrid>
      <w:tr w:rsidR="0082568F" w:rsidRPr="005E71E1" w14:paraId="720AC6FB" w14:textId="77777777" w:rsidTr="005E71E1">
        <w:tc>
          <w:tcPr>
            <w:tcW w:w="1696" w:type="dxa"/>
          </w:tcPr>
          <w:p w14:paraId="376BBF5B" w14:textId="77777777" w:rsidR="0082568F" w:rsidRPr="005E71E1" w:rsidRDefault="0082568F" w:rsidP="0070360F">
            <w:pPr>
              <w:pStyle w:val="Text"/>
              <w:keepNext/>
              <w:keepLines/>
              <w:jc w:val="center"/>
              <w:rPr>
                <w:b/>
                <w:spacing w:val="-4"/>
              </w:rPr>
            </w:pPr>
            <w:r w:rsidRPr="005E71E1">
              <w:rPr>
                <w:b/>
                <w:spacing w:val="-4"/>
              </w:rPr>
              <w:t>Automatizare</w:t>
            </w:r>
          </w:p>
        </w:tc>
        <w:tc>
          <w:tcPr>
            <w:tcW w:w="3470" w:type="dxa"/>
          </w:tcPr>
          <w:p w14:paraId="3B98CCA4" w14:textId="77777777" w:rsidR="0082568F" w:rsidRPr="005E71E1" w:rsidRDefault="0082568F" w:rsidP="0070360F">
            <w:pPr>
              <w:pStyle w:val="Text"/>
              <w:keepNext/>
              <w:keepLines/>
              <w:jc w:val="center"/>
              <w:rPr>
                <w:b/>
                <w:spacing w:val="-4"/>
              </w:rPr>
            </w:pPr>
            <w:r w:rsidRPr="005E71E1">
              <w:rPr>
                <w:b/>
                <w:spacing w:val="-4"/>
              </w:rPr>
              <w:t>Cerința sau obligația de informare</w:t>
            </w:r>
          </w:p>
        </w:tc>
        <w:tc>
          <w:tcPr>
            <w:tcW w:w="1912" w:type="dxa"/>
          </w:tcPr>
          <w:p w14:paraId="6FEF8D76" w14:textId="77777777" w:rsidR="0082568F" w:rsidRPr="005E71E1" w:rsidRDefault="0082568F" w:rsidP="0070360F">
            <w:pPr>
              <w:pStyle w:val="Text"/>
              <w:keepNext/>
              <w:keepLines/>
              <w:jc w:val="center"/>
              <w:rPr>
                <w:b/>
                <w:spacing w:val="-4"/>
              </w:rPr>
            </w:pPr>
            <w:r w:rsidRPr="005E71E1">
              <w:rPr>
                <w:b/>
                <w:spacing w:val="-4"/>
              </w:rPr>
              <w:t xml:space="preserve">Echilibrarea sarcinii anuale </w:t>
            </w:r>
          </w:p>
        </w:tc>
        <w:tc>
          <w:tcPr>
            <w:tcW w:w="2093" w:type="dxa"/>
          </w:tcPr>
          <w:p w14:paraId="5412D88F" w14:textId="77777777" w:rsidR="0082568F" w:rsidRPr="005E71E1" w:rsidRDefault="00295A54" w:rsidP="0070360F">
            <w:pPr>
              <w:pStyle w:val="Text"/>
              <w:keepNext/>
              <w:keepLines/>
              <w:jc w:val="center"/>
              <w:rPr>
                <w:b/>
                <w:spacing w:val="-4"/>
              </w:rPr>
            </w:pPr>
            <w:r w:rsidRPr="005E71E1">
              <w:rPr>
                <w:b/>
                <w:spacing w:val="-4"/>
              </w:rPr>
              <w:t xml:space="preserve">Costuri unice de conversie </w:t>
            </w:r>
          </w:p>
        </w:tc>
      </w:tr>
      <w:tr w:rsidR="0082568F" w:rsidRPr="005E71E1" w14:paraId="28659270" w14:textId="77777777" w:rsidTr="005E71E1">
        <w:tc>
          <w:tcPr>
            <w:tcW w:w="1696" w:type="dxa"/>
          </w:tcPr>
          <w:p w14:paraId="22806DA4" w14:textId="2D7CD670" w:rsidR="0082568F" w:rsidRPr="005E71E1" w:rsidRDefault="0082568F" w:rsidP="00E24BD3">
            <w:pPr>
              <w:pStyle w:val="Text"/>
              <w:jc w:val="left"/>
              <w:rPr>
                <w:spacing w:val="-4"/>
              </w:rPr>
            </w:pPr>
            <w:r w:rsidRPr="005E71E1">
              <w:rPr>
                <w:spacing w:val="-4"/>
              </w:rPr>
              <w:t>Articolul 6a alineatele (1) și (4)</w:t>
            </w:r>
          </w:p>
        </w:tc>
        <w:tc>
          <w:tcPr>
            <w:tcW w:w="3470" w:type="dxa"/>
          </w:tcPr>
          <w:p w14:paraId="33FAFA21" w14:textId="77777777" w:rsidR="0082568F" w:rsidRPr="005E71E1" w:rsidRDefault="0082568F" w:rsidP="00295A54">
            <w:pPr>
              <w:pStyle w:val="Text"/>
              <w:jc w:val="left"/>
              <w:rPr>
                <w:spacing w:val="-4"/>
              </w:rPr>
            </w:pPr>
            <w:r w:rsidRPr="005E71E1">
              <w:rPr>
                <w:spacing w:val="-4"/>
              </w:rPr>
              <w:t>Barieră funcțională pentru articolele care vin în contact cu produsele alimentare, fabricate din hârtie reciclată</w:t>
            </w:r>
          </w:p>
        </w:tc>
        <w:tc>
          <w:tcPr>
            <w:tcW w:w="1912" w:type="dxa"/>
          </w:tcPr>
          <w:p w14:paraId="3E5A9DC1" w14:textId="77777777" w:rsidR="0082568F" w:rsidRPr="005E71E1" w:rsidRDefault="000F6183" w:rsidP="00295A54">
            <w:pPr>
              <w:pStyle w:val="Text"/>
              <w:jc w:val="left"/>
              <w:rPr>
                <w:spacing w:val="-4"/>
              </w:rPr>
            </w:pPr>
            <w:r w:rsidRPr="005E71E1">
              <w:rPr>
                <w:spacing w:val="-4"/>
              </w:rPr>
              <w:t xml:space="preserve"> 8 160 000 EUR</w:t>
            </w:r>
          </w:p>
        </w:tc>
        <w:tc>
          <w:tcPr>
            <w:tcW w:w="2093" w:type="dxa"/>
          </w:tcPr>
          <w:p w14:paraId="3562BFD1" w14:textId="77777777" w:rsidR="0082568F" w:rsidRPr="005E71E1" w:rsidRDefault="000F6183" w:rsidP="00295A54">
            <w:pPr>
              <w:pStyle w:val="Text"/>
              <w:jc w:val="left"/>
              <w:rPr>
                <w:spacing w:val="-4"/>
              </w:rPr>
            </w:pPr>
            <w:r w:rsidRPr="005E71E1">
              <w:rPr>
                <w:spacing w:val="-4"/>
              </w:rPr>
              <w:t>9 280 000 EUR</w:t>
            </w:r>
          </w:p>
        </w:tc>
      </w:tr>
      <w:tr w:rsidR="0082568F" w:rsidRPr="005E71E1" w14:paraId="0106BED3" w14:textId="77777777" w:rsidTr="005E71E1">
        <w:tc>
          <w:tcPr>
            <w:tcW w:w="1696" w:type="dxa"/>
          </w:tcPr>
          <w:p w14:paraId="5BAFA089" w14:textId="0EFB06F8" w:rsidR="0082568F" w:rsidRPr="005E71E1" w:rsidRDefault="0082568F" w:rsidP="00E24BD3">
            <w:pPr>
              <w:pStyle w:val="Text"/>
              <w:jc w:val="left"/>
              <w:rPr>
                <w:spacing w:val="-4"/>
              </w:rPr>
            </w:pPr>
            <w:r w:rsidRPr="005E71E1">
              <w:rPr>
                <w:spacing w:val="-4"/>
              </w:rPr>
              <w:t>articolul 6a alineatul (3)</w:t>
            </w:r>
          </w:p>
        </w:tc>
        <w:tc>
          <w:tcPr>
            <w:tcW w:w="3470" w:type="dxa"/>
          </w:tcPr>
          <w:p w14:paraId="7BAE9D67" w14:textId="77777777" w:rsidR="0082568F" w:rsidRPr="005E71E1" w:rsidRDefault="0082568F" w:rsidP="00295A54">
            <w:pPr>
              <w:pStyle w:val="Text"/>
              <w:jc w:val="left"/>
              <w:rPr>
                <w:spacing w:val="-4"/>
              </w:rPr>
            </w:pPr>
            <w:r w:rsidRPr="005E71E1">
              <w:rPr>
                <w:spacing w:val="-4"/>
              </w:rPr>
              <w:t>Declarație scrisă sau electronică privind renunțarea la barierele funcționale</w:t>
            </w:r>
          </w:p>
        </w:tc>
        <w:tc>
          <w:tcPr>
            <w:tcW w:w="1912" w:type="dxa"/>
          </w:tcPr>
          <w:p w14:paraId="74D97F5C" w14:textId="77777777" w:rsidR="0082568F" w:rsidRPr="005E71E1" w:rsidRDefault="0082568F" w:rsidP="00295A54">
            <w:pPr>
              <w:pStyle w:val="Text"/>
              <w:jc w:val="left"/>
              <w:rPr>
                <w:spacing w:val="-4"/>
              </w:rPr>
            </w:pPr>
            <w:r w:rsidRPr="005E71E1">
              <w:rPr>
                <w:spacing w:val="-4"/>
              </w:rPr>
              <w:t>Cheltuieli suplimentare minore</w:t>
            </w:r>
          </w:p>
        </w:tc>
        <w:tc>
          <w:tcPr>
            <w:tcW w:w="2093" w:type="dxa"/>
          </w:tcPr>
          <w:p w14:paraId="56F7F1DE" w14:textId="77777777" w:rsidR="0082568F" w:rsidRPr="005E71E1" w:rsidRDefault="0082568F" w:rsidP="00295A54">
            <w:pPr>
              <w:pStyle w:val="Text"/>
              <w:jc w:val="left"/>
              <w:rPr>
                <w:spacing w:val="-4"/>
              </w:rPr>
            </w:pPr>
            <w:r w:rsidRPr="005E71E1">
              <w:rPr>
                <w:spacing w:val="-4"/>
              </w:rPr>
              <w:t>-</w:t>
            </w:r>
          </w:p>
        </w:tc>
      </w:tr>
      <w:tr w:rsidR="0082568F" w:rsidRPr="005E71E1" w14:paraId="3E200EA4" w14:textId="77777777" w:rsidTr="005E71E1">
        <w:tc>
          <w:tcPr>
            <w:tcW w:w="1696" w:type="dxa"/>
          </w:tcPr>
          <w:p w14:paraId="7AD34AB6" w14:textId="3F27C1E4" w:rsidR="0082568F" w:rsidRPr="005E71E1" w:rsidRDefault="0082568F" w:rsidP="00E24BD3">
            <w:pPr>
              <w:pStyle w:val="Text"/>
              <w:jc w:val="left"/>
              <w:rPr>
                <w:spacing w:val="-4"/>
              </w:rPr>
            </w:pPr>
            <w:r w:rsidRPr="005E71E1">
              <w:rPr>
                <w:spacing w:val="-4"/>
              </w:rPr>
              <w:t>articolul 6a alineatul (5)</w:t>
            </w:r>
          </w:p>
        </w:tc>
        <w:tc>
          <w:tcPr>
            <w:tcW w:w="3470" w:type="dxa"/>
          </w:tcPr>
          <w:p w14:paraId="16E632D0" w14:textId="77777777" w:rsidR="0082568F" w:rsidRPr="005E71E1" w:rsidRDefault="0082568F" w:rsidP="00295A54">
            <w:pPr>
              <w:pStyle w:val="Text"/>
              <w:jc w:val="left"/>
              <w:rPr>
                <w:spacing w:val="-4"/>
              </w:rPr>
            </w:pPr>
            <w:r w:rsidRPr="005E71E1">
              <w:rPr>
                <w:spacing w:val="-4"/>
              </w:rPr>
              <w:t>Obligația de a dovedi excluderea transferului de MOAH în conformitate cu articolul 6a alineatele (1), (2) și (4)</w:t>
            </w:r>
          </w:p>
        </w:tc>
        <w:tc>
          <w:tcPr>
            <w:tcW w:w="1912" w:type="dxa"/>
          </w:tcPr>
          <w:p w14:paraId="18381CF9" w14:textId="77777777" w:rsidR="0082568F" w:rsidRPr="005E71E1" w:rsidRDefault="0082568F" w:rsidP="00295A54">
            <w:pPr>
              <w:pStyle w:val="Text"/>
              <w:jc w:val="left"/>
              <w:rPr>
                <w:spacing w:val="-4"/>
              </w:rPr>
            </w:pPr>
            <w:r w:rsidRPr="005E71E1">
              <w:rPr>
                <w:spacing w:val="-4"/>
              </w:rPr>
              <w:t>Cheltuieli suplimentare minore</w:t>
            </w:r>
          </w:p>
        </w:tc>
        <w:tc>
          <w:tcPr>
            <w:tcW w:w="2093" w:type="dxa"/>
          </w:tcPr>
          <w:p w14:paraId="3BBC33E8" w14:textId="77777777" w:rsidR="0082568F" w:rsidRPr="005E71E1" w:rsidRDefault="0082568F" w:rsidP="00295A54">
            <w:pPr>
              <w:pStyle w:val="Text"/>
              <w:jc w:val="left"/>
              <w:rPr>
                <w:spacing w:val="-4"/>
              </w:rPr>
            </w:pPr>
            <w:r w:rsidRPr="005E71E1">
              <w:rPr>
                <w:spacing w:val="-4"/>
              </w:rPr>
              <w:t>-</w:t>
            </w:r>
          </w:p>
        </w:tc>
      </w:tr>
      <w:tr w:rsidR="0082568F" w:rsidRPr="005E71E1" w14:paraId="2CE5F889" w14:textId="77777777" w:rsidTr="005E71E1">
        <w:tc>
          <w:tcPr>
            <w:tcW w:w="1696" w:type="dxa"/>
            <w:shd w:val="clear" w:color="auto" w:fill="D9D9D9" w:themeFill="background1" w:themeFillShade="D9"/>
          </w:tcPr>
          <w:p w14:paraId="6EDE8EBB" w14:textId="77777777" w:rsidR="0082568F" w:rsidRPr="005E71E1" w:rsidRDefault="0082568F" w:rsidP="00295A54">
            <w:pPr>
              <w:pStyle w:val="Text"/>
              <w:jc w:val="left"/>
              <w:rPr>
                <w:b/>
                <w:spacing w:val="-4"/>
              </w:rPr>
            </w:pPr>
          </w:p>
        </w:tc>
        <w:tc>
          <w:tcPr>
            <w:tcW w:w="3470" w:type="dxa"/>
            <w:shd w:val="clear" w:color="auto" w:fill="D9D9D9" w:themeFill="background1" w:themeFillShade="D9"/>
          </w:tcPr>
          <w:p w14:paraId="6B167E03" w14:textId="77777777" w:rsidR="0082568F" w:rsidRPr="005E71E1" w:rsidRDefault="0082568F" w:rsidP="00295A54">
            <w:pPr>
              <w:pStyle w:val="Text"/>
              <w:jc w:val="left"/>
              <w:rPr>
                <w:b/>
                <w:spacing w:val="-4"/>
              </w:rPr>
            </w:pPr>
            <w:r w:rsidRPr="005E71E1">
              <w:rPr>
                <w:b/>
                <w:spacing w:val="-4"/>
              </w:rPr>
              <w:t xml:space="preserve">Total </w:t>
            </w:r>
          </w:p>
        </w:tc>
        <w:tc>
          <w:tcPr>
            <w:tcW w:w="1912" w:type="dxa"/>
            <w:shd w:val="clear" w:color="auto" w:fill="D9D9D9" w:themeFill="background1" w:themeFillShade="D9"/>
          </w:tcPr>
          <w:p w14:paraId="58ED3073" w14:textId="77777777" w:rsidR="0082568F" w:rsidRPr="005E71E1" w:rsidRDefault="00AD0A9D" w:rsidP="00295A54">
            <w:pPr>
              <w:pStyle w:val="Text"/>
              <w:jc w:val="left"/>
              <w:rPr>
                <w:b/>
                <w:spacing w:val="-4"/>
              </w:rPr>
            </w:pPr>
            <w:r w:rsidRPr="005E71E1">
              <w:rPr>
                <w:b/>
                <w:spacing w:val="-4"/>
              </w:rPr>
              <w:t xml:space="preserve"> 8 160 000 EUR</w:t>
            </w:r>
          </w:p>
        </w:tc>
        <w:tc>
          <w:tcPr>
            <w:tcW w:w="2093" w:type="dxa"/>
            <w:shd w:val="clear" w:color="auto" w:fill="D9D9D9" w:themeFill="background1" w:themeFillShade="D9"/>
          </w:tcPr>
          <w:p w14:paraId="1E689341" w14:textId="77777777" w:rsidR="0082568F" w:rsidRPr="005E71E1" w:rsidRDefault="000F6183" w:rsidP="00295A54">
            <w:pPr>
              <w:pStyle w:val="Text"/>
              <w:jc w:val="left"/>
              <w:rPr>
                <w:b/>
                <w:spacing w:val="-4"/>
              </w:rPr>
            </w:pPr>
            <w:r w:rsidRPr="005E71E1">
              <w:rPr>
                <w:b/>
                <w:spacing w:val="-4"/>
              </w:rPr>
              <w:t>9 280 000 EUR</w:t>
            </w:r>
          </w:p>
        </w:tc>
      </w:tr>
    </w:tbl>
    <w:p w14:paraId="0D7C6408" w14:textId="77777777" w:rsidR="006B7BFE" w:rsidRPr="00D43FA1" w:rsidRDefault="006B7BFE" w:rsidP="00612652">
      <w:pPr>
        <w:pStyle w:val="Text"/>
      </w:pPr>
    </w:p>
    <w:p w14:paraId="78164C96" w14:textId="211348C1" w:rsidR="009140F6" w:rsidRPr="00D43FA1" w:rsidRDefault="0082568F" w:rsidP="0070360F">
      <w:pPr>
        <w:pStyle w:val="Text"/>
        <w:keepNext/>
        <w:keepLines/>
        <w:tabs>
          <w:tab w:val="left" w:pos="0"/>
        </w:tabs>
      </w:pPr>
      <w:r>
        <w:t>Rezultatul estimării ex-ante se bazează pe următoarele principii:</w:t>
      </w:r>
    </w:p>
    <w:p w14:paraId="0A8513DA" w14:textId="77777777" w:rsidR="006B7BFE" w:rsidRPr="00D43FA1" w:rsidRDefault="006B7BFE" w:rsidP="0070360F">
      <w:pPr>
        <w:pStyle w:val="Text"/>
        <w:keepNext/>
        <w:keepLines/>
        <w:tabs>
          <w:tab w:val="left" w:pos="0"/>
        </w:tabs>
      </w:pPr>
      <w:r>
        <w:t xml:space="preserve">Estimarea ex-ante se referă la două obligații de informare și o cerință suplimentară pentru economie, toate prevăzute la noul articol 6a din Regulamentul privind bunurile de consum: </w:t>
      </w:r>
    </w:p>
    <w:p w14:paraId="2E574154" w14:textId="77777777" w:rsidR="006B7BFE" w:rsidRPr="00D43FA1" w:rsidRDefault="006B7BFE" w:rsidP="0070360F">
      <w:pPr>
        <w:pStyle w:val="Text"/>
        <w:keepNext/>
        <w:keepLines/>
        <w:numPr>
          <w:ilvl w:val="0"/>
          <w:numId w:val="2"/>
        </w:numPr>
        <w:ind w:left="0" w:firstLine="0"/>
      </w:pPr>
      <w:r>
        <w:t xml:space="preserve">Materialele care vin în contact cu produsele alimentare pe bază de hârtie reciclată pot fi fabricate și introduse pe piață numai cu o barieră funcțională [alineatul (1) prima teză; alineatul (4)]. Excepțiile de la această regulă se aplică în cazul în care: </w:t>
      </w:r>
    </w:p>
    <w:p w14:paraId="6471F0A8" w14:textId="77777777" w:rsidR="006B7BFE" w:rsidRPr="00D43FA1" w:rsidRDefault="000F1682" w:rsidP="00557D18">
      <w:pPr>
        <w:pStyle w:val="Text"/>
        <w:numPr>
          <w:ilvl w:val="0"/>
          <w:numId w:val="4"/>
        </w:numPr>
        <w:ind w:left="1134" w:hanging="425"/>
      </w:pPr>
      <w:r>
        <w:t>există un conținut atât de scăzut de MOAH în materialele care vin în contact cu produsele alimentare, încât acesta nu este transferat în produsele alimentare [alineatul (2) prima teză].</w:t>
      </w:r>
    </w:p>
    <w:p w14:paraId="022A3F44" w14:textId="64B85AD9" w:rsidR="006B7BFE" w:rsidRPr="00D43FA1" w:rsidRDefault="006B7BFE" w:rsidP="00557D18">
      <w:pPr>
        <w:pStyle w:val="Text"/>
        <w:numPr>
          <w:ilvl w:val="0"/>
          <w:numId w:val="4"/>
        </w:numPr>
        <w:ind w:left="1134" w:hanging="425"/>
      </w:pPr>
      <w:r>
        <w:t>au fost luate alte măsuri adecvate pentru a preveni transferul de MOAH în produsele alimentare [alineatul (2) a doua teză].</w:t>
      </w:r>
    </w:p>
    <w:p w14:paraId="29C9CC33" w14:textId="77777777" w:rsidR="006B7BFE" w:rsidRPr="00D43FA1" w:rsidRDefault="006B7BFE" w:rsidP="00557D18">
      <w:pPr>
        <w:pStyle w:val="Text"/>
        <w:numPr>
          <w:ilvl w:val="0"/>
          <w:numId w:val="3"/>
        </w:numPr>
        <w:ind w:left="0" w:firstLine="0"/>
      </w:pPr>
      <w:r>
        <w:t xml:space="preserve">Dacă operatorul din domeniul alimentar folosește o barieră funcțională (pungă intermediară sau alt material similar) sau ia alte măsuri pentru a proteja împotriva transferului de MOAH în produsele alimentare și, prin urmare, nu este necesar ca producătorul sau distribuitorul articolului care vine în contact cu produsul alimentar să doteze articolul care vine în contact cu produsul alimentar cu o barieră funcțională, trebuie să transmită o declarație scrisă sau electronică producătorului sau distribuitorului materialului care vine în contact cu produsul alimentar înainte de livrarea care vine în contact cu produsul alimentar [alineatul (3)]. </w:t>
      </w:r>
    </w:p>
    <w:p w14:paraId="3DAB98B9" w14:textId="77777777" w:rsidR="006B7BFE" w:rsidRPr="005E71E1" w:rsidRDefault="006B7BFE" w:rsidP="0070360F">
      <w:pPr>
        <w:pStyle w:val="Text"/>
        <w:keepNext/>
        <w:keepLines/>
        <w:numPr>
          <w:ilvl w:val="0"/>
          <w:numId w:val="3"/>
        </w:numPr>
        <w:ind w:left="709" w:hanging="709"/>
        <w:rPr>
          <w:spacing w:val="-4"/>
        </w:rPr>
      </w:pPr>
      <w:r w:rsidRPr="005E71E1">
        <w:rPr>
          <w:spacing w:val="-4"/>
        </w:rPr>
        <w:lastRenderedPageBreak/>
        <w:t xml:space="preserve">Obligația de a furniza dovezi privind excluderea unui transfer de MOAH [alineatul (5)]. </w:t>
      </w:r>
    </w:p>
    <w:p w14:paraId="7B0EB3AA" w14:textId="77777777" w:rsidR="006B7BFE" w:rsidRPr="00D43FA1" w:rsidRDefault="000447FD" w:rsidP="005E71E1">
      <w:pPr>
        <w:pStyle w:val="Text"/>
        <w:keepLines/>
      </w:pPr>
      <w:r>
        <w:t>Prezenta estimare s-a bazat pe „Orientările privind determinarea și prezentarea costurilor de asigurare a conformității în proiectele de reglementare ale guvernului federal”</w:t>
      </w:r>
      <w:r w:rsidR="006B7BFE" w:rsidRPr="00D43FA1">
        <w:rPr>
          <w:rStyle w:val="FootnoteReference"/>
        </w:rPr>
        <w:footnoteReference w:id="2"/>
      </w:r>
      <w:r>
        <w:t xml:space="preserve">. Societățile și instituțiile de cercetare au fost intervievate telefonic pentru a estima numărul de cazuri, precum și timpul și costurile cu materialele. Calculul numărului de cazuri include date din statisticile oficiale. </w:t>
      </w:r>
    </w:p>
    <w:p w14:paraId="7E0F8561" w14:textId="4AAB2740" w:rsidR="006B7BFE" w:rsidRPr="007E01A6" w:rsidRDefault="006B7BFE" w:rsidP="0070360F">
      <w:pPr>
        <w:pStyle w:val="Text"/>
        <w:keepNext/>
        <w:keepLines/>
        <w:rPr>
          <w:b/>
          <w:bCs/>
          <w:u w:val="single"/>
        </w:rPr>
      </w:pPr>
      <w:r>
        <w:rPr>
          <w:b/>
          <w:bCs/>
          <w:u w:val="single"/>
        </w:rPr>
        <w:t>Barieră funcțională pentru materialele care vin în contact cu produsele alimentare în conformitate cu articolul 6a alineatele (1) și (4)</w:t>
      </w:r>
    </w:p>
    <w:p w14:paraId="347CC78F" w14:textId="77777777" w:rsidR="006B7BFE" w:rsidRPr="00D43FA1" w:rsidRDefault="006B7BFE" w:rsidP="0070360F">
      <w:pPr>
        <w:pStyle w:val="Text"/>
        <w:keepNext/>
        <w:keepLines/>
      </w:pPr>
      <w:r>
        <w:t xml:space="preserve">(a) Cost unic de conversie </w:t>
      </w:r>
    </w:p>
    <w:p w14:paraId="32009364" w14:textId="77777777" w:rsidR="006B7BFE" w:rsidRPr="00D43FA1" w:rsidRDefault="006B7BFE" w:rsidP="009140F6">
      <w:pPr>
        <w:pStyle w:val="Text"/>
      </w:pPr>
      <w:r>
        <w:t xml:space="preserve">Costurile de conversie includ costurile cu personalul și cu materialele pentru testarea inițială a produselor alimentare și a materialelor care vin în contact cu produsele alimentare, precum și pentru dezvoltarea, testarea și punerea în funcțiune a ambalajelor adecvate în conformitate cu articolul 6a. </w:t>
      </w:r>
    </w:p>
    <w:p w14:paraId="5B232005" w14:textId="77777777" w:rsidR="006B7BFE" w:rsidRPr="00D43FA1" w:rsidRDefault="006B7BFE" w:rsidP="0070360F">
      <w:pPr>
        <w:pStyle w:val="Text"/>
        <w:keepNext/>
        <w:keepLines/>
        <w:numPr>
          <w:ilvl w:val="0"/>
          <w:numId w:val="5"/>
        </w:numPr>
        <w:ind w:left="714" w:hanging="357"/>
        <w:rPr>
          <w:i/>
          <w:iCs/>
          <w:color w:val="000000"/>
        </w:rPr>
      </w:pPr>
      <w:r>
        <w:rPr>
          <w:i/>
          <w:iCs/>
          <w:color w:val="000000"/>
        </w:rPr>
        <w:t xml:space="preserve">Nr. de cazuri </w:t>
      </w:r>
    </w:p>
    <w:p w14:paraId="6D903E99" w14:textId="77777777" w:rsidR="006B7BFE" w:rsidRPr="00D43FA1" w:rsidRDefault="006B7BFE" w:rsidP="0070360F">
      <w:pPr>
        <w:pStyle w:val="Text"/>
        <w:keepNext/>
        <w:keepLines/>
        <w:rPr>
          <w:color w:val="000000"/>
        </w:rPr>
      </w:pPr>
      <w:r>
        <w:rPr>
          <w:color w:val="000000"/>
        </w:rPr>
        <w:t>Pentru determinarea numărului de cazuri (= produse afectate: Produsele alimentare și produsele alimentare care intră în contact cu acestea) au fost utilizate atât în urma interviurilor obținute, cât și în urma studiului privind structura costurilor din industria de prelucrare.</w:t>
      </w:r>
      <w:r w:rsidRPr="00D43FA1">
        <w:rPr>
          <w:rStyle w:val="FootnoteReference"/>
          <w:color w:val="000000"/>
        </w:rPr>
        <w:footnoteReference w:id="3"/>
      </w:r>
      <w:r>
        <w:rPr>
          <w:color w:val="000000"/>
          <w:vertAlign w:val="superscript"/>
        </w:rPr>
        <w:t xml:space="preserve"> </w:t>
      </w:r>
      <w:r>
        <w:rPr>
          <w:color w:val="000000"/>
        </w:rPr>
        <w:t xml:space="preserve">Pe baza interviurilor, s-ar putea obține date privind numărul de produse ale societăților individuale. Cifrele de vânzări ale societății au fost preluate din surse puse la dispoziția publicului. Pe baza acestor valori, cifra de afaceri pe fiecare produs a fost determinată pentru cinci societăți, ridicându-se în medie la aproximativ 2,5 milioane EUR. Studiul privind structura costurilor conține informații cu privire la numărul și cifra de afaceri a societăților din sectoarele industriei de prelucrare (conform clasificării sectoarelor industriale, ediția 2008). Pe baza informațiilor obținute în urma interviurilor, au putut fi identificate șapte sectoare economice afectate: </w:t>
      </w:r>
    </w:p>
    <w:p w14:paraId="51BE6B2B" w14:textId="77777777" w:rsidR="006B7BFE" w:rsidRPr="00D43FA1" w:rsidRDefault="006B7BFE" w:rsidP="0070360F">
      <w:pPr>
        <w:pStyle w:val="Text"/>
        <w:keepNext/>
        <w:keepLines/>
        <w:spacing w:before="0" w:after="0"/>
        <w:rPr>
          <w:color w:val="000000"/>
        </w:rPr>
      </w:pPr>
      <w:r>
        <w:rPr>
          <w:color w:val="000000"/>
        </w:rPr>
        <w:t xml:space="preserve">Producția de </w:t>
      </w:r>
    </w:p>
    <w:p w14:paraId="11222691" w14:textId="77777777" w:rsidR="006B7BFE" w:rsidRPr="00D43FA1" w:rsidRDefault="006B7BFE" w:rsidP="009140F6">
      <w:pPr>
        <w:pStyle w:val="Text"/>
        <w:spacing w:before="0" w:after="0"/>
        <w:rPr>
          <w:color w:val="000000"/>
        </w:rPr>
      </w:pPr>
      <w:r>
        <w:rPr>
          <w:color w:val="000000"/>
        </w:rPr>
        <w:t xml:space="preserve">• amidon și produse din amidon; </w:t>
      </w:r>
    </w:p>
    <w:p w14:paraId="662E4943" w14:textId="77777777" w:rsidR="006B7BFE" w:rsidRPr="00D43FA1" w:rsidRDefault="006B7BFE" w:rsidP="009140F6">
      <w:pPr>
        <w:pStyle w:val="Text"/>
        <w:spacing w:before="0" w:after="0"/>
        <w:rPr>
          <w:color w:val="000000"/>
        </w:rPr>
      </w:pPr>
      <w:r>
        <w:rPr>
          <w:color w:val="000000"/>
        </w:rPr>
        <w:t xml:space="preserve">• produse de panificație cu durată lungă de valabilitate; </w:t>
      </w:r>
    </w:p>
    <w:p w14:paraId="18BD7F36" w14:textId="77777777" w:rsidR="006B7BFE" w:rsidRPr="00D43FA1" w:rsidRDefault="006B7BFE" w:rsidP="009140F6">
      <w:pPr>
        <w:pStyle w:val="Text"/>
        <w:spacing w:before="0" w:after="0"/>
        <w:rPr>
          <w:color w:val="000000"/>
        </w:rPr>
      </w:pPr>
      <w:r>
        <w:rPr>
          <w:color w:val="000000"/>
        </w:rPr>
        <w:t xml:space="preserve">• paste; </w:t>
      </w:r>
    </w:p>
    <w:p w14:paraId="38C5F55D" w14:textId="77777777" w:rsidR="006B7BFE" w:rsidRPr="00D43FA1" w:rsidRDefault="006B7BFE" w:rsidP="009140F6">
      <w:pPr>
        <w:pStyle w:val="Text"/>
        <w:spacing w:before="0" w:after="0"/>
        <w:rPr>
          <w:color w:val="000000"/>
        </w:rPr>
      </w:pPr>
      <w:r>
        <w:rPr>
          <w:color w:val="000000"/>
        </w:rPr>
        <w:t xml:space="preserve">• produse de cofetărie; </w:t>
      </w:r>
    </w:p>
    <w:p w14:paraId="1D62B3D9" w14:textId="77777777" w:rsidR="006B7BFE" w:rsidRPr="00D43FA1" w:rsidRDefault="006B7BFE" w:rsidP="009140F6">
      <w:pPr>
        <w:pStyle w:val="Text"/>
        <w:spacing w:before="0" w:after="0"/>
        <w:rPr>
          <w:color w:val="000000"/>
        </w:rPr>
      </w:pPr>
      <w:r>
        <w:rPr>
          <w:color w:val="000000"/>
        </w:rPr>
        <w:t xml:space="preserve">• cafea/ceai </w:t>
      </w:r>
    </w:p>
    <w:p w14:paraId="6E9A551C" w14:textId="77777777" w:rsidR="006B7BFE" w:rsidRPr="00D43FA1" w:rsidRDefault="006B7BFE" w:rsidP="009140F6">
      <w:pPr>
        <w:pStyle w:val="Text"/>
        <w:spacing w:before="0" w:after="0"/>
        <w:rPr>
          <w:color w:val="000000"/>
        </w:rPr>
      </w:pPr>
      <w:r>
        <w:rPr>
          <w:color w:val="000000"/>
        </w:rPr>
        <w:t xml:space="preserve">• produse măcinate și decojite; </w:t>
      </w:r>
    </w:p>
    <w:p w14:paraId="31C005BD" w14:textId="3394A96C" w:rsidR="006B7BFE" w:rsidRDefault="006B7BFE" w:rsidP="00557D18">
      <w:pPr>
        <w:pStyle w:val="Text"/>
        <w:spacing w:before="0" w:after="0"/>
        <w:jc w:val="left"/>
        <w:rPr>
          <w:color w:val="000000"/>
        </w:rPr>
      </w:pPr>
      <w:r>
        <w:rPr>
          <w:color w:val="000000"/>
        </w:rPr>
        <w:t xml:space="preserve">• mâncăruri gătite; </w:t>
      </w:r>
    </w:p>
    <w:p w14:paraId="69346562" w14:textId="77777777" w:rsidR="00D43FA1" w:rsidRPr="00D43FA1" w:rsidRDefault="00D43FA1" w:rsidP="00557D18">
      <w:pPr>
        <w:pStyle w:val="Text"/>
        <w:spacing w:before="0" w:after="0"/>
        <w:jc w:val="left"/>
        <w:rPr>
          <w:color w:val="000000"/>
        </w:rPr>
      </w:pPr>
    </w:p>
    <w:p w14:paraId="22853B05" w14:textId="02272ACD" w:rsidR="006B7BFE" w:rsidRPr="00D43FA1" w:rsidRDefault="006B7BFE" w:rsidP="009140F6">
      <w:pPr>
        <w:pStyle w:val="Text"/>
        <w:spacing w:before="0" w:after="0"/>
        <w:rPr>
          <w:color w:val="000000"/>
        </w:rPr>
      </w:pPr>
      <w:r>
        <w:rPr>
          <w:color w:val="000000"/>
        </w:rPr>
        <w:t xml:space="preserve">Cifra de afaceri totală a celor 415 societăți afectate se ridică la aproximativ 26 de miliarde de euro. </w:t>
      </w:r>
    </w:p>
    <w:p w14:paraId="6EE2F31E" w14:textId="2FFA7DC6" w:rsidR="006B7BFE" w:rsidRDefault="006B7BFE" w:rsidP="00557D18">
      <w:pPr>
        <w:pStyle w:val="Text"/>
        <w:spacing w:before="0" w:after="0"/>
        <w:rPr>
          <w:color w:val="000000"/>
        </w:rPr>
      </w:pPr>
      <w:r>
        <w:rPr>
          <w:color w:val="000000"/>
        </w:rPr>
        <w:t xml:space="preserve">Pe baza vânzărilor totale, se estimează câte produse (= produse alimentare plus mărfuri alimentare asociate) pe care le produc aceste societăți pentru piața germană: cu vânzări totale de 26 de miliarde de euro și vânzări de 2,5 milioane de euro pe produs, totalul fiind de </w:t>
      </w:r>
      <w:r>
        <w:rPr>
          <w:b/>
          <w:bCs/>
          <w:color w:val="000000"/>
        </w:rPr>
        <w:t>aproximativ 10 000 de produse</w:t>
      </w:r>
      <w:r>
        <w:rPr>
          <w:color w:val="000000"/>
        </w:rPr>
        <w:t xml:space="preserve">. Numai o parte din ambalajul produsului trebuie să fie transformată, deoarece societățile nu sunt toate afectate în mod egal: În timp ce unele societăți trebuie să-și transforme întreaga gamă de produse, altele au doar câteva produse afectate. Cu toate acestea, pentru toate produsele, trebuie să se verifice dacă ambalajul existent împiedică transferul de MOAH în produsele alimentare. Produsele alimentare ambalate exclusiv în folie sunt, de asemenea, testate, deoarece aceste produse sunt, de obicei, ambalate și livrate în cutii de carton realizate din hârtie reciclată. </w:t>
      </w:r>
    </w:p>
    <w:p w14:paraId="37B7DEE2" w14:textId="77777777" w:rsidR="00D43FA1" w:rsidRPr="00D43FA1" w:rsidRDefault="00D43FA1" w:rsidP="00557D18">
      <w:pPr>
        <w:pStyle w:val="Text"/>
        <w:spacing w:before="0" w:after="0"/>
        <w:rPr>
          <w:color w:val="000000"/>
        </w:rPr>
      </w:pPr>
    </w:p>
    <w:p w14:paraId="6FDE533B" w14:textId="5E092961" w:rsidR="006B7BFE" w:rsidRPr="00D43FA1" w:rsidRDefault="006B7BFE" w:rsidP="0070360F">
      <w:pPr>
        <w:pStyle w:val="Text"/>
        <w:keepNext/>
        <w:keepLines/>
        <w:numPr>
          <w:ilvl w:val="0"/>
          <w:numId w:val="5"/>
        </w:numPr>
        <w:spacing w:before="0" w:after="0"/>
        <w:rPr>
          <w:i/>
          <w:iCs/>
          <w:color w:val="000000"/>
          <w:u w:val="single"/>
        </w:rPr>
      </w:pPr>
      <w:r>
        <w:rPr>
          <w:i/>
          <w:iCs/>
          <w:color w:val="000000"/>
        </w:rPr>
        <w:t xml:space="preserve">Costuri cu materialele </w:t>
      </w:r>
    </w:p>
    <w:p w14:paraId="20856574" w14:textId="77777777" w:rsidR="00D43FA1" w:rsidRPr="00D43FA1" w:rsidRDefault="00D43FA1" w:rsidP="0070360F">
      <w:pPr>
        <w:keepNext/>
        <w:keepLines/>
        <w:spacing w:before="0" w:after="0"/>
      </w:pPr>
    </w:p>
    <w:p w14:paraId="3F2BE815" w14:textId="0DDDAA09" w:rsidR="006B7BFE" w:rsidRPr="005E71E1" w:rsidRDefault="006B7BFE" w:rsidP="009140F6">
      <w:pPr>
        <w:pStyle w:val="Text"/>
        <w:spacing w:before="0" w:after="0"/>
        <w:rPr>
          <w:color w:val="000000"/>
          <w:spacing w:val="-4"/>
        </w:rPr>
      </w:pPr>
      <w:r w:rsidRPr="005E71E1">
        <w:rPr>
          <w:color w:val="000000"/>
          <w:spacing w:val="-4"/>
        </w:rPr>
        <w:t>Costurile cu materialele constau în costurile de analiză pentru testarea inițială a alimentelor și a produselor alimentare asociate (de obicei, ambalaje), precum și în dezvoltarea și utilizarea de ambalaje noi. Costurile sunt generate de punerea în funcțiune a laboratoarelor externe pentru examinări. Puține societăți efectuează analizele complet. În fiecare caz, au fost solicitate costurile totale pentru toate produsele afectate ale unei societăți și aceste costuri totale au fost alocate numărului de produse ale societății care intră sub incidența regulamentului.</w:t>
      </w:r>
    </w:p>
    <w:p w14:paraId="12734BF7" w14:textId="0BD0DC03" w:rsidR="006B7BFE" w:rsidRPr="00D43FA1" w:rsidRDefault="006B7BFE" w:rsidP="009140F6">
      <w:pPr>
        <w:pStyle w:val="Text"/>
        <w:spacing w:before="0" w:after="0"/>
        <w:rPr>
          <w:color w:val="000000"/>
        </w:rPr>
      </w:pPr>
      <w:r>
        <w:rPr>
          <w:color w:val="000000"/>
        </w:rPr>
        <w:t>Pe baza interviurilor, s-ar putea determina faptul că inspecția produselor alimentare și a articolelor care vin în contact cu produsele alimentare asociate va costa aproximativ 290 EUR pentru fiecare produs. Costurile sunt suportate pentru toate cele 10 000 de produse.</w:t>
      </w:r>
    </w:p>
    <w:p w14:paraId="6C361081" w14:textId="6695102A" w:rsidR="006B7BFE" w:rsidRPr="00D43FA1" w:rsidRDefault="006B7BFE" w:rsidP="009140F6">
      <w:pPr>
        <w:pStyle w:val="Text"/>
        <w:spacing w:before="0" w:after="0"/>
        <w:rPr>
          <w:color w:val="000000"/>
        </w:rPr>
      </w:pPr>
      <w:r>
        <w:rPr>
          <w:color w:val="000000"/>
        </w:rPr>
        <w:t>Se presupune că ambalajul trebuie schimbat pentru 50 % dintre produsele testate, adică pentru 5 000 de produse. Aceasta ar duce la o medie de 550 EUR în costuri cu materialele pentru fiecare produs.</w:t>
      </w:r>
    </w:p>
    <w:p w14:paraId="71241388" w14:textId="7F9A1A7C" w:rsidR="00C23235" w:rsidRPr="00D43FA1" w:rsidRDefault="006B7BFE" w:rsidP="0070360F">
      <w:pPr>
        <w:pStyle w:val="Text"/>
        <w:keepNext/>
        <w:keepLines/>
        <w:spacing w:before="0" w:after="0"/>
        <w:rPr>
          <w:color w:val="000000"/>
        </w:rPr>
      </w:pPr>
      <w:r>
        <w:rPr>
          <w:color w:val="000000"/>
        </w:rPr>
        <w:t>Astfel, costurile unice ale materialelor rezultă din următoarea factură:</w:t>
      </w:r>
    </w:p>
    <w:p w14:paraId="0AE849C1" w14:textId="0BE5CE3F" w:rsidR="006B7BFE" w:rsidRDefault="006B7BFE" w:rsidP="009140F6">
      <w:pPr>
        <w:pStyle w:val="Text"/>
        <w:spacing w:before="0" w:after="0"/>
        <w:rPr>
          <w:color w:val="000000"/>
        </w:rPr>
      </w:pPr>
      <w:r>
        <w:rPr>
          <w:color w:val="000000"/>
        </w:rPr>
        <w:t xml:space="preserve">290 EUR costuri de testare x 10 000 produse de testat + 550 EUR costuri materiale x 5 000 ambalaje de produse = 5 650 000 EUR. </w:t>
      </w:r>
    </w:p>
    <w:p w14:paraId="0A260EF9" w14:textId="77777777" w:rsidR="00D43FA1" w:rsidRPr="00D43FA1" w:rsidRDefault="00D43FA1" w:rsidP="009140F6">
      <w:pPr>
        <w:pStyle w:val="Text"/>
        <w:spacing w:before="0" w:after="0"/>
        <w:rPr>
          <w:color w:val="000000"/>
        </w:rPr>
      </w:pPr>
    </w:p>
    <w:p w14:paraId="2EEE4654" w14:textId="5E56A404" w:rsidR="006B7BFE" w:rsidRPr="00D43FA1" w:rsidRDefault="006B7BFE" w:rsidP="0070360F">
      <w:pPr>
        <w:pStyle w:val="Text"/>
        <w:keepNext/>
        <w:keepLines/>
        <w:numPr>
          <w:ilvl w:val="0"/>
          <w:numId w:val="5"/>
        </w:numPr>
        <w:spacing w:before="0" w:after="0"/>
        <w:rPr>
          <w:u w:val="single"/>
        </w:rPr>
      </w:pPr>
      <w:r>
        <w:rPr>
          <w:i/>
          <w:iCs/>
          <w:color w:val="000000"/>
        </w:rPr>
        <w:t xml:space="preserve">Costuri cu personalul </w:t>
      </w:r>
    </w:p>
    <w:p w14:paraId="3CDF1E12" w14:textId="77777777" w:rsidR="00D43FA1" w:rsidRPr="00D43FA1" w:rsidRDefault="00D43FA1" w:rsidP="0070360F">
      <w:pPr>
        <w:pStyle w:val="Text"/>
        <w:keepNext/>
        <w:keepLines/>
        <w:spacing w:before="0" w:after="0"/>
        <w:ind w:left="360"/>
        <w:rPr>
          <w:u w:val="single"/>
        </w:rPr>
      </w:pPr>
    </w:p>
    <w:p w14:paraId="060CC136" w14:textId="0224181D" w:rsidR="006B7BFE" w:rsidRPr="00D43FA1" w:rsidRDefault="006B7BFE" w:rsidP="009140F6">
      <w:pPr>
        <w:pStyle w:val="Text"/>
        <w:spacing w:before="0" w:after="0"/>
      </w:pPr>
      <w:r>
        <w:t>Costurile cu personalul sunt alcătuite din timpul necesar pentru testarea produselor și a articolelor care vin în contact cu produsele alimentare asociate (de obicei ambalaje) și pentru transformarea ambalajului (pregătirea și urmărirea testelor de laborator, analizele în sine se efectuează în principal extern). În fiecare caz, au fost solicitate costurile totale pentru toate produsele afectate ale unei societăți și aceste costuri totale au fost alocate numărului de produse ale societății care intră sub incidența regulamentului.</w:t>
      </w:r>
    </w:p>
    <w:p w14:paraId="325CED0A" w14:textId="3DBDD0D3" w:rsidR="006B7BFE" w:rsidRPr="00D43FA1" w:rsidRDefault="006B7BFE" w:rsidP="009140F6">
      <w:pPr>
        <w:pStyle w:val="Text"/>
        <w:spacing w:before="0" w:after="0"/>
      </w:pPr>
      <w:r>
        <w:t>Pe baza interviurilor realizate, s-ar putea determina o cheltuială în timp de aproximativ</w:t>
      </w:r>
      <w:r>
        <w:rPr>
          <w:b/>
          <w:bCs/>
        </w:rPr>
        <w:t xml:space="preserve"> trei ore pentru fiecare produs</w:t>
      </w:r>
      <w:r>
        <w:t xml:space="preserve"> pentru testarea produselor alimentare și a produselor alimentare asociate. În plus față de analiza pentru MOAH, aceasta include și lucrări pregătitoare, cum ar fi prelevarea de probe. Rata salarială este stabilită la 60,50 EUR/oră</w:t>
      </w:r>
      <w:r>
        <w:rPr>
          <w:rStyle w:val="FootnoteReference"/>
        </w:rPr>
        <w:footnoteReference w:customMarkFollows="1" w:id="4"/>
        <w:t>3</w:t>
      </w:r>
      <w:r>
        <w:t>.</w:t>
      </w:r>
      <w:r>
        <w:rPr>
          <w:vertAlign w:val="superscript"/>
        </w:rPr>
        <w:t xml:space="preserve"> </w:t>
      </w:r>
      <w:r>
        <w:t>Aceste costuri sunt suportate pentru fiecare 10 000 de produse.</w:t>
      </w:r>
    </w:p>
    <w:p w14:paraId="31FE69DB" w14:textId="360102A6" w:rsidR="006B7BFE" w:rsidRPr="00D43FA1" w:rsidRDefault="002201EF" w:rsidP="009140F6">
      <w:pPr>
        <w:pStyle w:val="Text"/>
        <w:spacing w:before="0" w:after="0"/>
      </w:pPr>
      <w:r>
        <w:t>Timpul necesar pentru a converti un ambalaj de produs se ridică la aproximativ șase ore de muncă pe produs. Rata salarială este stabilită la 60,50 EUR/oră.</w:t>
      </w:r>
      <w:r>
        <w:rPr>
          <w:vertAlign w:val="superscript"/>
        </w:rPr>
        <w:t xml:space="preserve">3 </w:t>
      </w:r>
      <w:r>
        <w:t>Presupunând că aproximativ 50 % din totalul produselor trebuie convertite, costurile salariale sunt suportate pentru 5 000 de produse.</w:t>
      </w:r>
    </w:p>
    <w:p w14:paraId="082FCC81" w14:textId="77777777" w:rsidR="002201EF" w:rsidRPr="0086292F" w:rsidRDefault="006B7BFE" w:rsidP="009140F6">
      <w:pPr>
        <w:pStyle w:val="Text"/>
        <w:spacing w:before="0" w:after="0"/>
      </w:pPr>
      <w:r>
        <w:t xml:space="preserve">Astfel, costurile unice cu personalul rezultă din următoarea factură: </w:t>
      </w:r>
    </w:p>
    <w:p w14:paraId="0A22DD87" w14:textId="5FCF7C89" w:rsidR="00D43FA1" w:rsidRDefault="006B7BFE" w:rsidP="009140F6">
      <w:pPr>
        <w:pStyle w:val="Text"/>
        <w:spacing w:before="0" w:after="0"/>
      </w:pPr>
      <w:r>
        <w:t>3 ore de testare x 60,50 euro rata salariului x 10 000 de produse care urmează să fie testate + 6 ore efort de conversie x 60,50 EUR rata salariului x 5 000 de produse care urmează să fie convertite = 3 630 000 EUR.</w:t>
      </w:r>
    </w:p>
    <w:p w14:paraId="2406F8A6" w14:textId="7A9A3CFE" w:rsidR="006B7BFE" w:rsidRPr="00D43FA1" w:rsidRDefault="006B7BFE" w:rsidP="009140F6">
      <w:pPr>
        <w:pStyle w:val="Text"/>
        <w:spacing w:before="0" w:after="0"/>
      </w:pPr>
    </w:p>
    <w:p w14:paraId="3A7DB30D" w14:textId="77777777" w:rsidR="006B7BFE" w:rsidRPr="00D43FA1" w:rsidRDefault="006B7BFE" w:rsidP="005E71E1">
      <w:pPr>
        <w:pStyle w:val="Text"/>
        <w:keepNext/>
        <w:keepLines/>
        <w:spacing w:before="0" w:after="0"/>
        <w:rPr>
          <w:u w:val="single"/>
        </w:rPr>
      </w:pPr>
      <w:r>
        <w:rPr>
          <w:b/>
          <w:bCs/>
        </w:rPr>
        <w:lastRenderedPageBreak/>
        <w:t xml:space="preserve">Tabelul 2: Prezentarea generală a costurilor de conversie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436"/>
        <w:gridCol w:w="1134"/>
        <w:gridCol w:w="1275"/>
        <w:gridCol w:w="1447"/>
        <w:gridCol w:w="1417"/>
        <w:gridCol w:w="1559"/>
      </w:tblGrid>
      <w:tr w:rsidR="006B7BFE" w:rsidRPr="005E71E1" w14:paraId="3E0ACA00" w14:textId="77777777" w:rsidTr="005E71E1">
        <w:tc>
          <w:tcPr>
            <w:tcW w:w="2802" w:type="dxa"/>
            <w:gridSpan w:val="2"/>
          </w:tcPr>
          <w:p w14:paraId="6539344C" w14:textId="6E1D7699" w:rsidR="006B7BFE" w:rsidRPr="005E71E1" w:rsidRDefault="006B7BFE" w:rsidP="005E71E1">
            <w:pPr>
              <w:pStyle w:val="Default"/>
              <w:keepNext/>
              <w:keepLines/>
              <w:rPr>
                <w:rFonts w:ascii="Arial" w:hAnsi="Arial" w:cs="Arial"/>
                <w:b/>
                <w:spacing w:val="-4"/>
                <w:sz w:val="22"/>
                <w:szCs w:val="22"/>
              </w:rPr>
            </w:pPr>
            <w:r w:rsidRPr="005E71E1">
              <w:rPr>
                <w:rFonts w:ascii="Arial" w:hAnsi="Arial"/>
                <w:b/>
                <w:iCs/>
                <w:spacing w:val="-4"/>
                <w:sz w:val="22"/>
                <w:szCs w:val="22"/>
              </w:rPr>
              <w:t xml:space="preserve">Cerințe/obligația de informare (IP) </w:t>
            </w:r>
          </w:p>
        </w:tc>
        <w:tc>
          <w:tcPr>
            <w:tcW w:w="1134" w:type="dxa"/>
          </w:tcPr>
          <w:p w14:paraId="49FCAF62" w14:textId="0B6392AB" w:rsidR="006B7BFE" w:rsidRPr="005E71E1" w:rsidRDefault="006B7BFE" w:rsidP="005E71E1">
            <w:pPr>
              <w:pStyle w:val="Default"/>
              <w:keepNext/>
              <w:keepLines/>
              <w:rPr>
                <w:rFonts w:ascii="Arial" w:hAnsi="Arial" w:cs="Arial"/>
                <w:b/>
                <w:spacing w:val="-4"/>
                <w:sz w:val="22"/>
                <w:szCs w:val="22"/>
              </w:rPr>
            </w:pPr>
            <w:r w:rsidRPr="005E71E1">
              <w:rPr>
                <w:rFonts w:ascii="Arial" w:hAnsi="Arial"/>
                <w:b/>
                <w:iCs/>
                <w:spacing w:val="-4"/>
                <w:sz w:val="22"/>
                <w:szCs w:val="22"/>
              </w:rPr>
              <w:t xml:space="preserve">Timpul necesar o singură dată, exprimat în ore </w:t>
            </w:r>
          </w:p>
        </w:tc>
        <w:tc>
          <w:tcPr>
            <w:tcW w:w="1275" w:type="dxa"/>
          </w:tcPr>
          <w:p w14:paraId="3FB6B09A" w14:textId="6C98ECC7" w:rsidR="006B7BFE" w:rsidRPr="005E71E1" w:rsidRDefault="006B7BFE" w:rsidP="005E71E1">
            <w:pPr>
              <w:pStyle w:val="Default"/>
              <w:keepNext/>
              <w:keepLines/>
              <w:rPr>
                <w:rFonts w:ascii="Arial" w:hAnsi="Arial" w:cs="Arial"/>
                <w:b/>
                <w:spacing w:val="-4"/>
                <w:sz w:val="22"/>
                <w:szCs w:val="22"/>
              </w:rPr>
            </w:pPr>
            <w:r w:rsidRPr="005E71E1">
              <w:rPr>
                <w:rFonts w:ascii="Arial" w:hAnsi="Arial"/>
                <w:b/>
                <w:iCs/>
                <w:spacing w:val="-4"/>
                <w:sz w:val="22"/>
                <w:szCs w:val="22"/>
              </w:rPr>
              <w:t xml:space="preserve">Rata salariului în EUR/oră </w:t>
            </w:r>
          </w:p>
        </w:tc>
        <w:tc>
          <w:tcPr>
            <w:tcW w:w="1447" w:type="dxa"/>
          </w:tcPr>
          <w:p w14:paraId="0F54C0E3" w14:textId="1127C6E8" w:rsidR="006B7BFE" w:rsidRPr="005E71E1" w:rsidRDefault="006B7BFE" w:rsidP="005E71E1">
            <w:pPr>
              <w:pStyle w:val="Default"/>
              <w:keepNext/>
              <w:keepLines/>
              <w:rPr>
                <w:rFonts w:ascii="Arial" w:hAnsi="Arial" w:cs="Arial"/>
                <w:b/>
                <w:spacing w:val="-4"/>
                <w:sz w:val="22"/>
                <w:szCs w:val="22"/>
              </w:rPr>
            </w:pPr>
            <w:r w:rsidRPr="005E71E1">
              <w:rPr>
                <w:rFonts w:ascii="Arial" w:hAnsi="Arial"/>
                <w:b/>
                <w:iCs/>
                <w:spacing w:val="-4"/>
                <w:sz w:val="22"/>
                <w:szCs w:val="22"/>
              </w:rPr>
              <w:t xml:space="preserve">Costuri unice cu personalul, exprimate în EUR </w:t>
            </w:r>
          </w:p>
        </w:tc>
        <w:tc>
          <w:tcPr>
            <w:tcW w:w="1417" w:type="dxa"/>
          </w:tcPr>
          <w:p w14:paraId="2AD81DFC" w14:textId="1826E1E2" w:rsidR="006B7BFE" w:rsidRPr="005E71E1" w:rsidRDefault="006B7BFE" w:rsidP="005E71E1">
            <w:pPr>
              <w:pStyle w:val="Default"/>
              <w:keepNext/>
              <w:keepLines/>
              <w:rPr>
                <w:rFonts w:ascii="Arial" w:hAnsi="Arial" w:cs="Arial"/>
                <w:b/>
                <w:spacing w:val="-4"/>
                <w:sz w:val="22"/>
                <w:szCs w:val="22"/>
              </w:rPr>
            </w:pPr>
            <w:r w:rsidRPr="005E71E1">
              <w:rPr>
                <w:rFonts w:ascii="Arial" w:hAnsi="Arial"/>
                <w:b/>
                <w:iCs/>
                <w:spacing w:val="-4"/>
                <w:sz w:val="22"/>
                <w:szCs w:val="22"/>
              </w:rPr>
              <w:t xml:space="preserve">Costuri unice cu materialele, exprimate în EUR </w:t>
            </w:r>
          </w:p>
        </w:tc>
        <w:tc>
          <w:tcPr>
            <w:tcW w:w="1559" w:type="dxa"/>
          </w:tcPr>
          <w:p w14:paraId="50C55997" w14:textId="26B44DE8" w:rsidR="006B7BFE" w:rsidRPr="005E71E1" w:rsidRDefault="006B7BFE" w:rsidP="005E71E1">
            <w:pPr>
              <w:pStyle w:val="Default"/>
              <w:keepNext/>
              <w:keepLines/>
              <w:rPr>
                <w:rFonts w:ascii="Arial" w:hAnsi="Arial" w:cs="Arial"/>
                <w:b/>
                <w:spacing w:val="-4"/>
                <w:sz w:val="22"/>
                <w:szCs w:val="22"/>
              </w:rPr>
            </w:pPr>
            <w:r w:rsidRPr="005E71E1">
              <w:rPr>
                <w:rFonts w:ascii="Arial" w:hAnsi="Arial"/>
                <w:b/>
                <w:bCs/>
                <w:iCs/>
                <w:spacing w:val="-4"/>
                <w:sz w:val="22"/>
                <w:szCs w:val="22"/>
              </w:rPr>
              <w:t xml:space="preserve">Costuri unice de asigurare a conformității, exprimate în EUR </w:t>
            </w:r>
          </w:p>
        </w:tc>
      </w:tr>
      <w:tr w:rsidR="006B7BFE" w:rsidRPr="005E71E1" w14:paraId="19635ABD" w14:textId="77777777" w:rsidTr="005E71E1">
        <w:tc>
          <w:tcPr>
            <w:tcW w:w="1366" w:type="dxa"/>
          </w:tcPr>
          <w:p w14:paraId="3EF43B2A" w14:textId="77777777" w:rsidR="006B7BFE" w:rsidRPr="005E71E1" w:rsidRDefault="006B7BFE" w:rsidP="006B7BFE">
            <w:pPr>
              <w:pStyle w:val="Default"/>
              <w:rPr>
                <w:rFonts w:ascii="Arial" w:hAnsi="Arial" w:cs="Arial"/>
                <w:spacing w:val="-4"/>
                <w:sz w:val="22"/>
                <w:szCs w:val="22"/>
              </w:rPr>
            </w:pPr>
            <w:r w:rsidRPr="005E71E1">
              <w:rPr>
                <w:rFonts w:ascii="Arial" w:hAnsi="Arial"/>
                <w:spacing w:val="-4"/>
                <w:sz w:val="22"/>
                <w:szCs w:val="22"/>
              </w:rPr>
              <w:t xml:space="preserve">Bariera funcțională </w:t>
            </w:r>
          </w:p>
        </w:tc>
        <w:tc>
          <w:tcPr>
            <w:tcW w:w="1436" w:type="dxa"/>
          </w:tcPr>
          <w:p w14:paraId="3A8E99F1" w14:textId="77777777" w:rsidR="006B7BFE" w:rsidRPr="005E71E1" w:rsidRDefault="006B7BFE" w:rsidP="000F1682">
            <w:pPr>
              <w:pStyle w:val="Default"/>
              <w:rPr>
                <w:rFonts w:ascii="Arial" w:hAnsi="Arial" w:cs="Arial"/>
                <w:spacing w:val="-4"/>
                <w:sz w:val="22"/>
                <w:szCs w:val="22"/>
              </w:rPr>
            </w:pPr>
            <w:r w:rsidRPr="005E71E1">
              <w:rPr>
                <w:rFonts w:ascii="Arial" w:hAnsi="Arial"/>
                <w:spacing w:val="-4"/>
                <w:sz w:val="22"/>
                <w:szCs w:val="22"/>
              </w:rPr>
              <w:t xml:space="preserve">Articolul 6a alineatele (1) și (4) </w:t>
            </w:r>
          </w:p>
        </w:tc>
        <w:tc>
          <w:tcPr>
            <w:tcW w:w="1134" w:type="dxa"/>
          </w:tcPr>
          <w:p w14:paraId="0BB48AAC" w14:textId="77777777" w:rsidR="006B7BFE" w:rsidRPr="005E71E1" w:rsidRDefault="006B7BFE" w:rsidP="002F4768">
            <w:pPr>
              <w:pStyle w:val="Default"/>
              <w:rPr>
                <w:rFonts w:ascii="Arial" w:hAnsi="Arial" w:cs="Arial"/>
                <w:spacing w:val="-4"/>
                <w:sz w:val="22"/>
                <w:szCs w:val="22"/>
              </w:rPr>
            </w:pPr>
            <w:r w:rsidRPr="005E71E1">
              <w:rPr>
                <w:rFonts w:ascii="Arial" w:hAnsi="Arial"/>
                <w:spacing w:val="-4"/>
                <w:sz w:val="22"/>
                <w:szCs w:val="22"/>
              </w:rPr>
              <w:t xml:space="preserve">60 000 </w:t>
            </w:r>
          </w:p>
        </w:tc>
        <w:tc>
          <w:tcPr>
            <w:tcW w:w="1275" w:type="dxa"/>
          </w:tcPr>
          <w:p w14:paraId="28388CFA" w14:textId="77777777" w:rsidR="006B7BFE" w:rsidRPr="005E71E1" w:rsidRDefault="00A4031B" w:rsidP="006B7BFE">
            <w:pPr>
              <w:pStyle w:val="Default"/>
              <w:rPr>
                <w:rFonts w:ascii="Arial" w:hAnsi="Arial" w:cs="Arial"/>
                <w:spacing w:val="-4"/>
                <w:sz w:val="22"/>
                <w:szCs w:val="22"/>
              </w:rPr>
            </w:pPr>
            <w:r w:rsidRPr="005E71E1">
              <w:rPr>
                <w:rFonts w:ascii="Arial" w:hAnsi="Arial"/>
                <w:spacing w:val="-4"/>
                <w:sz w:val="22"/>
                <w:szCs w:val="22"/>
              </w:rPr>
              <w:t>60,50</w:t>
            </w:r>
          </w:p>
        </w:tc>
        <w:tc>
          <w:tcPr>
            <w:tcW w:w="1447" w:type="dxa"/>
          </w:tcPr>
          <w:p w14:paraId="1C8517E8" w14:textId="77777777" w:rsidR="006B7BFE" w:rsidRPr="005E71E1" w:rsidRDefault="00A4031B" w:rsidP="002F4768">
            <w:pPr>
              <w:pStyle w:val="Default"/>
              <w:rPr>
                <w:rFonts w:ascii="Arial" w:hAnsi="Arial" w:cs="Arial"/>
                <w:spacing w:val="-4"/>
                <w:sz w:val="22"/>
                <w:szCs w:val="22"/>
              </w:rPr>
            </w:pPr>
            <w:r w:rsidRPr="005E71E1">
              <w:rPr>
                <w:rFonts w:ascii="Arial" w:hAnsi="Arial"/>
                <w:spacing w:val="-4"/>
                <w:sz w:val="22"/>
                <w:szCs w:val="22"/>
              </w:rPr>
              <w:t xml:space="preserve">3 630 000 </w:t>
            </w:r>
          </w:p>
        </w:tc>
        <w:tc>
          <w:tcPr>
            <w:tcW w:w="1417" w:type="dxa"/>
          </w:tcPr>
          <w:p w14:paraId="38F2E4E4" w14:textId="77777777" w:rsidR="006B7BFE" w:rsidRPr="005E71E1" w:rsidRDefault="006B7BFE" w:rsidP="002F4768">
            <w:pPr>
              <w:pStyle w:val="Default"/>
              <w:rPr>
                <w:rFonts w:ascii="Arial" w:hAnsi="Arial" w:cs="Arial"/>
                <w:spacing w:val="-4"/>
                <w:sz w:val="22"/>
                <w:szCs w:val="22"/>
              </w:rPr>
            </w:pPr>
            <w:r w:rsidRPr="005E71E1">
              <w:rPr>
                <w:rFonts w:ascii="Arial" w:hAnsi="Arial"/>
                <w:spacing w:val="-4"/>
                <w:sz w:val="22"/>
                <w:szCs w:val="22"/>
              </w:rPr>
              <w:t xml:space="preserve">5 650 000 </w:t>
            </w:r>
          </w:p>
        </w:tc>
        <w:tc>
          <w:tcPr>
            <w:tcW w:w="1559" w:type="dxa"/>
            <w:shd w:val="clear" w:color="auto" w:fill="BFBFBF" w:themeFill="background1" w:themeFillShade="BF"/>
          </w:tcPr>
          <w:p w14:paraId="5943CEDA" w14:textId="77777777" w:rsidR="006B7BFE" w:rsidRPr="005E71E1" w:rsidRDefault="002F4768" w:rsidP="002F4768">
            <w:pPr>
              <w:pStyle w:val="Default"/>
              <w:rPr>
                <w:rFonts w:ascii="Arial" w:hAnsi="Arial" w:cs="Arial"/>
                <w:spacing w:val="-4"/>
                <w:sz w:val="22"/>
                <w:szCs w:val="22"/>
              </w:rPr>
            </w:pPr>
            <w:r w:rsidRPr="005E71E1">
              <w:rPr>
                <w:rFonts w:ascii="Arial" w:hAnsi="Arial"/>
                <w:b/>
                <w:bCs/>
                <w:spacing w:val="-4"/>
                <w:sz w:val="22"/>
                <w:szCs w:val="22"/>
              </w:rPr>
              <w:t xml:space="preserve"> 9 280 000 </w:t>
            </w:r>
          </w:p>
        </w:tc>
      </w:tr>
    </w:tbl>
    <w:p w14:paraId="70DC6500" w14:textId="77777777" w:rsidR="00D43FA1" w:rsidRDefault="00D43FA1" w:rsidP="00557D18">
      <w:pPr>
        <w:pStyle w:val="Text"/>
        <w:spacing w:before="0" w:after="0"/>
        <w:jc w:val="left"/>
        <w:rPr>
          <w:rStyle w:val="CommentReference"/>
          <w:rFonts w:ascii="Times New Roman" w:eastAsia="Times New Roman" w:hAnsi="Times New Roman" w:cs="Times New Roman"/>
          <w:lang w:eastAsia="de-DE"/>
        </w:rPr>
      </w:pPr>
    </w:p>
    <w:p w14:paraId="09D77BBF" w14:textId="77777777" w:rsidR="00D43FA1" w:rsidRDefault="006B7BFE" w:rsidP="0086292F">
      <w:pPr>
        <w:pStyle w:val="Text"/>
        <w:keepNext/>
        <w:keepLines/>
        <w:spacing w:before="0" w:after="0"/>
        <w:jc w:val="left"/>
        <w:rPr>
          <w:rStyle w:val="CommentReference"/>
          <w:rFonts w:ascii="Times New Roman" w:eastAsia="Times New Roman" w:hAnsi="Times New Roman" w:cs="Times New Roman"/>
        </w:rPr>
      </w:pPr>
      <w:r>
        <w:t xml:space="preserve">Costuri anuale de asigurare a conformității </w:t>
      </w:r>
    </w:p>
    <w:p w14:paraId="5CB6CCB6" w14:textId="521BA6B6" w:rsidR="006B7BFE" w:rsidRPr="00D43FA1" w:rsidRDefault="006B7BFE" w:rsidP="0086292F">
      <w:pPr>
        <w:pStyle w:val="Text"/>
        <w:keepNext/>
        <w:keepLines/>
        <w:spacing w:before="0" w:after="0"/>
        <w:jc w:val="left"/>
      </w:pPr>
    </w:p>
    <w:p w14:paraId="318EDF1F" w14:textId="77777777" w:rsidR="00D43FA1" w:rsidRDefault="006B7BFE" w:rsidP="0086292F">
      <w:pPr>
        <w:pStyle w:val="Text"/>
        <w:keepNext/>
        <w:keepLines/>
        <w:spacing w:before="0" w:after="0"/>
        <w:rPr>
          <w:i/>
          <w:iCs/>
        </w:rPr>
      </w:pPr>
      <w:r>
        <w:rPr>
          <w:i/>
          <w:iCs/>
        </w:rPr>
        <w:t xml:space="preserve">Costurile anuale de asigurare a conformității includ costurile cu personalul și materialele pentru inspecția periodică și costurile suplimentare datorate soluției de ambalare care respectă regulamentul, în conformitate cu articolul 6a. Testarea periodică a soluțiilor pentru alimente și ambalaje include prelevarea de probe, analiza și evaluarea. </w:t>
      </w:r>
    </w:p>
    <w:p w14:paraId="61757831" w14:textId="2AB309E2" w:rsidR="006B7BFE" w:rsidRPr="00D43FA1" w:rsidRDefault="006B7BFE" w:rsidP="0086292F">
      <w:pPr>
        <w:pStyle w:val="Text"/>
        <w:keepNext/>
        <w:keepLines/>
        <w:spacing w:before="0" w:after="0"/>
        <w:rPr>
          <w:i/>
          <w:iCs/>
        </w:rPr>
      </w:pPr>
    </w:p>
    <w:p w14:paraId="3A014E51" w14:textId="43820923" w:rsidR="006B7BFE" w:rsidRPr="0086292F" w:rsidRDefault="006B7BFE" w:rsidP="00557D18">
      <w:pPr>
        <w:pStyle w:val="Text"/>
        <w:numPr>
          <w:ilvl w:val="0"/>
          <w:numId w:val="5"/>
        </w:numPr>
        <w:spacing w:before="0" w:after="0"/>
        <w:rPr>
          <w:color w:val="000000"/>
        </w:rPr>
      </w:pPr>
      <w:r>
        <w:t>Număr de cazuri (= produse afectate:</w:t>
      </w:r>
      <w:r>
        <w:rPr>
          <w:color w:val="000000"/>
        </w:rPr>
        <w:t xml:space="preserve"> Produsele alimentare, inclusiv produsele alimentare care vin în contact cu acestea) </w:t>
      </w:r>
    </w:p>
    <w:p w14:paraId="6EA56C3D" w14:textId="77777777" w:rsidR="00D43FA1" w:rsidRPr="00D43FA1" w:rsidRDefault="00D43FA1" w:rsidP="00D43FA1">
      <w:pPr>
        <w:pStyle w:val="Text"/>
        <w:spacing w:before="0" w:after="0"/>
        <w:ind w:left="360"/>
        <w:rPr>
          <w:u w:val="single"/>
        </w:rPr>
      </w:pPr>
    </w:p>
    <w:p w14:paraId="5F264B2C" w14:textId="77777777" w:rsidR="006B7BFE" w:rsidRPr="00D43FA1" w:rsidRDefault="006B7BFE" w:rsidP="009140F6">
      <w:pPr>
        <w:pStyle w:val="Text"/>
        <w:spacing w:before="0" w:after="0"/>
      </w:pPr>
      <w:r>
        <w:t xml:space="preserve">Numărul total de produse care fac obiectul regulamentului este calculat în funcție de numărul de cazuri pentru costul unic de conversie: 10 000 de produse sunt afectate, în principiu, iar ambalajul trebuie schimbat pentru 5 000 de produse. Conformitatea noilor ambalaje pentru aceste 5 000 de produse este verificată anual. Potrivit societăților chestionate, acest cost se aplică și pentru produsele care nu vor fi transformate. Se presupune că testul corespunde unei treimi din cheltuielile pentru produsele transformate. </w:t>
      </w:r>
    </w:p>
    <w:p w14:paraId="5B1EB757" w14:textId="77777777" w:rsidR="006B7BFE" w:rsidRPr="00D43FA1" w:rsidRDefault="006B7BFE" w:rsidP="009140F6">
      <w:pPr>
        <w:pStyle w:val="Text"/>
        <w:spacing w:before="0" w:after="0"/>
      </w:pPr>
    </w:p>
    <w:p w14:paraId="446C7513" w14:textId="77777777" w:rsidR="006B7BFE" w:rsidRPr="00D43FA1" w:rsidRDefault="006B7BFE" w:rsidP="0070360F">
      <w:pPr>
        <w:pStyle w:val="Text"/>
        <w:keepNext/>
        <w:keepLines/>
        <w:numPr>
          <w:ilvl w:val="0"/>
          <w:numId w:val="6"/>
        </w:numPr>
        <w:spacing w:before="0" w:after="0"/>
      </w:pPr>
      <w:r>
        <w:rPr>
          <w:i/>
          <w:iCs/>
        </w:rPr>
        <w:t>Costuri cu personalul</w:t>
      </w:r>
    </w:p>
    <w:p w14:paraId="0FD42608" w14:textId="77777777" w:rsidR="006B7BFE" w:rsidRPr="00D43FA1" w:rsidRDefault="006B7BFE" w:rsidP="0070360F">
      <w:pPr>
        <w:pStyle w:val="Text"/>
        <w:keepNext/>
        <w:keepLines/>
        <w:spacing w:before="0" w:after="0"/>
        <w:rPr>
          <w:i/>
          <w:iCs/>
          <w:u w:val="single"/>
        </w:rPr>
      </w:pPr>
    </w:p>
    <w:p w14:paraId="58C3C95C" w14:textId="77777777" w:rsidR="006B7BFE" w:rsidRPr="00D43FA1" w:rsidRDefault="00E71594" w:rsidP="009140F6">
      <w:pPr>
        <w:pStyle w:val="Text"/>
        <w:spacing w:before="0" w:after="0"/>
      </w:pPr>
      <w:r>
        <w:t xml:space="preserve">Costurile anuale de asigurare a conformității rezultă din costurile cu personalul pentru îndeplinirea sarcinilor legate de inspecția periodică a produselor alimentare și a produselor alimentare asociate (în general ambalarea) (pregătirea și urmărirea examenelor de laborator, majoritatea analizelor fiind efectuate în exterior). În fiecare caz, au fost solicitate costurile totale pentru toate produsele afectate ale unei societăți și aceste costuri totale au fost alocate numărului de produse ale societății care intră sub incidența regulamentului. </w:t>
      </w:r>
    </w:p>
    <w:p w14:paraId="6A10C10F" w14:textId="77777777" w:rsidR="006B7BFE" w:rsidRPr="005E71E1" w:rsidRDefault="006B7BFE" w:rsidP="009140F6">
      <w:pPr>
        <w:pStyle w:val="Text"/>
        <w:spacing w:before="0" w:after="0"/>
        <w:rPr>
          <w:spacing w:val="-4"/>
          <w:vertAlign w:val="superscript"/>
        </w:rPr>
      </w:pPr>
      <w:r w:rsidRPr="005E71E1">
        <w:rPr>
          <w:spacing w:val="-4"/>
        </w:rPr>
        <w:t>Pe baza interviurilor realizate, s-ar putea determina o cheltuială de timp anuală de aproximativ</w:t>
      </w:r>
      <w:r w:rsidRPr="005E71E1">
        <w:rPr>
          <w:b/>
          <w:bCs/>
          <w:spacing w:val="-4"/>
        </w:rPr>
        <w:t xml:space="preserve"> trei ore pentru fiecare produs</w:t>
      </w:r>
      <w:r w:rsidRPr="005E71E1">
        <w:rPr>
          <w:spacing w:val="-4"/>
        </w:rPr>
        <w:t xml:space="preserve"> pentru testarea produselor alimentare și a produselor alimentare asociate. În plus față de analiza pentru MOAH, aceasta include și lucrări pregătitoare, cum ar fi prelevarea de probe. Rata salarială este stabilită la 60,50 EUR/oră.</w:t>
      </w:r>
      <w:r w:rsidRPr="005E71E1">
        <w:rPr>
          <w:spacing w:val="-4"/>
          <w:vertAlign w:val="superscript"/>
        </w:rPr>
        <w:t>3</w:t>
      </w:r>
    </w:p>
    <w:p w14:paraId="1FCB5935" w14:textId="77777777" w:rsidR="006B7BFE" w:rsidRPr="00D43FA1" w:rsidRDefault="006B7BFE" w:rsidP="009140F6">
      <w:pPr>
        <w:pStyle w:val="Text"/>
        <w:spacing w:before="0" w:after="0"/>
        <w:rPr>
          <w:vertAlign w:val="superscript"/>
        </w:rPr>
      </w:pPr>
      <w:r>
        <w:t xml:space="preserve">Pe baza interviurilor, produsele care nu au fost transformate (50 % din numărul total, adică 5 000 de produse) sunt testate cu o frecvență mai redusă Cheltuielile anuale de timp sunt egale cu </w:t>
      </w:r>
      <w:r>
        <w:rPr>
          <w:b/>
          <w:bCs/>
        </w:rPr>
        <w:t>o oră pentru fiecare produs</w:t>
      </w:r>
      <w:r>
        <w:t>. Rata salarială este stabilită la 60,50 EUR/oră.</w:t>
      </w:r>
      <w:r>
        <w:rPr>
          <w:vertAlign w:val="superscript"/>
        </w:rPr>
        <w:t xml:space="preserve">3 </w:t>
      </w:r>
    </w:p>
    <w:p w14:paraId="572A0A4A" w14:textId="671EEE96" w:rsidR="006B7BFE" w:rsidRPr="00D43FA1" w:rsidRDefault="006B7BFE" w:rsidP="009140F6">
      <w:pPr>
        <w:pStyle w:val="Text"/>
        <w:spacing w:before="0" w:after="0"/>
      </w:pPr>
      <w:r>
        <w:t xml:space="preserve">Costurile anuale cu personalul sunt după cum urmează: 3 ore de testare x 60,50 EUR rata salariului x 5 000 de produse + 1 oră testare x 60,50 EUR rata salariului x 5 000 produse = 1 210 000 EUR. </w:t>
      </w:r>
    </w:p>
    <w:p w14:paraId="471B7111" w14:textId="385C935E" w:rsidR="003923C4" w:rsidRPr="00D43FA1" w:rsidRDefault="003923C4" w:rsidP="009140F6">
      <w:pPr>
        <w:pStyle w:val="Text"/>
        <w:spacing w:before="0" w:after="0"/>
      </w:pPr>
    </w:p>
    <w:p w14:paraId="02CD70EC" w14:textId="77777777" w:rsidR="006B7BFE" w:rsidRPr="00D43FA1" w:rsidRDefault="006B7BFE" w:rsidP="0070360F">
      <w:pPr>
        <w:pStyle w:val="Text"/>
        <w:keepNext/>
        <w:keepLines/>
        <w:numPr>
          <w:ilvl w:val="0"/>
          <w:numId w:val="6"/>
        </w:numPr>
        <w:spacing w:before="0" w:after="0"/>
      </w:pPr>
      <w:r>
        <w:rPr>
          <w:i/>
          <w:iCs/>
        </w:rPr>
        <w:t xml:space="preserve">Costuri cu materialele </w:t>
      </w:r>
    </w:p>
    <w:p w14:paraId="1E71B5C0" w14:textId="77777777" w:rsidR="006B7BFE" w:rsidRPr="00D43FA1" w:rsidRDefault="006B7BFE" w:rsidP="0070360F">
      <w:pPr>
        <w:pStyle w:val="Text"/>
        <w:keepNext/>
        <w:keepLines/>
        <w:spacing w:before="0" w:after="0"/>
        <w:rPr>
          <w:i/>
          <w:iCs/>
          <w:u w:val="single"/>
        </w:rPr>
      </w:pPr>
    </w:p>
    <w:p w14:paraId="0B563A15" w14:textId="77777777" w:rsidR="006B7BFE" w:rsidRPr="00D43FA1" w:rsidRDefault="006B7BFE" w:rsidP="009140F6">
      <w:pPr>
        <w:pStyle w:val="Text"/>
        <w:spacing w:before="0" w:after="0"/>
      </w:pPr>
      <w:r>
        <w:t xml:space="preserve">Costurile cu materialele constau în costurile pentru inspecția periodică a produselor alimentare și a produselor alimentare asociate (de obicei ambalarea) și a costurilor suplimentare pentru ambalajele care urmează să fie transformate. Costurile sunt generate de punerea în funcțiune a laboratoarelor externe pentru examinări. Puține societăți efectuează analizele complet. Costurile pentru toate produsele în cauză ale unei societăți au fost evaluate, iar acest cost total a fost alocat numărului de produse care intră în domeniul de aplicare al regulamentului. </w:t>
      </w:r>
    </w:p>
    <w:p w14:paraId="05FEEC02" w14:textId="77777777" w:rsidR="006B7BFE" w:rsidRPr="00D43FA1" w:rsidRDefault="006B7BFE" w:rsidP="009140F6">
      <w:pPr>
        <w:pStyle w:val="Text"/>
        <w:spacing w:before="0" w:after="0"/>
      </w:pPr>
      <w:r>
        <w:lastRenderedPageBreak/>
        <w:t xml:space="preserve">Pe baza interviurilor realizate, s-a putut stabili că costurile testării produselor alimentare și a produselor alimentare asociate vor fi de aproximativ </w:t>
      </w:r>
      <w:r>
        <w:rPr>
          <w:b/>
          <w:bCs/>
        </w:rPr>
        <w:t>290 EUR pentru fiecare produs</w:t>
      </w:r>
      <w:r>
        <w:t xml:space="preserve"> pe an. Aceste costuri cu materialele sunt suportate pentru 5 000 de produse. Pentru examinarea cu o frecvență mai redusă a produselor alimentare care nu trebuie transformate, s-au calculat aproximativ </w:t>
      </w:r>
      <w:r>
        <w:rPr>
          <w:b/>
          <w:bCs/>
        </w:rPr>
        <w:t>100 EUR pentru fiecare produs</w:t>
      </w:r>
      <w:r>
        <w:t xml:space="preserve">, care se suportă pentru 5 000 de produse. </w:t>
      </w:r>
    </w:p>
    <w:p w14:paraId="1FB0BAEE" w14:textId="77777777" w:rsidR="006B7BFE" w:rsidRPr="00D43FA1" w:rsidRDefault="006B7BFE" w:rsidP="009140F6">
      <w:pPr>
        <w:pStyle w:val="Text"/>
        <w:spacing w:before="0" w:after="0"/>
      </w:pPr>
      <w:r>
        <w:t xml:space="preserve">Costurile suplimentare pentru materialele de ambalare pentru cele 5 000 de produse care urmează să fie transformate se ridică la aproximativ </w:t>
      </w:r>
      <w:r>
        <w:rPr>
          <w:b/>
          <w:bCs/>
        </w:rPr>
        <w:t>1 000 EUR pentru fiecare produs</w:t>
      </w:r>
      <w:r>
        <w:t xml:space="preserve">. </w:t>
      </w:r>
    </w:p>
    <w:p w14:paraId="5A000AC2" w14:textId="77777777" w:rsidR="006B7BFE" w:rsidRPr="00D43FA1" w:rsidRDefault="006B7BFE" w:rsidP="009140F6">
      <w:pPr>
        <w:pStyle w:val="Text"/>
        <w:spacing w:before="0" w:after="0"/>
      </w:pPr>
      <w:r>
        <w:t xml:space="preserve">Costurile anuale cu materialele sunt după cum urmează: 290 EUR costuri de testare x 5 000 de produse + 100 EUR costuri testare x 5 000 de produse + 1 000 EUR costuri cu materialele x 5 000 produse = 6 950 000 EUR. </w:t>
      </w:r>
    </w:p>
    <w:p w14:paraId="4EA9AD8F" w14:textId="77777777" w:rsidR="006B7BFE" w:rsidRPr="00D43FA1" w:rsidRDefault="006B7BFE" w:rsidP="009140F6">
      <w:pPr>
        <w:pStyle w:val="Text"/>
        <w:spacing w:before="0" w:after="0"/>
      </w:pPr>
    </w:p>
    <w:p w14:paraId="5E74352B" w14:textId="77777777" w:rsidR="006B7BFE" w:rsidRPr="00D43FA1" w:rsidRDefault="006B7BFE" w:rsidP="0070360F">
      <w:pPr>
        <w:pStyle w:val="Text"/>
        <w:keepNext/>
        <w:keepLines/>
        <w:spacing w:before="0" w:after="0"/>
        <w:rPr>
          <w:u w:val="single"/>
        </w:rPr>
      </w:pPr>
      <w:r>
        <w:rPr>
          <w:b/>
          <w:bCs/>
        </w:rPr>
        <w:t xml:space="preserve">Tabelul 3: Prezentare generală a costurilor actuale de asigurare a conformității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294"/>
        <w:gridCol w:w="1276"/>
        <w:gridCol w:w="1275"/>
        <w:gridCol w:w="1447"/>
        <w:gridCol w:w="1417"/>
        <w:gridCol w:w="1559"/>
      </w:tblGrid>
      <w:tr w:rsidR="006B7BFE" w:rsidRPr="005E71E1" w14:paraId="1A7C22AA" w14:textId="77777777" w:rsidTr="005E71E1">
        <w:tc>
          <w:tcPr>
            <w:tcW w:w="2660" w:type="dxa"/>
            <w:gridSpan w:val="2"/>
          </w:tcPr>
          <w:p w14:paraId="4EBDEFBC" w14:textId="603EE879" w:rsidR="006B7BFE" w:rsidRPr="005E71E1" w:rsidRDefault="006B7BFE" w:rsidP="0070360F">
            <w:pPr>
              <w:pStyle w:val="Default"/>
              <w:keepNext/>
              <w:keepLines/>
              <w:rPr>
                <w:rFonts w:ascii="Arial" w:hAnsi="Arial" w:cs="Arial"/>
                <w:b/>
                <w:spacing w:val="-4"/>
                <w:sz w:val="22"/>
                <w:szCs w:val="22"/>
              </w:rPr>
            </w:pPr>
            <w:r w:rsidRPr="005E71E1">
              <w:rPr>
                <w:rFonts w:ascii="Arial" w:hAnsi="Arial"/>
                <w:b/>
                <w:iCs/>
                <w:spacing w:val="-4"/>
                <w:sz w:val="22"/>
                <w:szCs w:val="22"/>
              </w:rPr>
              <w:t xml:space="preserve">Cerințe/obligația de informare (IP) </w:t>
            </w:r>
          </w:p>
          <w:p w14:paraId="67A2E6B2" w14:textId="77777777" w:rsidR="006B7BFE" w:rsidRPr="005E71E1" w:rsidRDefault="006B7BFE" w:rsidP="0070360F">
            <w:pPr>
              <w:pStyle w:val="Default"/>
              <w:keepNext/>
              <w:keepLines/>
              <w:rPr>
                <w:rFonts w:ascii="Arial" w:hAnsi="Arial" w:cs="Arial"/>
                <w:b/>
                <w:spacing w:val="-4"/>
                <w:sz w:val="22"/>
                <w:szCs w:val="22"/>
              </w:rPr>
            </w:pPr>
          </w:p>
        </w:tc>
        <w:tc>
          <w:tcPr>
            <w:tcW w:w="1276" w:type="dxa"/>
          </w:tcPr>
          <w:p w14:paraId="06CC8623" w14:textId="2AD90995" w:rsidR="006B7BFE" w:rsidRPr="005E71E1" w:rsidRDefault="006B7BFE" w:rsidP="0070360F">
            <w:pPr>
              <w:pStyle w:val="Default"/>
              <w:keepNext/>
              <w:keepLines/>
              <w:rPr>
                <w:rFonts w:ascii="Arial" w:hAnsi="Arial" w:cs="Arial"/>
                <w:b/>
                <w:spacing w:val="-4"/>
                <w:sz w:val="22"/>
                <w:szCs w:val="22"/>
              </w:rPr>
            </w:pPr>
            <w:r w:rsidRPr="005E71E1">
              <w:rPr>
                <w:rFonts w:ascii="Arial" w:hAnsi="Arial"/>
                <w:b/>
                <w:iCs/>
                <w:spacing w:val="-4"/>
                <w:sz w:val="22"/>
                <w:szCs w:val="22"/>
              </w:rPr>
              <w:t xml:space="preserve">Timp necesar anual în ore </w:t>
            </w:r>
          </w:p>
        </w:tc>
        <w:tc>
          <w:tcPr>
            <w:tcW w:w="1275" w:type="dxa"/>
          </w:tcPr>
          <w:p w14:paraId="6C38D040" w14:textId="63516781" w:rsidR="006B7BFE" w:rsidRPr="005E71E1" w:rsidRDefault="006B7BFE" w:rsidP="0070360F">
            <w:pPr>
              <w:pStyle w:val="Default"/>
              <w:keepNext/>
              <w:keepLines/>
              <w:rPr>
                <w:rFonts w:ascii="Arial" w:hAnsi="Arial" w:cs="Arial"/>
                <w:b/>
                <w:spacing w:val="-4"/>
                <w:sz w:val="22"/>
                <w:szCs w:val="22"/>
              </w:rPr>
            </w:pPr>
            <w:r w:rsidRPr="005E71E1">
              <w:rPr>
                <w:rFonts w:ascii="Arial" w:hAnsi="Arial"/>
                <w:b/>
                <w:iCs/>
                <w:spacing w:val="-4"/>
                <w:sz w:val="22"/>
                <w:szCs w:val="22"/>
              </w:rPr>
              <w:t xml:space="preserve">Rata salariului în EUR/oră </w:t>
            </w:r>
          </w:p>
        </w:tc>
        <w:tc>
          <w:tcPr>
            <w:tcW w:w="1447" w:type="dxa"/>
          </w:tcPr>
          <w:p w14:paraId="759A246A" w14:textId="299BA053" w:rsidR="006B7BFE" w:rsidRPr="005E71E1" w:rsidRDefault="006B7BFE" w:rsidP="0070360F">
            <w:pPr>
              <w:pStyle w:val="Default"/>
              <w:keepNext/>
              <w:keepLines/>
              <w:rPr>
                <w:rFonts w:ascii="Arial" w:hAnsi="Arial" w:cs="Arial"/>
                <w:b/>
                <w:spacing w:val="-4"/>
                <w:sz w:val="22"/>
                <w:szCs w:val="22"/>
              </w:rPr>
            </w:pPr>
            <w:r w:rsidRPr="005E71E1">
              <w:rPr>
                <w:rFonts w:ascii="Arial" w:hAnsi="Arial"/>
                <w:b/>
                <w:iCs/>
                <w:spacing w:val="-4"/>
                <w:sz w:val="22"/>
                <w:szCs w:val="22"/>
              </w:rPr>
              <w:t xml:space="preserve">Costuri anuale cu personalul, exprimate în EUR </w:t>
            </w:r>
          </w:p>
        </w:tc>
        <w:tc>
          <w:tcPr>
            <w:tcW w:w="1417" w:type="dxa"/>
          </w:tcPr>
          <w:p w14:paraId="3BAD02CC" w14:textId="52624B6B" w:rsidR="006B7BFE" w:rsidRPr="005E71E1" w:rsidRDefault="006B7BFE" w:rsidP="0070360F">
            <w:pPr>
              <w:pStyle w:val="Default"/>
              <w:keepNext/>
              <w:keepLines/>
              <w:rPr>
                <w:rFonts w:ascii="Arial" w:hAnsi="Arial" w:cs="Arial"/>
                <w:b/>
                <w:spacing w:val="-4"/>
                <w:sz w:val="22"/>
                <w:szCs w:val="22"/>
              </w:rPr>
            </w:pPr>
            <w:r w:rsidRPr="005E71E1">
              <w:rPr>
                <w:rFonts w:ascii="Arial" w:hAnsi="Arial"/>
                <w:b/>
                <w:iCs/>
                <w:spacing w:val="-4"/>
                <w:sz w:val="22"/>
                <w:szCs w:val="22"/>
              </w:rPr>
              <w:t xml:space="preserve">Costuri anuale cu materialele, exprimate în EUR </w:t>
            </w:r>
          </w:p>
        </w:tc>
        <w:tc>
          <w:tcPr>
            <w:tcW w:w="1559" w:type="dxa"/>
          </w:tcPr>
          <w:p w14:paraId="7EA852C4" w14:textId="1FF43BB6" w:rsidR="006B7BFE" w:rsidRPr="005E71E1" w:rsidRDefault="006B7BFE" w:rsidP="0070360F">
            <w:pPr>
              <w:pStyle w:val="Default"/>
              <w:keepNext/>
              <w:keepLines/>
              <w:rPr>
                <w:rFonts w:ascii="Arial" w:hAnsi="Arial" w:cs="Arial"/>
                <w:b/>
                <w:spacing w:val="-4"/>
                <w:sz w:val="22"/>
                <w:szCs w:val="22"/>
              </w:rPr>
            </w:pPr>
            <w:r w:rsidRPr="005E71E1">
              <w:rPr>
                <w:rFonts w:ascii="Arial" w:hAnsi="Arial"/>
                <w:b/>
                <w:bCs/>
                <w:iCs/>
                <w:spacing w:val="-4"/>
                <w:sz w:val="22"/>
                <w:szCs w:val="22"/>
              </w:rPr>
              <w:t xml:space="preserve">Costuri anuale de asigurare a conformității, exprimate în EUR </w:t>
            </w:r>
          </w:p>
        </w:tc>
      </w:tr>
      <w:tr w:rsidR="006B7BFE" w:rsidRPr="005E71E1" w14:paraId="17404952" w14:textId="77777777" w:rsidTr="005E71E1">
        <w:tc>
          <w:tcPr>
            <w:tcW w:w="1366" w:type="dxa"/>
          </w:tcPr>
          <w:p w14:paraId="274A982B" w14:textId="77777777" w:rsidR="006B7BFE" w:rsidRPr="005E71E1" w:rsidRDefault="006B7BFE" w:rsidP="006B7BFE">
            <w:pPr>
              <w:pStyle w:val="Default"/>
              <w:rPr>
                <w:rFonts w:ascii="Arial" w:hAnsi="Arial" w:cs="Arial"/>
                <w:spacing w:val="-4"/>
                <w:sz w:val="22"/>
                <w:szCs w:val="22"/>
              </w:rPr>
            </w:pPr>
            <w:r w:rsidRPr="005E71E1">
              <w:rPr>
                <w:rFonts w:ascii="Arial" w:hAnsi="Arial"/>
                <w:spacing w:val="-4"/>
                <w:sz w:val="22"/>
                <w:szCs w:val="22"/>
              </w:rPr>
              <w:t xml:space="preserve">Barieră funcțională </w:t>
            </w:r>
          </w:p>
        </w:tc>
        <w:tc>
          <w:tcPr>
            <w:tcW w:w="1294" w:type="dxa"/>
          </w:tcPr>
          <w:p w14:paraId="73BC7D3D" w14:textId="77777777" w:rsidR="006B7BFE" w:rsidRPr="005E71E1" w:rsidRDefault="006B7BFE" w:rsidP="000F1682">
            <w:pPr>
              <w:pStyle w:val="Default"/>
              <w:rPr>
                <w:rFonts w:ascii="Arial" w:hAnsi="Arial" w:cs="Arial"/>
                <w:spacing w:val="-4"/>
                <w:sz w:val="22"/>
                <w:szCs w:val="22"/>
              </w:rPr>
            </w:pPr>
            <w:r w:rsidRPr="005E71E1">
              <w:rPr>
                <w:rFonts w:ascii="Arial" w:hAnsi="Arial"/>
                <w:spacing w:val="-4"/>
                <w:sz w:val="22"/>
                <w:szCs w:val="22"/>
              </w:rPr>
              <w:t xml:space="preserve">Articolul 6a alineatele (1) și (4) </w:t>
            </w:r>
          </w:p>
        </w:tc>
        <w:tc>
          <w:tcPr>
            <w:tcW w:w="1276" w:type="dxa"/>
          </w:tcPr>
          <w:p w14:paraId="211D8246" w14:textId="77777777" w:rsidR="006B7BFE" w:rsidRPr="005E71E1" w:rsidRDefault="006B7BFE" w:rsidP="002F4768">
            <w:pPr>
              <w:pStyle w:val="Default"/>
              <w:rPr>
                <w:rFonts w:ascii="Arial" w:hAnsi="Arial" w:cs="Arial"/>
                <w:spacing w:val="-4"/>
                <w:sz w:val="22"/>
                <w:szCs w:val="22"/>
              </w:rPr>
            </w:pPr>
            <w:r w:rsidRPr="005E71E1">
              <w:rPr>
                <w:rFonts w:ascii="Arial" w:hAnsi="Arial"/>
                <w:spacing w:val="-4"/>
                <w:sz w:val="22"/>
                <w:szCs w:val="22"/>
              </w:rPr>
              <w:t xml:space="preserve">20 000 </w:t>
            </w:r>
          </w:p>
        </w:tc>
        <w:tc>
          <w:tcPr>
            <w:tcW w:w="1275" w:type="dxa"/>
          </w:tcPr>
          <w:p w14:paraId="041B8DAD" w14:textId="77777777" w:rsidR="006B7BFE" w:rsidRPr="005E71E1" w:rsidRDefault="00A4031B" w:rsidP="006B7BFE">
            <w:pPr>
              <w:pStyle w:val="Default"/>
              <w:rPr>
                <w:rFonts w:ascii="Arial" w:hAnsi="Arial" w:cs="Arial"/>
                <w:spacing w:val="-4"/>
                <w:sz w:val="22"/>
                <w:szCs w:val="22"/>
              </w:rPr>
            </w:pPr>
            <w:r w:rsidRPr="005E71E1">
              <w:rPr>
                <w:rFonts w:ascii="Arial" w:hAnsi="Arial"/>
                <w:spacing w:val="-4"/>
                <w:sz w:val="22"/>
                <w:szCs w:val="22"/>
              </w:rPr>
              <w:t>60,50</w:t>
            </w:r>
          </w:p>
        </w:tc>
        <w:tc>
          <w:tcPr>
            <w:tcW w:w="1447" w:type="dxa"/>
          </w:tcPr>
          <w:p w14:paraId="3016DBF2" w14:textId="77777777" w:rsidR="006B7BFE" w:rsidRPr="005E71E1" w:rsidRDefault="00A4031B" w:rsidP="002F4768">
            <w:pPr>
              <w:pStyle w:val="Default"/>
              <w:rPr>
                <w:rFonts w:ascii="Arial" w:hAnsi="Arial" w:cs="Arial"/>
                <w:spacing w:val="-4"/>
                <w:sz w:val="22"/>
                <w:szCs w:val="22"/>
              </w:rPr>
            </w:pPr>
            <w:r w:rsidRPr="005E71E1">
              <w:rPr>
                <w:rFonts w:ascii="Arial" w:hAnsi="Arial"/>
                <w:spacing w:val="-4"/>
                <w:sz w:val="22"/>
                <w:szCs w:val="22"/>
              </w:rPr>
              <w:t xml:space="preserve">1 210 000 </w:t>
            </w:r>
          </w:p>
        </w:tc>
        <w:tc>
          <w:tcPr>
            <w:tcW w:w="1417" w:type="dxa"/>
          </w:tcPr>
          <w:p w14:paraId="7800B24B" w14:textId="77777777" w:rsidR="006B7BFE" w:rsidRPr="005E71E1" w:rsidRDefault="006B7BFE" w:rsidP="002F4768">
            <w:pPr>
              <w:pStyle w:val="Default"/>
              <w:rPr>
                <w:rFonts w:ascii="Arial" w:hAnsi="Arial" w:cs="Arial"/>
                <w:spacing w:val="-4"/>
                <w:sz w:val="22"/>
                <w:szCs w:val="22"/>
              </w:rPr>
            </w:pPr>
            <w:r w:rsidRPr="005E71E1">
              <w:rPr>
                <w:rFonts w:ascii="Arial" w:hAnsi="Arial"/>
                <w:spacing w:val="-4"/>
                <w:sz w:val="22"/>
                <w:szCs w:val="22"/>
              </w:rPr>
              <w:t xml:space="preserve">6 950 000 </w:t>
            </w:r>
          </w:p>
        </w:tc>
        <w:tc>
          <w:tcPr>
            <w:tcW w:w="1559" w:type="dxa"/>
            <w:shd w:val="clear" w:color="auto" w:fill="BFBFBF" w:themeFill="background1" w:themeFillShade="BF"/>
          </w:tcPr>
          <w:p w14:paraId="4DC4F037" w14:textId="77777777" w:rsidR="006B7BFE" w:rsidRPr="005E71E1" w:rsidRDefault="002F4768" w:rsidP="002F4768">
            <w:pPr>
              <w:pStyle w:val="Default"/>
              <w:rPr>
                <w:rFonts w:ascii="Arial" w:hAnsi="Arial" w:cs="Arial"/>
                <w:spacing w:val="-4"/>
                <w:sz w:val="22"/>
                <w:szCs w:val="22"/>
              </w:rPr>
            </w:pPr>
            <w:r w:rsidRPr="005E71E1">
              <w:rPr>
                <w:rFonts w:ascii="Arial" w:hAnsi="Arial"/>
                <w:b/>
                <w:bCs/>
                <w:spacing w:val="-4"/>
                <w:sz w:val="22"/>
                <w:szCs w:val="22"/>
              </w:rPr>
              <w:t xml:space="preserve"> 8 160 000 </w:t>
            </w:r>
          </w:p>
        </w:tc>
      </w:tr>
    </w:tbl>
    <w:p w14:paraId="18499261" w14:textId="77777777" w:rsidR="006B7BFE" w:rsidRPr="00D43FA1" w:rsidRDefault="006B7BFE" w:rsidP="009140F6">
      <w:pPr>
        <w:pStyle w:val="Text"/>
        <w:spacing w:before="0" w:after="0"/>
      </w:pPr>
    </w:p>
    <w:p w14:paraId="59814092" w14:textId="77777777" w:rsidR="006B7BFE" w:rsidRPr="00D43FA1" w:rsidRDefault="006B7BFE" w:rsidP="0070360F">
      <w:pPr>
        <w:pStyle w:val="Text"/>
        <w:keepNext/>
        <w:keepLines/>
        <w:spacing w:before="0" w:after="0"/>
        <w:rPr>
          <w:b/>
          <w:bCs/>
          <w:u w:val="single"/>
        </w:rPr>
      </w:pPr>
      <w:r>
        <w:rPr>
          <w:b/>
          <w:bCs/>
          <w:u w:val="single"/>
        </w:rPr>
        <w:t xml:space="preserve">Declarația scrisă sau electronică privind renunțarea la o barieră funcțională în conformitate cu articolul 6a alineatul (3) </w:t>
      </w:r>
    </w:p>
    <w:p w14:paraId="4E96F6C2" w14:textId="77777777" w:rsidR="006B7BFE" w:rsidRPr="00D43FA1" w:rsidRDefault="006B7BFE" w:rsidP="0070360F">
      <w:pPr>
        <w:pStyle w:val="Text"/>
        <w:keepNext/>
        <w:keepLines/>
        <w:spacing w:before="0" w:after="0"/>
        <w:rPr>
          <w:b/>
          <w:bCs/>
          <w:u w:val="single"/>
        </w:rPr>
      </w:pPr>
    </w:p>
    <w:p w14:paraId="10854287" w14:textId="77777777" w:rsidR="006B7BFE" w:rsidRPr="00D43FA1" w:rsidRDefault="006B7BFE" w:rsidP="009140F6">
      <w:pPr>
        <w:pStyle w:val="Text"/>
        <w:spacing w:before="0" w:after="0"/>
      </w:pPr>
      <w:r>
        <w:t xml:space="preserve">(a) Cost unic de conversie </w:t>
      </w:r>
    </w:p>
    <w:p w14:paraId="6355E48C" w14:textId="77777777" w:rsidR="006B7BFE" w:rsidRPr="00D43FA1" w:rsidRDefault="006B7BFE" w:rsidP="009140F6">
      <w:pPr>
        <w:pStyle w:val="Text"/>
        <w:spacing w:before="0" w:after="0"/>
      </w:pPr>
    </w:p>
    <w:p w14:paraId="712DAED7" w14:textId="77777777" w:rsidR="006B7BFE" w:rsidRPr="00D43FA1" w:rsidRDefault="006B7BFE" w:rsidP="009140F6">
      <w:pPr>
        <w:pStyle w:val="Text"/>
        <w:spacing w:before="0" w:after="0"/>
      </w:pPr>
      <w:r>
        <w:t xml:space="preserve">Nu există costuri unice de conversie. </w:t>
      </w:r>
    </w:p>
    <w:p w14:paraId="00996219" w14:textId="77777777" w:rsidR="006B7BFE" w:rsidRPr="00D43FA1" w:rsidRDefault="006B7BFE" w:rsidP="009140F6">
      <w:pPr>
        <w:pStyle w:val="Text"/>
        <w:spacing w:before="0" w:after="0"/>
      </w:pPr>
    </w:p>
    <w:p w14:paraId="17551374" w14:textId="77777777" w:rsidR="006B7BFE" w:rsidRPr="00D43FA1" w:rsidRDefault="006B7BFE" w:rsidP="0070360F">
      <w:pPr>
        <w:pStyle w:val="Text"/>
        <w:keepNext/>
        <w:keepLines/>
        <w:spacing w:before="0" w:after="0"/>
      </w:pPr>
      <w:r>
        <w:t xml:space="preserve">Costuri anuale de asigurare a conformității </w:t>
      </w:r>
    </w:p>
    <w:p w14:paraId="35D80FBA" w14:textId="77777777" w:rsidR="006B7BFE" w:rsidRPr="00D43FA1" w:rsidRDefault="006B7BFE" w:rsidP="0070360F">
      <w:pPr>
        <w:pStyle w:val="Text"/>
        <w:keepNext/>
        <w:keepLines/>
        <w:spacing w:before="0" w:after="0"/>
      </w:pPr>
    </w:p>
    <w:p w14:paraId="3CE01598" w14:textId="77777777" w:rsidR="006B7BFE" w:rsidRPr="00D43FA1" w:rsidRDefault="006B7BFE" w:rsidP="009140F6">
      <w:pPr>
        <w:pStyle w:val="Text"/>
        <w:spacing w:before="0" w:after="0"/>
      </w:pPr>
      <w:r>
        <w:t xml:space="preserve">Informațiile suplimentare necesare, și anume conținutul unei derogări, sunt deja discutate între producătorii de ambalaje și producătorii de produse alimentare în cadrul acordurilor privind materialele de ambalare. Costurile suplimentare de asigurare a conformității care apar sunt nesemnificative. </w:t>
      </w:r>
    </w:p>
    <w:p w14:paraId="7BA9413B" w14:textId="77777777" w:rsidR="006B7BFE" w:rsidRPr="00D43FA1" w:rsidRDefault="006B7BFE" w:rsidP="009140F6">
      <w:pPr>
        <w:pStyle w:val="Text"/>
        <w:spacing w:before="0" w:after="0"/>
      </w:pPr>
    </w:p>
    <w:p w14:paraId="27386C8C" w14:textId="77777777" w:rsidR="006B7BFE" w:rsidRPr="00D43FA1" w:rsidRDefault="006B7BFE" w:rsidP="0070360F">
      <w:pPr>
        <w:pStyle w:val="Text"/>
        <w:keepNext/>
        <w:keepLines/>
        <w:spacing w:before="0" w:after="0"/>
        <w:rPr>
          <w:b/>
          <w:bCs/>
          <w:u w:val="single"/>
        </w:rPr>
      </w:pPr>
      <w:r>
        <w:rPr>
          <w:b/>
          <w:bCs/>
          <w:u w:val="single"/>
        </w:rPr>
        <w:t>Obligația de a dovedi excluderea transferului de MOAH în conformitate cu articolul 6a alineatele (1), (2) și (4)</w:t>
      </w:r>
    </w:p>
    <w:p w14:paraId="3AA8F0EE" w14:textId="77777777" w:rsidR="006B7BFE" w:rsidRPr="00D43FA1" w:rsidRDefault="006B7BFE" w:rsidP="0070360F">
      <w:pPr>
        <w:pStyle w:val="Text"/>
        <w:keepNext/>
        <w:keepLines/>
        <w:spacing w:before="0" w:after="0"/>
        <w:rPr>
          <w:b/>
          <w:bCs/>
          <w:u w:val="single"/>
        </w:rPr>
      </w:pPr>
    </w:p>
    <w:p w14:paraId="7E2FAB88" w14:textId="77777777" w:rsidR="006B7BFE" w:rsidRPr="00D43FA1" w:rsidRDefault="006B7BFE" w:rsidP="009140F6">
      <w:pPr>
        <w:pStyle w:val="Text"/>
        <w:spacing w:before="0" w:after="0"/>
      </w:pPr>
      <w:r>
        <w:t xml:space="preserve">(a) Cost unic de conversie </w:t>
      </w:r>
    </w:p>
    <w:p w14:paraId="05D46EC8" w14:textId="77777777" w:rsidR="006B7BFE" w:rsidRPr="00D43FA1" w:rsidRDefault="006B7BFE" w:rsidP="009140F6">
      <w:pPr>
        <w:pStyle w:val="Text"/>
        <w:spacing w:before="0" w:after="0"/>
      </w:pPr>
    </w:p>
    <w:p w14:paraId="41AA9133" w14:textId="77777777" w:rsidR="006B7BFE" w:rsidRPr="00D43FA1" w:rsidRDefault="006B7BFE" w:rsidP="009140F6">
      <w:pPr>
        <w:pStyle w:val="Text"/>
        <w:spacing w:before="0" w:after="0"/>
      </w:pPr>
      <w:r>
        <w:t xml:space="preserve">Nu există costuri unice de conversie. </w:t>
      </w:r>
    </w:p>
    <w:p w14:paraId="47912140" w14:textId="77777777" w:rsidR="006B7BFE" w:rsidRPr="00D43FA1" w:rsidRDefault="006B7BFE" w:rsidP="009140F6">
      <w:pPr>
        <w:pStyle w:val="Text"/>
        <w:spacing w:before="0" w:after="0"/>
      </w:pPr>
    </w:p>
    <w:p w14:paraId="25B57848" w14:textId="77777777" w:rsidR="006B7BFE" w:rsidRPr="00D43FA1" w:rsidRDefault="006B7BFE" w:rsidP="0070360F">
      <w:pPr>
        <w:pStyle w:val="Text"/>
        <w:keepNext/>
        <w:keepLines/>
        <w:spacing w:before="0" w:after="0"/>
      </w:pPr>
      <w:r>
        <w:t xml:space="preserve">Costuri anuale de asigurare a conformității </w:t>
      </w:r>
    </w:p>
    <w:p w14:paraId="3DD42870" w14:textId="77777777" w:rsidR="006B7BFE" w:rsidRPr="00D43FA1" w:rsidRDefault="006B7BFE" w:rsidP="0070360F">
      <w:pPr>
        <w:pStyle w:val="Text"/>
        <w:keepNext/>
        <w:keepLines/>
        <w:spacing w:before="0" w:after="0"/>
      </w:pPr>
    </w:p>
    <w:p w14:paraId="0F203911" w14:textId="77777777" w:rsidR="00013F7F" w:rsidRPr="00D43FA1" w:rsidRDefault="006B7BFE" w:rsidP="00557D18">
      <w:pPr>
        <w:pStyle w:val="Text"/>
        <w:spacing w:before="0" w:after="0"/>
      </w:pPr>
      <w:r>
        <w:t>În Regulamentul (CE) nr. 2023/2006 al Comisiei din 22 decembrie 2006 privind buna practică de fabricație a materialelor și a obiectelor destinate să vină în contact cu produsele alimentare (OJ L 384, 29.12.2006, p. 75), s-a stabilit obligația generală de elaborare a unei documentații pentru materialele destinate să vină în contact cu produsele alimentare. În plus, examinarea inițială și testarea periodică a produselor alimentare și a ambalajelor produselor alimentare prezintă deja documente care pot servi drept dovadă. Costurile suplimentare de asigurare a conformității care apar sunt nesemnificative.</w:t>
      </w:r>
    </w:p>
    <w:p w14:paraId="6239F5A0" w14:textId="77777777" w:rsidR="00013F7F" w:rsidRPr="00D43FA1" w:rsidRDefault="00013F7F" w:rsidP="00013F7F">
      <w:pPr>
        <w:pStyle w:val="Text"/>
        <w:spacing w:before="0" w:after="0"/>
        <w:jc w:val="left"/>
      </w:pPr>
    </w:p>
    <w:p w14:paraId="24214F93" w14:textId="3181681B" w:rsidR="00425BF3" w:rsidRPr="00D43FA1" w:rsidRDefault="00425BF3" w:rsidP="005E71E1">
      <w:pPr>
        <w:pStyle w:val="Text"/>
        <w:keepLines/>
        <w:spacing w:before="0" w:after="0"/>
      </w:pPr>
      <w:r>
        <w:lastRenderedPageBreak/>
        <w:t>Dispozițiile regulamentului se aplică în mod egal întreprinderilor mici și mijlocii (IMM-uri). Nu este posibilă acordarea unor derogări speciale pentru IMM-uri din motive de protecție a sănătății consumatorilor. Cu toate acestea, regulamentul prevede, în general, derogări pentru utilizarea unei bariere funcționale, sub rezerva îndeplinirii condițiilor necesare.</w:t>
      </w:r>
    </w:p>
    <w:p w14:paraId="4C839333" w14:textId="77777777" w:rsidR="00325F70" w:rsidRPr="00D43FA1" w:rsidRDefault="00325F70" w:rsidP="00013F7F">
      <w:pPr>
        <w:pStyle w:val="Text"/>
        <w:spacing w:before="0" w:after="0"/>
        <w:jc w:val="left"/>
      </w:pPr>
    </w:p>
    <w:p w14:paraId="2CF68D80" w14:textId="7272FBDC" w:rsidR="003F6BDA" w:rsidRPr="00D43FA1" w:rsidRDefault="00091B75" w:rsidP="00557D18">
      <w:pPr>
        <w:pStyle w:val="Text"/>
        <w:spacing w:before="0" w:after="0"/>
      </w:pPr>
      <w:r>
        <w:t>Costurile suplimentare de asigurare a conformității pentru economie, generate de proiect, fac obiectul regulii „one in, one out”. În cadrul prezentului regulament, nu se poate prevedea nicio compensare. Prin urmare, costul de asigurare a conformității va fi compensat printr-un alt regulament.</w:t>
      </w:r>
    </w:p>
    <w:p w14:paraId="099F2BD7" w14:textId="77777777" w:rsidR="00FA7FE4" w:rsidRPr="00D43FA1" w:rsidRDefault="00FA7FE4" w:rsidP="00013F7F">
      <w:pPr>
        <w:pStyle w:val="Text"/>
        <w:spacing w:before="0" w:after="0"/>
        <w:jc w:val="left"/>
      </w:pPr>
    </w:p>
    <w:p w14:paraId="3A617D65" w14:textId="77777777" w:rsidR="004779CD" w:rsidRPr="00D43FA1" w:rsidRDefault="004779CD" w:rsidP="0070360F">
      <w:pPr>
        <w:pStyle w:val="Text"/>
        <w:keepNext/>
        <w:keepLines/>
        <w:spacing w:before="0" w:after="0"/>
        <w:rPr>
          <w:u w:val="single"/>
        </w:rPr>
      </w:pPr>
      <w:r>
        <w:rPr>
          <w:u w:val="single"/>
        </w:rPr>
        <w:t>(c) Costuri de asigurare a conformității suportate de cetățeni</w:t>
      </w:r>
    </w:p>
    <w:p w14:paraId="49145E90" w14:textId="77777777" w:rsidR="004779CD" w:rsidRPr="00D43FA1" w:rsidRDefault="004779CD" w:rsidP="0070360F">
      <w:pPr>
        <w:pStyle w:val="Text"/>
        <w:keepNext/>
        <w:keepLines/>
        <w:spacing w:before="0" w:after="0"/>
      </w:pPr>
    </w:p>
    <w:p w14:paraId="61EA37FE" w14:textId="77777777" w:rsidR="00D43FA1" w:rsidRDefault="00612652" w:rsidP="003F6BDA">
      <w:pPr>
        <w:pStyle w:val="Text"/>
        <w:spacing w:before="0" w:after="0"/>
      </w:pPr>
      <w:r>
        <w:t>Cetățenii nu suportă niciun cost de asigurare a conformității ca urmare a aplicării regulamentului.</w:t>
      </w:r>
    </w:p>
    <w:p w14:paraId="1EB134D3" w14:textId="568FB39B" w:rsidR="004779CD" w:rsidRPr="00D43FA1" w:rsidRDefault="004779CD" w:rsidP="003F6BDA">
      <w:pPr>
        <w:pStyle w:val="Text"/>
        <w:spacing w:before="0" w:after="0"/>
      </w:pPr>
    </w:p>
    <w:p w14:paraId="3D17859D" w14:textId="77777777" w:rsidR="006444D5" w:rsidRPr="00D43FA1" w:rsidRDefault="006444D5" w:rsidP="001E5369">
      <w:pPr>
        <w:pStyle w:val="berschriftarabischBegrndung"/>
      </w:pPr>
      <w:r>
        <w:t>Costuri suplimentare</w:t>
      </w:r>
    </w:p>
    <w:p w14:paraId="4A6DA429" w14:textId="77777777" w:rsidR="000F4A0B" w:rsidRPr="00D43FA1" w:rsidRDefault="00CB5E99">
      <w:pPr>
        <w:pStyle w:val="Text"/>
      </w:pPr>
      <w:r>
        <w:t>Efectele asupra prețurilor unitare nu pot fi excluse în întregime, dar nu se așteaptă efecte asupra nivelului general al prețurilor și, în special, asupra nivelului prețurilor de consum.</w:t>
      </w:r>
    </w:p>
    <w:p w14:paraId="6B3FA7B6" w14:textId="77777777" w:rsidR="000F4A0B" w:rsidRPr="00D43FA1" w:rsidRDefault="000F4A0B" w:rsidP="000F4A0B">
      <w:pPr>
        <w:pStyle w:val="berschriftarabischBegrndung"/>
      </w:pPr>
      <w:r>
        <w:t>Alte efecte de natură legislativă</w:t>
      </w:r>
    </w:p>
    <w:p w14:paraId="0411E3C3" w14:textId="77777777" w:rsidR="000F4A0B" w:rsidRPr="00D43FA1" w:rsidRDefault="000F4A0B" w:rsidP="000F4A0B">
      <w:pPr>
        <w:pStyle w:val="Text"/>
      </w:pPr>
      <w:r>
        <w:t xml:space="preserve">Regulamentul nu conține reglementări care să aibă un impact specific asupra condițiilor de viață ale femeilor și bărbaților. Protecția sănătății femeilor și bărbaților este luată în considerare în mod egal. Prin urmare, nu se estimează efecte asupra egalității de gen. </w:t>
      </w:r>
    </w:p>
    <w:p w14:paraId="3D5B6005" w14:textId="77777777" w:rsidR="000F4A0B" w:rsidRPr="00D43FA1" w:rsidRDefault="000F4A0B" w:rsidP="000F4A0B">
      <w:pPr>
        <w:pStyle w:val="berschriftrmischBegrndung"/>
      </w:pPr>
      <w:r>
        <w:t>Termen; evaluare</w:t>
      </w:r>
    </w:p>
    <w:p w14:paraId="713DB2AE" w14:textId="14616EF4" w:rsidR="00BE6637" w:rsidRPr="00D43FA1" w:rsidRDefault="006504FE" w:rsidP="000F4A0B">
      <w:pPr>
        <w:pStyle w:val="Text"/>
      </w:pPr>
      <w:r>
        <w:t xml:space="preserve">Reglementarea nu are un orizont de timp limitat, deoarece protecția consumatorilor trebuie să fie asigurată pe termen lung. </w:t>
      </w:r>
    </w:p>
    <w:p w14:paraId="757F71C9" w14:textId="58E77352" w:rsidR="000F4A0B" w:rsidRPr="005E71E1" w:rsidRDefault="00BE6637" w:rsidP="000F4A0B">
      <w:pPr>
        <w:pStyle w:val="Text"/>
        <w:rPr>
          <w:spacing w:val="-4"/>
          <w:highlight w:val="yellow"/>
        </w:rPr>
      </w:pPr>
      <w:r w:rsidRPr="005E71E1">
        <w:rPr>
          <w:spacing w:val="-4"/>
        </w:rPr>
        <w:t xml:space="preserve">Cu toate acestea, efectele acestui regulament trebuie evaluate după cinci ani de la intrarea în vigoare a dispozițiilor sale. Obiectivul este de a revizui îndeplinirea obiectivului regulamentului: și anume, reducerea la minimum a expunerii consumatorilor la MOAH din produsele alimentare reglementate de regulament prin utilizarea barierelor funcționale sau a altor măsuri adecvate pentru a preveni transferul de MOAH (limită de detecție de 0,5 mg MOAH pe kilogram de produs alimentar sau 0,15 mg de MOAH per kilogram de simulant alimentar). Datele necesare ar trebui să fie disponibile pe baza rezultatelor controalelor efectuate de autoritățile de inspecție a produselor alimentare și a conformității societăților în cauză. În plus, efectele costurilor reale, de exemplu costurile de dezvoltare, conversie și verificare analitică a materialelor destinate să vină în contact cu produsele alimentare și cu produsele alimentare asociate, ar trebui să fie incluse în raport cu obiectivul de reglementare și, dacă este cazul, posibilele efecte secundare, evoluțiile privind analiza, în special limitele de detecție realizabile pentru MOAH, ar trebui să fie, de asemenea, luate în considerare. </w:t>
      </w:r>
    </w:p>
    <w:p w14:paraId="353D2149" w14:textId="77777777" w:rsidR="006444D5" w:rsidRPr="00D43FA1" w:rsidRDefault="006444D5" w:rsidP="0070360F">
      <w:pPr>
        <w:pStyle w:val="BegrndungBesondererTeil"/>
        <w:keepLines/>
      </w:pPr>
      <w:r>
        <w:t>B. Secțiune specială</w:t>
      </w:r>
    </w:p>
    <w:p w14:paraId="0532AB57" w14:textId="77777777" w:rsidR="00CB5E99" w:rsidRPr="00D43FA1" w:rsidRDefault="00CB5E99" w:rsidP="0070360F">
      <w:pPr>
        <w:pStyle w:val="Text"/>
        <w:keepNext/>
        <w:keepLines/>
        <w:rPr>
          <w:b/>
        </w:rPr>
      </w:pPr>
      <w:r>
        <w:rPr>
          <w:b/>
        </w:rPr>
        <w:t>La articolul 1</w:t>
      </w:r>
    </w:p>
    <w:p w14:paraId="03E3D677" w14:textId="77777777" w:rsidR="00CB5E99" w:rsidRPr="00D43FA1" w:rsidRDefault="00CB5E99" w:rsidP="0070360F">
      <w:pPr>
        <w:pStyle w:val="Text"/>
        <w:keepNext/>
        <w:keepLines/>
        <w:rPr>
          <w:u w:val="single"/>
        </w:rPr>
      </w:pPr>
      <w:r>
        <w:rPr>
          <w:u w:val="single"/>
        </w:rPr>
        <w:t>La punctul 1</w:t>
      </w:r>
    </w:p>
    <w:p w14:paraId="56A74D00" w14:textId="77777777" w:rsidR="00CB5E99" w:rsidRPr="00D43FA1" w:rsidRDefault="00CB5E99" w:rsidP="00CB5E99">
      <w:pPr>
        <w:pStyle w:val="Text"/>
      </w:pPr>
      <w:r>
        <w:t xml:space="preserve">La punctul 1 sunt prezentate definițiile pentru reziduurile de hârtie, hidrocarburile aromatice minerale (MOAH), barierele funcționale și simulantul alimentar, care sunt necesare având în vedere conținutul de reglementare al prezentului regulament. </w:t>
      </w:r>
    </w:p>
    <w:p w14:paraId="6B41D48F" w14:textId="77777777" w:rsidR="002535AD" w:rsidRPr="00D43FA1" w:rsidRDefault="00031FDC" w:rsidP="00CB5E99">
      <w:pPr>
        <w:pStyle w:val="Text"/>
      </w:pPr>
      <w:r>
        <w:lastRenderedPageBreak/>
        <w:t xml:space="preserve">În cadrul definiției barierei funcționale, se face o diferențiere în ceea ce privește diferitele forme. O barieră funcțională poate fi atașată permanent de materialul destinat să vină în contact cu produsul alimentar, de exemplu sub forma unui înveliș de acoperire [articolul 2 punctul 9 litera (a)] sau poate fi utilizată separat, de exemplu sub forma unei pungi intermediare [articolul 2 punctul 9 litera (b)]. În funcție de tipul materialului destinat să vină în contact cu produsele alimentare, produsele alimentare, condițiile de utilizare și perioada de utilizare a materialului destinat să vină în contact cu produsele alimentare, de exemplu, aluminiu sau diverse materiale plastice (de exemplu PET, poliacrilat, poliacetat, poliamidă) sunt adecvate ca materiale pentru învelișul de acoperire utilizat pe hârtie, cutii de carton sau carton sau ca material pentru o pungă interioară suplimentară. </w:t>
      </w:r>
    </w:p>
    <w:p w14:paraId="578470CD" w14:textId="77777777" w:rsidR="00CB5E99" w:rsidRPr="00D43FA1" w:rsidRDefault="00CB5E99" w:rsidP="0070360F">
      <w:pPr>
        <w:pStyle w:val="Text"/>
        <w:keepNext/>
        <w:keepLines/>
        <w:rPr>
          <w:u w:val="single"/>
        </w:rPr>
      </w:pPr>
      <w:r>
        <w:rPr>
          <w:u w:val="single"/>
        </w:rPr>
        <w:t>La punctul 2</w:t>
      </w:r>
    </w:p>
    <w:p w14:paraId="0EE8563F" w14:textId="77777777" w:rsidR="00492084" w:rsidRPr="00D43FA1" w:rsidRDefault="00CB5E99" w:rsidP="00CB5E99">
      <w:pPr>
        <w:pStyle w:val="Text"/>
      </w:pPr>
      <w:r>
        <w:t xml:space="preserve">La punctul 2 se definesc reglementările specifice pentru materialele destinate să vină în contact cu produsele alimentare, realizate din hârtie, cutii de carton sau carton, fabricate din hârtie reciclată. </w:t>
      </w:r>
    </w:p>
    <w:p w14:paraId="02416656" w14:textId="77777777" w:rsidR="00492084" w:rsidRPr="00D43FA1" w:rsidRDefault="00492084" w:rsidP="00123317">
      <w:pPr>
        <w:pStyle w:val="Text"/>
      </w:pPr>
      <w:r>
        <w:t>Articolul 6a prevede la alineatele (1) și (2) cerințe specifice care vizează operatorul din domeniul materialelor destinate să vină în contact cu produsele alimentare (producător, distribuitor). În cazul în care, prin derogare, operatorul din domeniul alimentar dorește să-și ia propriile măsuri de precauție, se aplică cerințele de la alineatele (3) și (4) adresate acestuia, precum și operatorului din sectorul alimentar. Alineatul (5) îl vizează atât pe operatorul din sectorul materialelor destinate să vină în contact cu produsele alimentare, cât și pe operatorul din sectorul alimentar.</w:t>
      </w:r>
    </w:p>
    <w:p w14:paraId="21FFB49B" w14:textId="77777777" w:rsidR="00123317" w:rsidRPr="00D43FA1" w:rsidRDefault="00CB5E99" w:rsidP="00123317">
      <w:pPr>
        <w:pStyle w:val="Text"/>
      </w:pPr>
      <w:r>
        <w:t>Conform articolului 6a alineatul (1), materialele destinate să vină în contact cu produsele alimentare menționate mai sus trebuie să fie echipate cu o barieră funcțională pentru a se asigura că MOAH nu se transferă în produsele alimentare. Producătorii și distribuitorii de materiale destinate să vină în contact cu produsele alimentare vor folosi de obicei o barieră funcțională în conformitate cu articolul 2 punctul 9 litera (a), adică un strat sau un înveliș care este bine fixat pe materialul destinat să vină în contact cu produsele alimentare. Atunci când se măsoară transferul în produsele alimentare, din punct de vedere juridic se consideră că transferul nu se produce dacă nu se depășește limita de detecție de 0,5 mg MOAH per kilogram de produs alimentar. Dacă funcționalitatea barierei este determinată folosind simulanți alimentari adecvați, se aplică o limită de detecție corespunzătoare de 0,15 miligrame MOAH pe kilogram de simulant alimentar.</w:t>
      </w:r>
    </w:p>
    <w:p w14:paraId="69C05D19" w14:textId="28529D16" w:rsidR="006F0E66" w:rsidRPr="005E71E1" w:rsidRDefault="00123317" w:rsidP="0070360F">
      <w:pPr>
        <w:pStyle w:val="Text"/>
        <w:keepNext/>
        <w:keepLines/>
        <w:rPr>
          <w:spacing w:val="-4"/>
        </w:rPr>
      </w:pPr>
      <w:r w:rsidRPr="005E71E1">
        <w:rPr>
          <w:spacing w:val="-4"/>
        </w:rPr>
        <w:lastRenderedPageBreak/>
        <w:t xml:space="preserve">Analiza uleiului mineral din alimente și analiza proporției provenite din produsele alimentare sunt dificil de realizat, dar au fost înregistrate progrese notabile în ultimii ani. O limită de detecție ca obiectiv pe termen lung de 0,15 miligrame pe kilogram de produs alimentar pentru transferul MOAH din materialele destinate să vină în contact cu produsele alimentare nu poate fi stabilită, în prezent, pentru toate produsele alimentare. Este puternic influențată de matricea alimentară respectivă. Limita de detecție prevăzută, de 0,5 mg de MOAH per kilogram de produs alimentar, care se referă la transferul de la produsele alimentare se poate detecta în prezent din punct de vedere analitic în produsele alimentare. Pe de altă parte, dacă sunt utilizați simulanți alimentari [de obicei poli(2,6-difenil-p-fenilenă oxid)] pentru a verifica dacă bariera funcționează astfel încât să împiedice transferul de MOAH, se stabilește o limită de detecție de 0,15 miligrame MOAH pe kilogram de simulant alimentar. Acest lucru se datorează în special faptului că influențele matricei alimentare care apar în cazul MOAH sunt eliminate și, prin urmare, detectarea MOAH poate fi mult mai sensibilă în practică. În ceea ce privește metodele de convenție și metodele de analiză utilizate în prezent, acestea sunt descrise în următoarele publicații ale Institutului Federal pentru Evaluarea Riscurilor: </w:t>
      </w:r>
    </w:p>
    <w:p w14:paraId="13C0812B" w14:textId="77777777" w:rsidR="006F0E66" w:rsidRPr="00D43FA1" w:rsidRDefault="00123317" w:rsidP="005E71E1">
      <w:pPr>
        <w:pStyle w:val="Text"/>
        <w:keepLines/>
        <w:numPr>
          <w:ilvl w:val="0"/>
          <w:numId w:val="7"/>
        </w:numPr>
        <w:ind w:left="714" w:hanging="357"/>
      </w:pPr>
      <w:r>
        <w:t xml:space="preserve">„Determinarea hidrocarburilor minerale (MOSH și MOAH) sau din materiale plastice (POSH, PAO) din materiale de ambalare și din produse alimentare uscate prin extracție în fază solidă și GC-FID” (disponibile la adresa: </w:t>
      </w:r>
      <w:hyperlink r:id="rId8" w:history="1">
        <w:r>
          <w:t>http://</w:t>
        </w:r>
      </w:hyperlink>
      <w:hyperlink r:id="rId9" w:history="1">
        <w:r>
          <w:t>www.bfr.bund.de/cm/343/bestimmung-von-kohlenwasserstoffen-aus-mineraloel-oder-kunststoffen.pdf</w:t>
        </w:r>
      </w:hyperlink>
      <w:r>
        <w:t xml:space="preserve">; ediția: </w:t>
      </w:r>
      <w:r>
        <w:rPr>
          <w:b/>
          <w:bCs/>
          <w:i/>
          <w:iCs/>
          <w:u w:val="single"/>
        </w:rPr>
        <w:t>A se completa XX.YY.2020)</w:t>
      </w:r>
      <w:r>
        <w:t>;</w:t>
      </w:r>
    </w:p>
    <w:p w14:paraId="5B28167A" w14:textId="77777777" w:rsidR="00123317" w:rsidRPr="00D43FA1" w:rsidRDefault="00123317" w:rsidP="009777BB">
      <w:pPr>
        <w:pStyle w:val="Text"/>
        <w:numPr>
          <w:ilvl w:val="0"/>
          <w:numId w:val="7"/>
        </w:numPr>
      </w:pPr>
      <w:r>
        <w:t xml:space="preserve">„„Măsurarea uleiului mineral - hidrocarburi în produse alimentare și materiale de ambalare”, compendiul BfR și Laboratorul Cantonal din Zürich (disponibil la: </w:t>
      </w:r>
      <w:hyperlink r:id="rId10" w:history="1">
        <w:r>
          <w:t>http://www.bfr.bund.de/cm/343/messung-von-mineraloel-kohlenwasserstoffen-in-lebensmitteln-und-verpackungsmaterialien.pdf</w:t>
        </w:r>
      </w:hyperlink>
      <w:r>
        <w:t xml:space="preserve">; ediția </w:t>
      </w:r>
      <w:r>
        <w:rPr>
          <w:b/>
          <w:bCs/>
          <w:i/>
          <w:iCs/>
          <w:u w:val="single"/>
        </w:rPr>
        <w:t>A se completa</w:t>
      </w:r>
      <w:r>
        <w:rPr>
          <w:b/>
          <w:bCs/>
          <w:i/>
          <w:u w:val="single"/>
        </w:rPr>
        <w:t xml:space="preserve"> XX.YY.2020</w:t>
      </w:r>
      <w:r>
        <w:t>).</w:t>
      </w:r>
      <w:r>
        <w:rPr>
          <w:bCs/>
          <w:u w:val="single"/>
        </w:rPr>
        <w:t xml:space="preserve"> </w:t>
      </w:r>
    </w:p>
    <w:p w14:paraId="2BF32794" w14:textId="77777777" w:rsidR="00123317" w:rsidRPr="00D43FA1" w:rsidRDefault="00123317" w:rsidP="00123317">
      <w:pPr>
        <w:pStyle w:val="Text"/>
      </w:pPr>
      <w:r>
        <w:t xml:space="preserve">Cerințele pentru utilizarea unei bariere funcționale se aplică numai materialelor și obiectelor din hârtie, cutii din carton sau carton care au fost fabricate cu hârtie reciclată și care se încadrează în domeniul de aplicare al articolului 1 alineatul (2) din Regulamentul (CE) nr. 1935/2004 privind materialele și obiectele destinate să vină în contact cu produsele alimentare și de abrogare a Directivelor 80/590/CEE și 89/109/CEE. Aplicabilitatea, de exemplu, în cazul cutiilor de transport și al cutiilor de carton exterioare poate fi obținută numai în cazul în care sunt vizate produse alimentare de bază în cazul respectiv. În general, nu este necesară o suprapunere multiplă a unei bariere funcționale de-a lungul lanțului de aprovizionare. De exemplu, în cazul cutiilor de transport și al cutiilor exterioare - cu condiția să fie obiecte destinate să vină în contact cu produsele alimentare într-un caz specific - nu este necesară nicio barieră funcțională dacă proiectarea ambalajului propriu-zis sau a sistemului de ambalare a produsului alimentar (de exemplu ambalaje primare sau secundare) asigură faptul că nu se produce transferul de la MOAH la produsele alimentare. În consecință, este esențială o comunicare suficientă în cadrul lanțului de aprovizionare - așa cum se întâmplă în general în domeniul produselor alimentare de bază. </w:t>
      </w:r>
    </w:p>
    <w:p w14:paraId="2A4229C4" w14:textId="77777777" w:rsidR="00123317" w:rsidRPr="00D43FA1" w:rsidRDefault="00123317" w:rsidP="00CB5E99">
      <w:pPr>
        <w:pStyle w:val="Text"/>
      </w:pPr>
      <w:r>
        <w:t xml:space="preserve">Limita de detecție de 0,5 miligrame MOAH per kilogram de produs alimentar prevăzută în prezentul regulament în legătură cu bariera funcțională se referă numai la un transfer de MOAH din materialele destinate să vină în contact cu produsele alimentare care intră sub incidența prezentului regulament în produsele alimentare și nu reprezintă o cantitate maximă generală de MOAH în produsele alimentare. </w:t>
      </w:r>
    </w:p>
    <w:p w14:paraId="4749053E" w14:textId="1BDBFAC2" w:rsidR="00C42AD4" w:rsidRPr="00D43FA1" w:rsidRDefault="00000EDE" w:rsidP="005E71E1">
      <w:pPr>
        <w:pStyle w:val="Text"/>
        <w:keepLines/>
      </w:pPr>
      <w:r>
        <w:lastRenderedPageBreak/>
        <w:t xml:space="preserve">Alineatul (2) prevede excepții de la dotarea obligatorie a materialelor destinate să vină în contact cu produsele alimentare cu o barieră funcțională de către operatorul din sectorul materialelor destinate să vină în contact cu produsele alimentare: Dacă există condiții speciale care împiedică transferul de MOAH în produsele alimentare sau dacă se iau alte măsuri pentru a se asigura împiedicarea transferului de MOAH din materialul destinat să vină în contact cu produsele alimentare, cu o limită de detecție de 0,5 miligrame MOAH pe kilogram de produs alimentar (sau 0,15 miligrame MOAH pe kilogram de simulant alimentar) nu există obligația de a utiliza o barieră funcțională. În primul caz se poate, de exemplu, dacă conținutul de MOAH din hârtie, cutii de carton sau carton este atât de scăzut încât nu poate fi transferat la produsele alimentare peste limita de detecție. Acestea din urmă, adică alte măsuri adecvate menționate la punctul 2 pot include, de exemplu, măsuri asupra materialului destinat să vină în contact cu produsele alimentare, cum ar fi încorporarea de produse de absorbție (cărbune activ sau produse similare) în hârtie, cutiile de carton sau carton, care împiedică transferul de MOAH în produsele alimentare. </w:t>
      </w:r>
    </w:p>
    <w:p w14:paraId="575AE879" w14:textId="7AEA464F" w:rsidR="00873463" w:rsidRPr="00D43FA1" w:rsidRDefault="00B849CA" w:rsidP="00CB5E99">
      <w:pPr>
        <w:pStyle w:val="Text"/>
      </w:pPr>
      <w:r>
        <w:t xml:space="preserve">Conform articolului 6a alineatul (3), prin derogare de la articolul 6a alineatul (1), având în vedere alineatul (4), materialele relevante destinate să vină în contact cu produsele alimentare pot fi fabricate și introduse pe piață fără o barieră funcțională care să fie fixată ferm la materialul destinat să vină în contact cu produsele alimentare. Cu toate acestea, acest lucru este permis numai dacă operatorul din domeniul alimentar declară în scris sau prin mijloace electronice producătorului sau distribuitorului acestui material destinat să vină în contact cu produsele alimentare că va fixa o barieră funcțională înainte de livrarea unui material destinat să vină în contact cu produsele alimentare. Această declarație trebuie să fie păstrată de producător sau de persoana care introduce materialul destinat să vină în contact cu produsele alimentare pe piață pentru a putea dovedi autorității competente că i s-a acordat derogare de la reglementarea prevăzută la articolul 6a alineatul (1) prima teză din cauza renunțării de către operatorul din industria alimentară. </w:t>
      </w:r>
    </w:p>
    <w:p w14:paraId="559558B3" w14:textId="77777777" w:rsidR="00595A3F" w:rsidRPr="00D43FA1" w:rsidRDefault="00595A3F" w:rsidP="00CB5E99">
      <w:pPr>
        <w:pStyle w:val="Text"/>
      </w:pPr>
      <w:r>
        <w:t>Reglementarea prevăzută la articolul 6a alineatul (3) vizează operatorii din sectorul alimentar a căror responsabilitate este de a aduce materialele destinate să vină în contact cu produsele alimentare, care au fost fabricate cu hârtie reciclată, în contact direct sau indirect cu produsele alimentare, și anume prin împachetarea sau ambalarea produselor alimentare sau punerea în contact pentru prima dată a produselor alimentare cu un alt produs alimentar. Cu toate acestea, obligația prevăzută la articolul 6a alineatul (3) nu se aplică, de exemplu, operatorilor din sectorul alimentar care achiziționează numai produse alimentare preambalate (de asemenea, dintr-un alt stat membru al UE sau o țară terță) și, în cazul cărora, procesul de ambalare este în afara controlului lor. Cu toate acestea, în acest caz, operatorul din sectorul alimentar se asigură, în cadrul obligației sale generale, că produsele în cauză respectă cerințele referitoare la transferul neautorizat al MOAH.</w:t>
      </w:r>
    </w:p>
    <w:p w14:paraId="5D78B6B3" w14:textId="77777777" w:rsidR="00882CE4" w:rsidRPr="00D43FA1" w:rsidRDefault="00031FDC" w:rsidP="00CB5E99">
      <w:pPr>
        <w:pStyle w:val="Text"/>
      </w:pPr>
      <w:r>
        <w:t xml:space="preserve">În cazurile menționate la articolul 6a alineatul (3), operatorul din sectorul alimentar ia măsurile corespunzătoare, în conformitate cu articolul 6a alineatul (4), pentru a preveni transferul de MOAH dintr-un produs alimentar în alt produs alimentar. Operatorul din sectorul alimentar poate, de exemplu, să utilizeze pungi intermediare sau alte articole similare ca barieră funcțională atunci când introduce produsele alimentare. [a se vedea articolul 2 punctul 9 litera (b)]. Cerințele privind limita de detecție se aplică </w:t>
      </w:r>
      <w:r>
        <w:rPr>
          <w:i/>
          <w:iCs/>
        </w:rPr>
        <w:t>mutatis mutandis</w:t>
      </w:r>
      <w:r>
        <w:t xml:space="preserve">. </w:t>
      </w:r>
    </w:p>
    <w:p w14:paraId="7B05CB8A" w14:textId="77777777" w:rsidR="00CB5E99" w:rsidRPr="00C75E6F" w:rsidRDefault="00CB5E99" w:rsidP="00CB5E99">
      <w:pPr>
        <w:pStyle w:val="Text"/>
        <w:rPr>
          <w:spacing w:val="-4"/>
        </w:rPr>
      </w:pPr>
      <w:r w:rsidRPr="00C75E6F">
        <w:rPr>
          <w:spacing w:val="-4"/>
        </w:rPr>
        <w:t xml:space="preserve">Cu toate acestea, utilizarea unei bariere funcționale nu este singura modalitate prin care se asigură că nu se produce transferul de MOAH de la obiectul destinat să vină în contact cu produsele alimentare la produsele alimentare sau prin care se poate detecta un astfel de transfer. În special, se renunță la obligația de a lua măsurile corespunzătoare în cazul în care, din cauza naturii produsului alimentar (cum ar fi sarea de masă) sau a condițiilor de utilizare (cum ar fi în cazul produselor alimentare congelate sau al contactului pe termen scurt cu produse alimentare uscate) nu se produce transferul de MOAH în produsele alimentare sau nu se depășește limita de detecție și, prin urmare, se consideră ca fiind nedetectabil. </w:t>
      </w:r>
    </w:p>
    <w:p w14:paraId="285E5728" w14:textId="77777777" w:rsidR="00CB5E99" w:rsidRPr="00C75E6F" w:rsidRDefault="00CB5E99" w:rsidP="009C1BE7">
      <w:pPr>
        <w:pStyle w:val="Text"/>
        <w:rPr>
          <w:spacing w:val="-6"/>
        </w:rPr>
      </w:pPr>
      <w:r w:rsidRPr="00C75E6F">
        <w:rPr>
          <w:spacing w:val="-6"/>
        </w:rPr>
        <w:lastRenderedPageBreak/>
        <w:t>În cadrul reglementărilor generale privind materialele destinate să vină în contact cu produsele alimentare, operatorul responsabil – și anume producătorul, distribuitorul sau ambalatorul de produse alimentare – în conformitate cu obligația sa de a se asigura că materialele destinate să vină în contact cu produsele alimentare pentru care este responsabil sau pe care le utilizează îndeplinesc cerințele relevante. Se face trimitere, de exemplu, la articolul 30 punctul 3 din Codul alimentar, al bunurilor de consum și al hranei pentru animale (LFGB) și la Regulamentul (CE) nr. 2023/2006. Regulamentul (CE) nr. 2023/2006 prevede, printre altele, că trebuie îndeplinite anumite obligații în materie de documentație. Acest lucru este relevant în sensul prezentului regulament în ceea ce privește bariera care trebuie utilizată sau aplicarea derogării, deoarece documentele elaborate în temeiul acestor obligații pot servi, de asemenea, ca dovadă că bariera prezintă funcționalitatea necesară scopului avut în vedere și anume împiedicarea transferului de MOAH sau că un transfer de la MOAH la produsul alimentar nu este detectabil, adică nu depășește limita de detecție nici măcar atunci când nu se utilizează nicio barieră funcțională.</w:t>
      </w:r>
    </w:p>
    <w:p w14:paraId="46427445" w14:textId="77777777" w:rsidR="00C66E2D" w:rsidRPr="0086292F" w:rsidRDefault="00D701EB" w:rsidP="00CB5E99">
      <w:pPr>
        <w:pStyle w:val="Text"/>
        <w:rPr>
          <w:szCs w:val="24"/>
        </w:rPr>
      </w:pPr>
      <w:r>
        <w:t xml:space="preserve">Producătorul sau distribuitorul materialului destinat să vină în contact cu produsele alimentare, precum și operatorul din domeniul alimentar sunt obligați să explice autorității competente pe baza cărei condiții sau circumstanțe se acordă o derogare. Articolul 6a alineatul (5) prevede, de asemenea, obligația producătorului sau a distribuitorului materialelor destinate să vină în contact cu produse alimentare, precum și a operatorului din sectorul alimentar responsabil cu furnizarea de documente care să demonstreze modul în care persoana responsabilă asigură că nu se produce niciun transfer de la MOAH la produsele alimentare. </w:t>
      </w:r>
    </w:p>
    <w:p w14:paraId="7E7353A1" w14:textId="77777777" w:rsidR="00E36DB1" w:rsidRPr="00D43FA1" w:rsidRDefault="005211EE" w:rsidP="00CB5E99">
      <w:pPr>
        <w:pStyle w:val="Text"/>
        <w:rPr>
          <w:color w:val="231F20"/>
          <w:szCs w:val="24"/>
        </w:rPr>
      </w:pPr>
      <w:r>
        <w:rPr>
          <w:color w:val="231F20"/>
          <w:szCs w:val="24"/>
        </w:rPr>
        <w:t>Articolul 6a alineatul (6) conține interdicții de transport pentru produsele alimentare, pentru a proteja consumatorii de riscurile potențiale pentru sănătate care decurg din transferul de MOAH din produsele alimentare. Interdicțiile de transport se aplică produselor alimentare care au fost tratate cu materiale destinate să vină în contact cu produse alimentare care nu sunt conforme cu articolul 6a alineatul (1) prima teză sau articolul 6a alineatul (4) prima teză și fără să se aplice una dintre excepțiile relevante prevăzute la articolul 6a alineatul (2) sau articolul 6a alineatul (4) a treia teză.</w:t>
      </w:r>
    </w:p>
    <w:p w14:paraId="295C3C27" w14:textId="77777777" w:rsidR="00893613" w:rsidRPr="00D43FA1" w:rsidRDefault="00893613" w:rsidP="0070360F">
      <w:pPr>
        <w:pStyle w:val="Text"/>
        <w:keepNext/>
        <w:keepLines/>
        <w:rPr>
          <w:szCs w:val="24"/>
          <w:u w:val="single"/>
        </w:rPr>
      </w:pPr>
      <w:r>
        <w:rPr>
          <w:szCs w:val="24"/>
          <w:u w:val="single"/>
        </w:rPr>
        <w:t>La punctul 3</w:t>
      </w:r>
    </w:p>
    <w:p w14:paraId="527C76F7" w14:textId="77777777" w:rsidR="00893613" w:rsidRPr="00D43FA1" w:rsidRDefault="00893613" w:rsidP="00893613">
      <w:pPr>
        <w:pStyle w:val="Text"/>
        <w:rPr>
          <w:szCs w:val="24"/>
        </w:rPr>
      </w:pPr>
      <w:r>
        <w:t>Punctul 3 reglementează interdicția de utilizare a materialelor destinate să vină în contact cu produse alimentare care nu corespund cerințelor prevăzute la articolul 6a.</w:t>
      </w:r>
    </w:p>
    <w:p w14:paraId="0BECB08F" w14:textId="77777777" w:rsidR="00893613" w:rsidRPr="00D43FA1" w:rsidRDefault="00893613" w:rsidP="0070360F">
      <w:pPr>
        <w:pStyle w:val="Text"/>
        <w:keepNext/>
        <w:keepLines/>
        <w:rPr>
          <w:szCs w:val="24"/>
          <w:u w:val="single"/>
        </w:rPr>
      </w:pPr>
      <w:r>
        <w:rPr>
          <w:szCs w:val="24"/>
          <w:u w:val="single"/>
        </w:rPr>
        <w:t>La punctul 4</w:t>
      </w:r>
    </w:p>
    <w:p w14:paraId="123E14BA" w14:textId="77777777" w:rsidR="00D77D9F" w:rsidRPr="00D43FA1" w:rsidRDefault="00D77D9F" w:rsidP="00893613">
      <w:pPr>
        <w:pStyle w:val="Text"/>
        <w:rPr>
          <w:szCs w:val="24"/>
          <w:u w:val="single"/>
        </w:rPr>
      </w:pPr>
      <w:r>
        <w:t>Punctul 4 reglementează consolidarea încălcării dispozițiilor de la articolul 6a din Regulamentul privind bunurile de consum.</w:t>
      </w:r>
    </w:p>
    <w:p w14:paraId="72ADCE94" w14:textId="77777777" w:rsidR="00CB5E99" w:rsidRPr="00D43FA1" w:rsidRDefault="00D77D9F" w:rsidP="0070360F">
      <w:pPr>
        <w:pStyle w:val="Text"/>
        <w:keepNext/>
        <w:keepLines/>
        <w:rPr>
          <w:u w:val="single"/>
        </w:rPr>
      </w:pPr>
      <w:r>
        <w:rPr>
          <w:u w:val="single"/>
        </w:rPr>
        <w:t>La punctul 5</w:t>
      </w:r>
    </w:p>
    <w:p w14:paraId="10DAE7A6" w14:textId="77777777" w:rsidR="00BC7160" w:rsidRPr="00C75E6F" w:rsidRDefault="00CB5E99" w:rsidP="00CB5E99">
      <w:pPr>
        <w:pStyle w:val="Text"/>
        <w:rPr>
          <w:spacing w:val="-4"/>
        </w:rPr>
      </w:pPr>
      <w:r w:rsidRPr="00C75E6F">
        <w:rPr>
          <w:spacing w:val="-4"/>
        </w:rPr>
        <w:t xml:space="preserve">Punctul 5 prevede că dispozițiile vor fi aplicate numai după o perioadă de tranziție de trei ani. </w:t>
      </w:r>
    </w:p>
    <w:p w14:paraId="38F583BA" w14:textId="77777777" w:rsidR="00CB5E99" w:rsidRPr="00C75E6F" w:rsidRDefault="00CB5E99" w:rsidP="00CB5E99">
      <w:pPr>
        <w:pStyle w:val="Text"/>
        <w:rPr>
          <w:spacing w:val="-6"/>
        </w:rPr>
      </w:pPr>
      <w:r w:rsidRPr="00C75E6F">
        <w:rPr>
          <w:spacing w:val="-6"/>
        </w:rPr>
        <w:t>Punctul 5 prevede că materialele destinate să vină în contact cu produse alimentare care au fost fabricate în conformitate cu reglementările în vigoare înainte de data aplicării regulamentului pot fi, de asemenea, introduse pe piață și folosite încă doi ani după această dată.</w:t>
      </w:r>
    </w:p>
    <w:p w14:paraId="3DCB47CB" w14:textId="77777777" w:rsidR="00CB5E99" w:rsidRPr="00D43FA1" w:rsidRDefault="00CB5E99" w:rsidP="0070360F">
      <w:pPr>
        <w:pStyle w:val="Text"/>
        <w:keepNext/>
        <w:keepLines/>
        <w:rPr>
          <w:b/>
        </w:rPr>
      </w:pPr>
      <w:r>
        <w:rPr>
          <w:b/>
        </w:rPr>
        <w:t>La articolul 2</w:t>
      </w:r>
    </w:p>
    <w:p w14:paraId="3A8E0CB1" w14:textId="77777777" w:rsidR="00CB5E99" w:rsidRPr="00D43FA1" w:rsidRDefault="00CB5E99" w:rsidP="00CB5E99">
      <w:pPr>
        <w:pStyle w:val="Text"/>
      </w:pPr>
      <w:r>
        <w:t>Articolul 2 prevede autorizația de publicare a Regulamentului privind bunurile de consum.</w:t>
      </w:r>
    </w:p>
    <w:p w14:paraId="7689A2E3" w14:textId="77777777" w:rsidR="00CB5E99" w:rsidRPr="00D43FA1" w:rsidRDefault="00CB5E99" w:rsidP="0070360F">
      <w:pPr>
        <w:pStyle w:val="Text"/>
        <w:keepNext/>
        <w:keepLines/>
        <w:rPr>
          <w:b/>
        </w:rPr>
      </w:pPr>
      <w:r>
        <w:rPr>
          <w:b/>
        </w:rPr>
        <w:t>La articolul 3</w:t>
      </w:r>
    </w:p>
    <w:p w14:paraId="193ACE56" w14:textId="77777777" w:rsidR="00CB5E99" w:rsidRPr="0070360F" w:rsidRDefault="00CB5E99">
      <w:pPr>
        <w:pStyle w:val="Text"/>
      </w:pPr>
      <w:r>
        <w:t>Articolul 3 reglementează intrarea în vigoare a regulamentului.</w:t>
      </w:r>
    </w:p>
    <w:sectPr w:rsidR="00CB5E99" w:rsidRPr="0070360F" w:rsidSect="00073F52">
      <w:headerReference w:type="default" r:id="rId11"/>
      <w:headerReference w:type="first" r:id="rId12"/>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743AF" w14:textId="77777777" w:rsidR="00B82A75" w:rsidRDefault="00B82A75">
      <w:pPr>
        <w:spacing w:before="0" w:after="0"/>
      </w:pPr>
      <w:r>
        <w:separator/>
      </w:r>
    </w:p>
  </w:endnote>
  <w:endnote w:type="continuationSeparator" w:id="0">
    <w:p w14:paraId="6823D5CA" w14:textId="77777777" w:rsidR="00B82A75" w:rsidRDefault="00B82A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7D80D" w14:textId="77777777" w:rsidR="00B82A75" w:rsidRDefault="00B82A75">
      <w:pPr>
        <w:spacing w:before="0" w:after="0"/>
      </w:pPr>
      <w:r>
        <w:separator/>
      </w:r>
    </w:p>
  </w:footnote>
  <w:footnote w:type="continuationSeparator" w:id="0">
    <w:p w14:paraId="04C68AD1" w14:textId="77777777" w:rsidR="00B82A75" w:rsidRDefault="00B82A75">
      <w:pPr>
        <w:spacing w:before="0" w:after="0"/>
      </w:pPr>
      <w:r>
        <w:continuationSeparator/>
      </w:r>
    </w:p>
  </w:footnote>
  <w:footnote w:id="1">
    <w:p w14:paraId="7B8D79B8" w14:textId="77777777" w:rsidR="00E24BD3" w:rsidRPr="008036EA" w:rsidRDefault="00E24BD3">
      <w:pPr>
        <w:pStyle w:val="FootnoteText"/>
      </w:pPr>
      <w:r>
        <w:rPr>
          <w:rStyle w:val="FootnoteReference"/>
        </w:rPr>
        <w:t>1)</w:t>
      </w:r>
      <w:r>
        <w:tab/>
        <w:t>Notificat în conformitate cu Directiva (UE) 2015/1535 a Parlamentului European și a Consiliului din 9 septembrie 2015 referitoare la procedura de furnizare de informații în domeniul reglementărilor tehnice și al normelor privind serviciile societății informaționale (JO L 241, 17.9.2015 p. 1).</w:t>
      </w:r>
    </w:p>
  </w:footnote>
  <w:footnote w:id="2">
    <w:p w14:paraId="7D837383" w14:textId="77777777" w:rsidR="00E24BD3" w:rsidRDefault="00E24BD3" w:rsidP="006B7BFE">
      <w:pPr>
        <w:pStyle w:val="FootnoteText"/>
        <w:jc w:val="left"/>
      </w:pPr>
      <w:r>
        <w:rPr>
          <w:rStyle w:val="FootnoteReference"/>
        </w:rPr>
        <w:footnoteRef/>
      </w:r>
      <w:r>
        <w:t xml:space="preserve"> </w:t>
      </w:r>
      <w:r>
        <w:tab/>
      </w:r>
      <w:r>
        <w:t xml:space="preserve">Oficiul </w:t>
      </w:r>
      <w:r>
        <w:t xml:space="preserve">Federal de Statistică (2012): Orientare pentru determinarea și prezentarea costurilor de asigurare a conformității în proiectele de reglementare ale guvernului federal. </w:t>
      </w:r>
    </w:p>
  </w:footnote>
  <w:footnote w:id="3">
    <w:p w14:paraId="36F3698B" w14:textId="60DC7FEB" w:rsidR="00E24BD3" w:rsidRPr="0086292F" w:rsidRDefault="00E24BD3" w:rsidP="002F54A3">
      <w:pPr>
        <w:pStyle w:val="FootnoteText"/>
      </w:pPr>
      <w:r>
        <w:rPr>
          <w:rStyle w:val="FootnoteReference"/>
        </w:rPr>
        <w:footnoteRef/>
      </w:r>
      <w:r>
        <w:t xml:space="preserve"> </w:t>
      </w:r>
      <w:r>
        <w:t xml:space="preserve">Studiu </w:t>
      </w:r>
      <w:r>
        <w:t xml:space="preserve">privind structura costurilor în domeniul producției, mineritului și extracției de pietre și pământ (Nr. EVAS 42251): Angajați, cifra de afaceri, valoarea producției și valoarea adăugată a societăților din sectorul producției, Germania 2015, sectoarele economice WZ08-10. </w:t>
      </w:r>
    </w:p>
  </w:footnote>
  <w:footnote w:id="4">
    <w:p w14:paraId="3324C433" w14:textId="77777777" w:rsidR="00E24BD3" w:rsidRPr="00D47EE6" w:rsidRDefault="00E24BD3" w:rsidP="002F54A3">
      <w:pPr>
        <w:pStyle w:val="Default"/>
        <w:ind w:left="720" w:hanging="720"/>
        <w:rPr>
          <w:rFonts w:ascii="Arial" w:hAnsi="Arial" w:cs="Arial"/>
          <w:sz w:val="18"/>
          <w:szCs w:val="18"/>
        </w:rPr>
      </w:pPr>
      <w:r>
        <w:rPr>
          <w:rStyle w:val="FootnoteReference"/>
          <w:rFonts w:ascii="Arial" w:hAnsi="Arial"/>
          <w:sz w:val="18"/>
          <w:szCs w:val="18"/>
        </w:rPr>
        <w:t>3</w:t>
      </w:r>
      <w:r>
        <w:t xml:space="preserve"> </w:t>
      </w:r>
      <w:r>
        <w:tab/>
      </w:r>
      <w:r>
        <w:t>Tabele privind costurile salariale pentru 2017 pentru măsurarea costurilor de asigurare a conformității și a costurilor birocratice de către Oficiul Federal de Statistică, sectorul economic C10, societăți cu cel puțin 250 de angajați, nivel înalt de calificare.</w:t>
      </w:r>
      <w:r>
        <w:rPr>
          <w:rFonts w:ascii="Arial" w:hAnsi="Arial"/>
          <w:sz w:val="18"/>
          <w:szCs w:val="18"/>
        </w:rPr>
        <w:t xml:space="preserve"> </w:t>
      </w:r>
    </w:p>
    <w:p w14:paraId="2487B60A" w14:textId="77777777" w:rsidR="00E24BD3" w:rsidRDefault="00E24B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70F90" w14:textId="024B4C5F" w:rsidR="00E24BD3" w:rsidRPr="00073F52" w:rsidRDefault="00D43FA1" w:rsidP="00073F52">
    <w:pPr>
      <w:pStyle w:val="Header"/>
    </w:pPr>
    <w:r>
      <w:tab/>
    </w:r>
    <w:r>
      <w:t xml:space="preserve">- </w:t>
    </w:r>
    <w:r w:rsidR="00073F52">
      <w:fldChar w:fldCharType="begin"/>
    </w:r>
    <w:r w:rsidR="00073F52">
      <w:instrText xml:space="preserve"> PAGE  \* MERGEFORMAT </w:instrText>
    </w:r>
    <w:r w:rsidR="00073F52">
      <w:fldChar w:fldCharType="separate"/>
    </w:r>
    <w:r w:rsidR="00073F52">
      <w:t>2</w:t>
    </w:r>
    <w:r w:rsidR="00073F52">
      <w:fldChar w:fldCharType="end"/>
    </w:r>
    <w:r>
      <w:t xml:space="preserve"> -</w:t>
    </w:r>
    <w:r>
      <w:tab/>
    </w:r>
    <w:r>
      <w:rPr>
        <w:sz w:val="18"/>
      </w:rPr>
      <w:t>Stadiul de elaborare: 14.8.2020, ora 15.07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B8F3E" w14:textId="0C4B739B" w:rsidR="00E24BD3" w:rsidRPr="00073F52" w:rsidRDefault="00D43FA1" w:rsidP="00073F52">
    <w:pPr>
      <w:pStyle w:val="Header"/>
    </w:pPr>
    <w:r>
      <w:tab/>
    </w:r>
    <w:r w:rsidR="00C75E6F">
      <w:fldChar w:fldCharType="begin"/>
    </w:r>
    <w:r w:rsidR="00C75E6F">
      <w:instrText xml:space="preserve"> DOCPROPERTY "Bearbeitungsstand" \* MERGEFORMAT </w:instrText>
    </w:r>
    <w:r w:rsidR="00C75E6F">
      <w:fldChar w:fldCharType="separate"/>
    </w:r>
    <w:r w:rsidRPr="00D43FA1">
      <w:rPr>
        <w:sz w:val="18"/>
      </w:rPr>
      <w:t xml:space="preserve">Bearbeitungsstand: </w:t>
    </w:r>
    <w:r w:rsidRPr="00D43FA1">
      <w:rPr>
        <w:sz w:val="18"/>
      </w:rPr>
      <w:t>14.08.2020</w:t>
    </w:r>
    <w:r>
      <w:rPr>
        <w:sz w:val="18"/>
      </w:rPr>
      <w:t xml:space="preserve"> </w:t>
    </w:r>
    <w:r w:rsidRPr="00D43FA1">
      <w:rPr>
        <w:sz w:val="18"/>
      </w:rPr>
      <w:t>15:07 Uhr</w:t>
    </w:r>
    <w:r w:rsidR="00C75E6F">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4536"/>
        </w:tabs>
        <w:ind w:left="4253"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A2D0161"/>
    <w:multiLevelType w:val="hybridMultilevel"/>
    <w:tmpl w:val="8B90B208"/>
    <w:lvl w:ilvl="0" w:tplc="74E867FC">
      <w:start w:val="1"/>
      <w:numFmt w:val="bullet"/>
      <w:lvlText w:val="˗"/>
      <w:lvlJc w:val="left"/>
      <w:pPr>
        <w:ind w:left="1145" w:hanging="360"/>
      </w:pPr>
      <w:rPr>
        <w:rFonts w:ascii="Times New Roman"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0500708"/>
    <w:multiLevelType w:val="hybridMultilevel"/>
    <w:tmpl w:val="F0940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6" w15:restartNumberingAfterBreak="0">
    <w:nsid w:val="127C50D1"/>
    <w:multiLevelType w:val="hybridMultilevel"/>
    <w:tmpl w:val="7B5267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9"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0" w15:restartNumberingAfterBreak="0">
    <w:nsid w:val="26DC129C"/>
    <w:multiLevelType w:val="hybridMultilevel"/>
    <w:tmpl w:val="D682E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3F2C75"/>
    <w:multiLevelType w:val="hybridMultilevel"/>
    <w:tmpl w:val="6F30F0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3"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4" w15:restartNumberingAfterBreak="0">
    <w:nsid w:val="2A897DF0"/>
    <w:multiLevelType w:val="hybridMultilevel"/>
    <w:tmpl w:val="857C688C"/>
    <w:lvl w:ilvl="0" w:tplc="74E867F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7"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9"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0"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4" w15:restartNumberingAfterBreak="0">
    <w:nsid w:val="56DD28C7"/>
    <w:multiLevelType w:val="hybridMultilevel"/>
    <w:tmpl w:val="32463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ED6052"/>
    <w:multiLevelType w:val="multilevel"/>
    <w:tmpl w:val="99C217B4"/>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1"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
  </w:num>
  <w:num w:numId="2">
    <w:abstractNumId w:val="3"/>
  </w:num>
  <w:num w:numId="3">
    <w:abstractNumId w:val="10"/>
  </w:num>
  <w:num w:numId="4">
    <w:abstractNumId w:val="14"/>
  </w:num>
  <w:num w:numId="5">
    <w:abstractNumId w:val="11"/>
  </w:num>
  <w:num w:numId="6">
    <w:abstractNumId w:val="6"/>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31"/>
  </w:num>
  <w:num w:numId="12">
    <w:abstractNumId w:val="22"/>
  </w:num>
  <w:num w:numId="13">
    <w:abstractNumId w:val="5"/>
  </w:num>
  <w:num w:numId="14">
    <w:abstractNumId w:val="16"/>
  </w:num>
  <w:num w:numId="15">
    <w:abstractNumId w:val="0"/>
  </w:num>
  <w:num w:numId="16">
    <w:abstractNumId w:val="30"/>
  </w:num>
  <w:num w:numId="17">
    <w:abstractNumId w:val="17"/>
  </w:num>
  <w:num w:numId="18">
    <w:abstractNumId w:val="26"/>
  </w:num>
  <w:num w:numId="19">
    <w:abstractNumId w:val="4"/>
  </w:num>
  <w:num w:numId="20">
    <w:abstractNumId w:val="21"/>
  </w:num>
  <w:num w:numId="21">
    <w:abstractNumId w:val="12"/>
  </w:num>
  <w:num w:numId="22">
    <w:abstractNumId w:val="9"/>
  </w:num>
  <w:num w:numId="23">
    <w:abstractNumId w:val="20"/>
  </w:num>
  <w:num w:numId="24">
    <w:abstractNumId w:val="27"/>
  </w:num>
  <w:num w:numId="25">
    <w:abstractNumId w:val="13"/>
  </w:num>
  <w:num w:numId="26">
    <w:abstractNumId w:val="18"/>
  </w:num>
  <w:num w:numId="27">
    <w:abstractNumId w:val="1"/>
  </w:num>
  <w:num w:numId="28">
    <w:abstractNumId w:val="19"/>
  </w:num>
  <w:num w:numId="29">
    <w:abstractNumId w:val="7"/>
  </w:num>
  <w:num w:numId="30">
    <w:abstractNumId w:val="29"/>
  </w:num>
  <w:num w:numId="31">
    <w:abstractNumId w:val="28"/>
  </w:num>
  <w:num w:numId="32">
    <w:abstractNumId w:val="15"/>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372ms"/>
    <w:docVar w:name="BefehlsKontext_SpeichernOOXML_Schnitt" w:val="372ms"/>
    <w:docVar w:name="BMJ" w:val="True"/>
    <w:docVar w:name="CUSTOMER" w:val="8"/>
    <w:docVar w:name="DQCDateTime" w:val="29.07.2020 09:42:09"/>
    <w:docVar w:name="DQCPart_Begruendung" w:val="0"/>
    <w:docVar w:name="DQCPart_Dokument" w:val="0"/>
    <w:docVar w:name="DQCPart_Regelungsteil" w:val="0"/>
    <w:docVar w:name="DQCPart_Vorblatt" w:val="0"/>
    <w:docVar w:name="DQCResult_Aenderungsbefehl" w:val="0;14"/>
    <w:docVar w:name="DQCResult_Binnenverweise" w:val="0;0"/>
    <w:docVar w:name="DQCResult_Citations" w:val="0;2"/>
    <w:docVar w:name="DQCResult_EinzelneRegelungsteile" w:val="0;0"/>
    <w:docVar w:name="DQCResult_EmbeddedObjects" w:val="0;0"/>
    <w:docVar w:name="DQCResult_Gliederung" w:val="22;6"/>
    <w:docVar w:name="DQCResult_Marker" w:val="0;0"/>
    <w:docVar w:name="DQCResult_Metadata" w:val="0;0"/>
    <w:docVar w:name="DQCResult_ModifiedCharFormat" w:val="0;89"/>
    <w:docVar w:name="DQCResult_ModifiedMargins" w:val="21;0"/>
    <w:docVar w:name="DQCResult_ModifiedNumbering" w:val="2;0"/>
    <w:docVar w:name="DQCResult_StructureCheck" w:val="16;0"/>
    <w:docVar w:name="DQCResult_SuperfluousWhitespace" w:val="69;0"/>
    <w:docVar w:name="DQCResult_TermsAndDiction" w:val="0;10"/>
    <w:docVar w:name="DQCResult_Verweise" w:val="0;0"/>
    <w:docVar w:name="DQCWithWarnings" w:val="1"/>
    <w:docVar w:name="LW_DocType" w:val="AENDER"/>
    <w:docVar w:name="LWCons_Langue" w:val="DE"/>
  </w:docVars>
  <w:rsids>
    <w:rsidRoot w:val="006444D5"/>
    <w:rsid w:val="00000EDE"/>
    <w:rsid w:val="00006B73"/>
    <w:rsid w:val="00011404"/>
    <w:rsid w:val="000114D3"/>
    <w:rsid w:val="00011669"/>
    <w:rsid w:val="00013F7F"/>
    <w:rsid w:val="0001751A"/>
    <w:rsid w:val="000202F9"/>
    <w:rsid w:val="000205EA"/>
    <w:rsid w:val="00021172"/>
    <w:rsid w:val="00023B79"/>
    <w:rsid w:val="0002703A"/>
    <w:rsid w:val="00031FDC"/>
    <w:rsid w:val="00031FE9"/>
    <w:rsid w:val="0003253F"/>
    <w:rsid w:val="000326A1"/>
    <w:rsid w:val="00033203"/>
    <w:rsid w:val="000379E5"/>
    <w:rsid w:val="00040BA6"/>
    <w:rsid w:val="00042625"/>
    <w:rsid w:val="00042E60"/>
    <w:rsid w:val="00043B45"/>
    <w:rsid w:val="000447FD"/>
    <w:rsid w:val="00046B6A"/>
    <w:rsid w:val="000511BF"/>
    <w:rsid w:val="0005302B"/>
    <w:rsid w:val="0005489F"/>
    <w:rsid w:val="000579F5"/>
    <w:rsid w:val="0006353C"/>
    <w:rsid w:val="000636B3"/>
    <w:rsid w:val="00067EA9"/>
    <w:rsid w:val="00070990"/>
    <w:rsid w:val="00072429"/>
    <w:rsid w:val="00073F52"/>
    <w:rsid w:val="000746B9"/>
    <w:rsid w:val="00080C0D"/>
    <w:rsid w:val="00081E27"/>
    <w:rsid w:val="0008213F"/>
    <w:rsid w:val="0008560F"/>
    <w:rsid w:val="00086709"/>
    <w:rsid w:val="00087B66"/>
    <w:rsid w:val="00091B75"/>
    <w:rsid w:val="000958E3"/>
    <w:rsid w:val="000A00BC"/>
    <w:rsid w:val="000A0EA7"/>
    <w:rsid w:val="000A42DE"/>
    <w:rsid w:val="000B1116"/>
    <w:rsid w:val="000B17F0"/>
    <w:rsid w:val="000B2DB8"/>
    <w:rsid w:val="000B41D9"/>
    <w:rsid w:val="000C09F9"/>
    <w:rsid w:val="000C4EFA"/>
    <w:rsid w:val="000C57C8"/>
    <w:rsid w:val="000D03E9"/>
    <w:rsid w:val="000D0F45"/>
    <w:rsid w:val="000D3FA6"/>
    <w:rsid w:val="000D48E2"/>
    <w:rsid w:val="000E049B"/>
    <w:rsid w:val="000E4B72"/>
    <w:rsid w:val="000E73A4"/>
    <w:rsid w:val="000F1682"/>
    <w:rsid w:val="000F35FD"/>
    <w:rsid w:val="000F4A0B"/>
    <w:rsid w:val="000F6183"/>
    <w:rsid w:val="000F64B6"/>
    <w:rsid w:val="000F71D6"/>
    <w:rsid w:val="00105F8D"/>
    <w:rsid w:val="00106224"/>
    <w:rsid w:val="00110308"/>
    <w:rsid w:val="0011039C"/>
    <w:rsid w:val="00112749"/>
    <w:rsid w:val="00117552"/>
    <w:rsid w:val="0012322F"/>
    <w:rsid w:val="00123317"/>
    <w:rsid w:val="00123700"/>
    <w:rsid w:val="00131DBC"/>
    <w:rsid w:val="00133C9F"/>
    <w:rsid w:val="001348D2"/>
    <w:rsid w:val="0013637E"/>
    <w:rsid w:val="00140A6C"/>
    <w:rsid w:val="001419E7"/>
    <w:rsid w:val="00146E0A"/>
    <w:rsid w:val="0015179A"/>
    <w:rsid w:val="00152222"/>
    <w:rsid w:val="00155E4D"/>
    <w:rsid w:val="00160D57"/>
    <w:rsid w:val="0016165D"/>
    <w:rsid w:val="0016584A"/>
    <w:rsid w:val="00166244"/>
    <w:rsid w:val="001667AF"/>
    <w:rsid w:val="00166DA2"/>
    <w:rsid w:val="00170F46"/>
    <w:rsid w:val="00175860"/>
    <w:rsid w:val="001758C6"/>
    <w:rsid w:val="00175A40"/>
    <w:rsid w:val="001827A3"/>
    <w:rsid w:val="00185FED"/>
    <w:rsid w:val="001911F5"/>
    <w:rsid w:val="0019372F"/>
    <w:rsid w:val="00193B98"/>
    <w:rsid w:val="0019599F"/>
    <w:rsid w:val="001967AF"/>
    <w:rsid w:val="001A28CA"/>
    <w:rsid w:val="001A2F04"/>
    <w:rsid w:val="001A5621"/>
    <w:rsid w:val="001B10CC"/>
    <w:rsid w:val="001B2B49"/>
    <w:rsid w:val="001B471D"/>
    <w:rsid w:val="001B4AC9"/>
    <w:rsid w:val="001B654F"/>
    <w:rsid w:val="001C0BC3"/>
    <w:rsid w:val="001D09DD"/>
    <w:rsid w:val="001D5E6B"/>
    <w:rsid w:val="001D7ACD"/>
    <w:rsid w:val="001E05AF"/>
    <w:rsid w:val="001E169B"/>
    <w:rsid w:val="001E3F09"/>
    <w:rsid w:val="001E46F6"/>
    <w:rsid w:val="001E5369"/>
    <w:rsid w:val="001F0A70"/>
    <w:rsid w:val="001F39C1"/>
    <w:rsid w:val="001F595D"/>
    <w:rsid w:val="001F5B99"/>
    <w:rsid w:val="001F5E17"/>
    <w:rsid w:val="001F7A10"/>
    <w:rsid w:val="00204FD0"/>
    <w:rsid w:val="00206EBE"/>
    <w:rsid w:val="002128DA"/>
    <w:rsid w:val="002201EF"/>
    <w:rsid w:val="002235F2"/>
    <w:rsid w:val="00226A59"/>
    <w:rsid w:val="00227028"/>
    <w:rsid w:val="0022733A"/>
    <w:rsid w:val="002275AC"/>
    <w:rsid w:val="00231F40"/>
    <w:rsid w:val="0023385E"/>
    <w:rsid w:val="00234C16"/>
    <w:rsid w:val="002378C1"/>
    <w:rsid w:val="00240DFC"/>
    <w:rsid w:val="00241B36"/>
    <w:rsid w:val="00241FAE"/>
    <w:rsid w:val="00243E14"/>
    <w:rsid w:val="00244230"/>
    <w:rsid w:val="00244CF8"/>
    <w:rsid w:val="002455B9"/>
    <w:rsid w:val="00247D01"/>
    <w:rsid w:val="00250F1D"/>
    <w:rsid w:val="0025249C"/>
    <w:rsid w:val="0025354D"/>
    <w:rsid w:val="002535AD"/>
    <w:rsid w:val="00255264"/>
    <w:rsid w:val="0025650A"/>
    <w:rsid w:val="00257E98"/>
    <w:rsid w:val="0026302A"/>
    <w:rsid w:val="00264ECC"/>
    <w:rsid w:val="00265487"/>
    <w:rsid w:val="002666C4"/>
    <w:rsid w:val="00266860"/>
    <w:rsid w:val="0027334F"/>
    <w:rsid w:val="00274D3C"/>
    <w:rsid w:val="0027761E"/>
    <w:rsid w:val="00280B36"/>
    <w:rsid w:val="0028261E"/>
    <w:rsid w:val="00283E6C"/>
    <w:rsid w:val="00284E94"/>
    <w:rsid w:val="002876F5"/>
    <w:rsid w:val="00287EBE"/>
    <w:rsid w:val="002929F3"/>
    <w:rsid w:val="00294ACD"/>
    <w:rsid w:val="00295A54"/>
    <w:rsid w:val="00297533"/>
    <w:rsid w:val="002A1335"/>
    <w:rsid w:val="002A17CE"/>
    <w:rsid w:val="002A5AE5"/>
    <w:rsid w:val="002A60B8"/>
    <w:rsid w:val="002A6582"/>
    <w:rsid w:val="002A6EAA"/>
    <w:rsid w:val="002B0188"/>
    <w:rsid w:val="002B5546"/>
    <w:rsid w:val="002B62A4"/>
    <w:rsid w:val="002C13F3"/>
    <w:rsid w:val="002D0A9B"/>
    <w:rsid w:val="002D2CDA"/>
    <w:rsid w:val="002D7A0A"/>
    <w:rsid w:val="002D7D76"/>
    <w:rsid w:val="002E02C1"/>
    <w:rsid w:val="002E295B"/>
    <w:rsid w:val="002E33A2"/>
    <w:rsid w:val="002E550F"/>
    <w:rsid w:val="002E5E76"/>
    <w:rsid w:val="002E6AEF"/>
    <w:rsid w:val="002F0673"/>
    <w:rsid w:val="002F0B7F"/>
    <w:rsid w:val="002F1ED8"/>
    <w:rsid w:val="002F27A5"/>
    <w:rsid w:val="002F3448"/>
    <w:rsid w:val="002F4768"/>
    <w:rsid w:val="002F54A3"/>
    <w:rsid w:val="002F556C"/>
    <w:rsid w:val="002F5848"/>
    <w:rsid w:val="002F687B"/>
    <w:rsid w:val="002F7BDF"/>
    <w:rsid w:val="00301DC9"/>
    <w:rsid w:val="00302746"/>
    <w:rsid w:val="003035FC"/>
    <w:rsid w:val="00305F3A"/>
    <w:rsid w:val="00307078"/>
    <w:rsid w:val="00312412"/>
    <w:rsid w:val="0031368B"/>
    <w:rsid w:val="00313AFD"/>
    <w:rsid w:val="00314E88"/>
    <w:rsid w:val="0031773F"/>
    <w:rsid w:val="00323DAC"/>
    <w:rsid w:val="00325F70"/>
    <w:rsid w:val="003308AC"/>
    <w:rsid w:val="00331B5D"/>
    <w:rsid w:val="00334D1C"/>
    <w:rsid w:val="003454AA"/>
    <w:rsid w:val="00347A46"/>
    <w:rsid w:val="00351F32"/>
    <w:rsid w:val="00354B9C"/>
    <w:rsid w:val="00357F15"/>
    <w:rsid w:val="0036192C"/>
    <w:rsid w:val="0036199E"/>
    <w:rsid w:val="00363609"/>
    <w:rsid w:val="0036600C"/>
    <w:rsid w:val="00366367"/>
    <w:rsid w:val="0037560C"/>
    <w:rsid w:val="00375C93"/>
    <w:rsid w:val="00376190"/>
    <w:rsid w:val="00376D74"/>
    <w:rsid w:val="00380556"/>
    <w:rsid w:val="00391106"/>
    <w:rsid w:val="003923C4"/>
    <w:rsid w:val="00395CCD"/>
    <w:rsid w:val="003A1F45"/>
    <w:rsid w:val="003A773C"/>
    <w:rsid w:val="003B280E"/>
    <w:rsid w:val="003B2E93"/>
    <w:rsid w:val="003C0DCF"/>
    <w:rsid w:val="003C1F50"/>
    <w:rsid w:val="003C2CF2"/>
    <w:rsid w:val="003C3EEC"/>
    <w:rsid w:val="003C7574"/>
    <w:rsid w:val="003D2F67"/>
    <w:rsid w:val="003D3061"/>
    <w:rsid w:val="003D3839"/>
    <w:rsid w:val="003E061A"/>
    <w:rsid w:val="003E0A8F"/>
    <w:rsid w:val="003E369F"/>
    <w:rsid w:val="003E5E20"/>
    <w:rsid w:val="003E643B"/>
    <w:rsid w:val="003F072B"/>
    <w:rsid w:val="003F2896"/>
    <w:rsid w:val="003F4716"/>
    <w:rsid w:val="003F4E3F"/>
    <w:rsid w:val="003F5844"/>
    <w:rsid w:val="003F61B5"/>
    <w:rsid w:val="003F6BDA"/>
    <w:rsid w:val="003F7EB4"/>
    <w:rsid w:val="0040082A"/>
    <w:rsid w:val="00401DF2"/>
    <w:rsid w:val="00402ED1"/>
    <w:rsid w:val="00404213"/>
    <w:rsid w:val="004046A1"/>
    <w:rsid w:val="00410F1B"/>
    <w:rsid w:val="00412B86"/>
    <w:rsid w:val="00412EE8"/>
    <w:rsid w:val="00416BFF"/>
    <w:rsid w:val="00417CBD"/>
    <w:rsid w:val="004202CF"/>
    <w:rsid w:val="0042126B"/>
    <w:rsid w:val="00423AC9"/>
    <w:rsid w:val="00425BF3"/>
    <w:rsid w:val="00425F35"/>
    <w:rsid w:val="004313DF"/>
    <w:rsid w:val="00433B99"/>
    <w:rsid w:val="0043452E"/>
    <w:rsid w:val="00435EAE"/>
    <w:rsid w:val="0044115A"/>
    <w:rsid w:val="0044208A"/>
    <w:rsid w:val="0044326B"/>
    <w:rsid w:val="00454ADA"/>
    <w:rsid w:val="00454D02"/>
    <w:rsid w:val="00454D9A"/>
    <w:rsid w:val="00460A90"/>
    <w:rsid w:val="004654DC"/>
    <w:rsid w:val="00466F75"/>
    <w:rsid w:val="004779CD"/>
    <w:rsid w:val="00483982"/>
    <w:rsid w:val="00486F92"/>
    <w:rsid w:val="00492084"/>
    <w:rsid w:val="004975C3"/>
    <w:rsid w:val="004A4749"/>
    <w:rsid w:val="004A6A21"/>
    <w:rsid w:val="004B0349"/>
    <w:rsid w:val="004B69CF"/>
    <w:rsid w:val="004B79B4"/>
    <w:rsid w:val="004C32E6"/>
    <w:rsid w:val="004C5508"/>
    <w:rsid w:val="004D0AC8"/>
    <w:rsid w:val="004D16CA"/>
    <w:rsid w:val="004D5050"/>
    <w:rsid w:val="004E15A1"/>
    <w:rsid w:val="004E3C4B"/>
    <w:rsid w:val="004E416D"/>
    <w:rsid w:val="004E72E0"/>
    <w:rsid w:val="004F1DB4"/>
    <w:rsid w:val="004F2B12"/>
    <w:rsid w:val="004F4835"/>
    <w:rsid w:val="00500609"/>
    <w:rsid w:val="005006FC"/>
    <w:rsid w:val="00501945"/>
    <w:rsid w:val="00502460"/>
    <w:rsid w:val="00503A0C"/>
    <w:rsid w:val="00504030"/>
    <w:rsid w:val="005068AC"/>
    <w:rsid w:val="00513B6A"/>
    <w:rsid w:val="005211EE"/>
    <w:rsid w:val="00521B05"/>
    <w:rsid w:val="005227FE"/>
    <w:rsid w:val="00524D10"/>
    <w:rsid w:val="00532ED6"/>
    <w:rsid w:val="00533412"/>
    <w:rsid w:val="00534679"/>
    <w:rsid w:val="00537AF3"/>
    <w:rsid w:val="00542778"/>
    <w:rsid w:val="00545785"/>
    <w:rsid w:val="00550810"/>
    <w:rsid w:val="005544A3"/>
    <w:rsid w:val="00554B4D"/>
    <w:rsid w:val="0055707E"/>
    <w:rsid w:val="00557319"/>
    <w:rsid w:val="00557D18"/>
    <w:rsid w:val="00560F85"/>
    <w:rsid w:val="00565598"/>
    <w:rsid w:val="00570706"/>
    <w:rsid w:val="00572FEB"/>
    <w:rsid w:val="005757E3"/>
    <w:rsid w:val="00580CE1"/>
    <w:rsid w:val="00582019"/>
    <w:rsid w:val="005836E0"/>
    <w:rsid w:val="0058390A"/>
    <w:rsid w:val="005872C8"/>
    <w:rsid w:val="00587FF1"/>
    <w:rsid w:val="00591AFF"/>
    <w:rsid w:val="00595A3F"/>
    <w:rsid w:val="005A12E2"/>
    <w:rsid w:val="005A1A80"/>
    <w:rsid w:val="005A4FF8"/>
    <w:rsid w:val="005B0D5B"/>
    <w:rsid w:val="005B4624"/>
    <w:rsid w:val="005B4D17"/>
    <w:rsid w:val="005C1176"/>
    <w:rsid w:val="005C22B8"/>
    <w:rsid w:val="005C302D"/>
    <w:rsid w:val="005D0728"/>
    <w:rsid w:val="005D3ACC"/>
    <w:rsid w:val="005D4738"/>
    <w:rsid w:val="005D6DB1"/>
    <w:rsid w:val="005D7810"/>
    <w:rsid w:val="005E19F4"/>
    <w:rsid w:val="005E71E1"/>
    <w:rsid w:val="005F1658"/>
    <w:rsid w:val="00602358"/>
    <w:rsid w:val="006023FF"/>
    <w:rsid w:val="00610226"/>
    <w:rsid w:val="006112FC"/>
    <w:rsid w:val="00612652"/>
    <w:rsid w:val="006172FB"/>
    <w:rsid w:val="00625E69"/>
    <w:rsid w:val="00627A2B"/>
    <w:rsid w:val="006331E5"/>
    <w:rsid w:val="00633718"/>
    <w:rsid w:val="00634FE4"/>
    <w:rsid w:val="006362A8"/>
    <w:rsid w:val="0064273F"/>
    <w:rsid w:val="006444D5"/>
    <w:rsid w:val="00645D07"/>
    <w:rsid w:val="00646A3B"/>
    <w:rsid w:val="006504FE"/>
    <w:rsid w:val="0065079C"/>
    <w:rsid w:val="00650D95"/>
    <w:rsid w:val="006579C6"/>
    <w:rsid w:val="00657AA0"/>
    <w:rsid w:val="006708F9"/>
    <w:rsid w:val="00670B84"/>
    <w:rsid w:val="00671288"/>
    <w:rsid w:val="00672D86"/>
    <w:rsid w:val="006737EE"/>
    <w:rsid w:val="006754F3"/>
    <w:rsid w:val="00676165"/>
    <w:rsid w:val="006764E4"/>
    <w:rsid w:val="006808E4"/>
    <w:rsid w:val="00680B5D"/>
    <w:rsid w:val="006818A9"/>
    <w:rsid w:val="00685810"/>
    <w:rsid w:val="006937A1"/>
    <w:rsid w:val="00693CB3"/>
    <w:rsid w:val="00695CF5"/>
    <w:rsid w:val="0069641F"/>
    <w:rsid w:val="0069682A"/>
    <w:rsid w:val="006A2E3D"/>
    <w:rsid w:val="006A2F7F"/>
    <w:rsid w:val="006A35EA"/>
    <w:rsid w:val="006A44D1"/>
    <w:rsid w:val="006A578D"/>
    <w:rsid w:val="006A5CD4"/>
    <w:rsid w:val="006B01A1"/>
    <w:rsid w:val="006B184E"/>
    <w:rsid w:val="006B2B6B"/>
    <w:rsid w:val="006B6225"/>
    <w:rsid w:val="006B664F"/>
    <w:rsid w:val="006B7BFE"/>
    <w:rsid w:val="006C419F"/>
    <w:rsid w:val="006C4287"/>
    <w:rsid w:val="006C4B57"/>
    <w:rsid w:val="006C5005"/>
    <w:rsid w:val="006C5F55"/>
    <w:rsid w:val="006C6AEA"/>
    <w:rsid w:val="006D5A07"/>
    <w:rsid w:val="006D61A8"/>
    <w:rsid w:val="006E0E51"/>
    <w:rsid w:val="006E1543"/>
    <w:rsid w:val="006E32D4"/>
    <w:rsid w:val="006E5F3C"/>
    <w:rsid w:val="006E735C"/>
    <w:rsid w:val="006F0E66"/>
    <w:rsid w:val="006F303A"/>
    <w:rsid w:val="006F41D3"/>
    <w:rsid w:val="006F48BC"/>
    <w:rsid w:val="006F517F"/>
    <w:rsid w:val="00702263"/>
    <w:rsid w:val="0070360F"/>
    <w:rsid w:val="00706264"/>
    <w:rsid w:val="007115EE"/>
    <w:rsid w:val="00711B3B"/>
    <w:rsid w:val="007161EB"/>
    <w:rsid w:val="007218C5"/>
    <w:rsid w:val="007239E8"/>
    <w:rsid w:val="0072609A"/>
    <w:rsid w:val="007314AB"/>
    <w:rsid w:val="00733250"/>
    <w:rsid w:val="00735843"/>
    <w:rsid w:val="00737DA8"/>
    <w:rsid w:val="00742EFE"/>
    <w:rsid w:val="007437B0"/>
    <w:rsid w:val="00746FED"/>
    <w:rsid w:val="007525FC"/>
    <w:rsid w:val="00755B7A"/>
    <w:rsid w:val="00756335"/>
    <w:rsid w:val="00761998"/>
    <w:rsid w:val="0076235D"/>
    <w:rsid w:val="007637B5"/>
    <w:rsid w:val="00763CDC"/>
    <w:rsid w:val="00764D8F"/>
    <w:rsid w:val="00777926"/>
    <w:rsid w:val="007905CF"/>
    <w:rsid w:val="00792C48"/>
    <w:rsid w:val="00793595"/>
    <w:rsid w:val="007A1312"/>
    <w:rsid w:val="007A25F0"/>
    <w:rsid w:val="007A3936"/>
    <w:rsid w:val="007A3D7C"/>
    <w:rsid w:val="007A6737"/>
    <w:rsid w:val="007A6BD7"/>
    <w:rsid w:val="007B10BC"/>
    <w:rsid w:val="007B13BA"/>
    <w:rsid w:val="007B2A4A"/>
    <w:rsid w:val="007B2B4A"/>
    <w:rsid w:val="007B2F1F"/>
    <w:rsid w:val="007B6C3C"/>
    <w:rsid w:val="007C0BDB"/>
    <w:rsid w:val="007C1039"/>
    <w:rsid w:val="007C63D5"/>
    <w:rsid w:val="007C7895"/>
    <w:rsid w:val="007C7B00"/>
    <w:rsid w:val="007D0F38"/>
    <w:rsid w:val="007D108B"/>
    <w:rsid w:val="007D261F"/>
    <w:rsid w:val="007D3DEE"/>
    <w:rsid w:val="007D6A27"/>
    <w:rsid w:val="007E01A6"/>
    <w:rsid w:val="007E0BC1"/>
    <w:rsid w:val="007E28A4"/>
    <w:rsid w:val="007E3F7C"/>
    <w:rsid w:val="007E6419"/>
    <w:rsid w:val="007F06A5"/>
    <w:rsid w:val="007F1598"/>
    <w:rsid w:val="007F1BEC"/>
    <w:rsid w:val="007F5287"/>
    <w:rsid w:val="007F5E0C"/>
    <w:rsid w:val="007F65D4"/>
    <w:rsid w:val="007F7386"/>
    <w:rsid w:val="007F73D0"/>
    <w:rsid w:val="008036EA"/>
    <w:rsid w:val="00810208"/>
    <w:rsid w:val="00817182"/>
    <w:rsid w:val="00817D65"/>
    <w:rsid w:val="0082323D"/>
    <w:rsid w:val="00824198"/>
    <w:rsid w:val="0082568F"/>
    <w:rsid w:val="00826169"/>
    <w:rsid w:val="0082734B"/>
    <w:rsid w:val="00830AE8"/>
    <w:rsid w:val="00834113"/>
    <w:rsid w:val="00837E20"/>
    <w:rsid w:val="008405C2"/>
    <w:rsid w:val="00842543"/>
    <w:rsid w:val="008443C6"/>
    <w:rsid w:val="00844711"/>
    <w:rsid w:val="008464BD"/>
    <w:rsid w:val="00846C2F"/>
    <w:rsid w:val="0084703A"/>
    <w:rsid w:val="00852BD9"/>
    <w:rsid w:val="00861728"/>
    <w:rsid w:val="0086292F"/>
    <w:rsid w:val="0086352B"/>
    <w:rsid w:val="008717D7"/>
    <w:rsid w:val="00873463"/>
    <w:rsid w:val="00874303"/>
    <w:rsid w:val="008765C5"/>
    <w:rsid w:val="0087733A"/>
    <w:rsid w:val="00882CE4"/>
    <w:rsid w:val="0088401B"/>
    <w:rsid w:val="00884B9D"/>
    <w:rsid w:val="00885A3B"/>
    <w:rsid w:val="00885C8B"/>
    <w:rsid w:val="008879C9"/>
    <w:rsid w:val="00891402"/>
    <w:rsid w:val="00891D8C"/>
    <w:rsid w:val="0089248C"/>
    <w:rsid w:val="008928AF"/>
    <w:rsid w:val="00893613"/>
    <w:rsid w:val="008938A6"/>
    <w:rsid w:val="00893B6F"/>
    <w:rsid w:val="00895F7C"/>
    <w:rsid w:val="00897536"/>
    <w:rsid w:val="008A1448"/>
    <w:rsid w:val="008A3AD7"/>
    <w:rsid w:val="008A49D9"/>
    <w:rsid w:val="008B2ED4"/>
    <w:rsid w:val="008B44DD"/>
    <w:rsid w:val="008C041B"/>
    <w:rsid w:val="008C70E1"/>
    <w:rsid w:val="008D05B6"/>
    <w:rsid w:val="008D1A03"/>
    <w:rsid w:val="008D2799"/>
    <w:rsid w:val="008E0320"/>
    <w:rsid w:val="008E05D9"/>
    <w:rsid w:val="008E14B1"/>
    <w:rsid w:val="008F314A"/>
    <w:rsid w:val="008F408D"/>
    <w:rsid w:val="008F59AD"/>
    <w:rsid w:val="00900EFB"/>
    <w:rsid w:val="00906395"/>
    <w:rsid w:val="00907F51"/>
    <w:rsid w:val="009126F0"/>
    <w:rsid w:val="0091293F"/>
    <w:rsid w:val="009140F6"/>
    <w:rsid w:val="0091607B"/>
    <w:rsid w:val="009212E3"/>
    <w:rsid w:val="00921394"/>
    <w:rsid w:val="00922941"/>
    <w:rsid w:val="00923FC8"/>
    <w:rsid w:val="00925AF7"/>
    <w:rsid w:val="0092712D"/>
    <w:rsid w:val="00927A82"/>
    <w:rsid w:val="00932B9F"/>
    <w:rsid w:val="00935133"/>
    <w:rsid w:val="00942105"/>
    <w:rsid w:val="00942647"/>
    <w:rsid w:val="00956553"/>
    <w:rsid w:val="00956F44"/>
    <w:rsid w:val="00961AD8"/>
    <w:rsid w:val="00967139"/>
    <w:rsid w:val="00970E60"/>
    <w:rsid w:val="00972BA7"/>
    <w:rsid w:val="00973033"/>
    <w:rsid w:val="00974FD8"/>
    <w:rsid w:val="009768F8"/>
    <w:rsid w:val="00977107"/>
    <w:rsid w:val="009777BB"/>
    <w:rsid w:val="00977AB9"/>
    <w:rsid w:val="009809AB"/>
    <w:rsid w:val="0098171F"/>
    <w:rsid w:val="00982E48"/>
    <w:rsid w:val="0098470E"/>
    <w:rsid w:val="0098717A"/>
    <w:rsid w:val="009877A3"/>
    <w:rsid w:val="00987BFB"/>
    <w:rsid w:val="009913B3"/>
    <w:rsid w:val="00992DCE"/>
    <w:rsid w:val="009969BE"/>
    <w:rsid w:val="009971D4"/>
    <w:rsid w:val="009A2B59"/>
    <w:rsid w:val="009A72FC"/>
    <w:rsid w:val="009B4228"/>
    <w:rsid w:val="009B5E0F"/>
    <w:rsid w:val="009B6F48"/>
    <w:rsid w:val="009C0B04"/>
    <w:rsid w:val="009C0ECB"/>
    <w:rsid w:val="009C1BE7"/>
    <w:rsid w:val="009D1486"/>
    <w:rsid w:val="009D292B"/>
    <w:rsid w:val="009D5BD6"/>
    <w:rsid w:val="009D5D87"/>
    <w:rsid w:val="009E2085"/>
    <w:rsid w:val="009E4FB1"/>
    <w:rsid w:val="009E64FD"/>
    <w:rsid w:val="009F2D90"/>
    <w:rsid w:val="009F3C2C"/>
    <w:rsid w:val="009F7EF3"/>
    <w:rsid w:val="00A00B42"/>
    <w:rsid w:val="00A06E8F"/>
    <w:rsid w:val="00A07F3E"/>
    <w:rsid w:val="00A1021A"/>
    <w:rsid w:val="00A10FFB"/>
    <w:rsid w:val="00A12F3B"/>
    <w:rsid w:val="00A2160A"/>
    <w:rsid w:val="00A21D45"/>
    <w:rsid w:val="00A22A2C"/>
    <w:rsid w:val="00A22A71"/>
    <w:rsid w:val="00A22D07"/>
    <w:rsid w:val="00A231B2"/>
    <w:rsid w:val="00A241C4"/>
    <w:rsid w:val="00A253B8"/>
    <w:rsid w:val="00A25999"/>
    <w:rsid w:val="00A27C30"/>
    <w:rsid w:val="00A33D66"/>
    <w:rsid w:val="00A34C53"/>
    <w:rsid w:val="00A36DDF"/>
    <w:rsid w:val="00A37317"/>
    <w:rsid w:val="00A4031B"/>
    <w:rsid w:val="00A46E9C"/>
    <w:rsid w:val="00A524CD"/>
    <w:rsid w:val="00A54257"/>
    <w:rsid w:val="00A5434C"/>
    <w:rsid w:val="00A56992"/>
    <w:rsid w:val="00A571C8"/>
    <w:rsid w:val="00A65120"/>
    <w:rsid w:val="00A66ADC"/>
    <w:rsid w:val="00A7267C"/>
    <w:rsid w:val="00A72E85"/>
    <w:rsid w:val="00A73880"/>
    <w:rsid w:val="00A771BD"/>
    <w:rsid w:val="00A77926"/>
    <w:rsid w:val="00A80AFA"/>
    <w:rsid w:val="00A867EB"/>
    <w:rsid w:val="00A875F0"/>
    <w:rsid w:val="00A93B8B"/>
    <w:rsid w:val="00A93E39"/>
    <w:rsid w:val="00A93E51"/>
    <w:rsid w:val="00A94237"/>
    <w:rsid w:val="00AA0B6B"/>
    <w:rsid w:val="00AA52E9"/>
    <w:rsid w:val="00AA7A1B"/>
    <w:rsid w:val="00AB15B8"/>
    <w:rsid w:val="00AB2F7D"/>
    <w:rsid w:val="00AB7D5C"/>
    <w:rsid w:val="00AC0558"/>
    <w:rsid w:val="00AC0817"/>
    <w:rsid w:val="00AC0D2A"/>
    <w:rsid w:val="00AC0FB9"/>
    <w:rsid w:val="00AC4077"/>
    <w:rsid w:val="00AC68A0"/>
    <w:rsid w:val="00AD0A9D"/>
    <w:rsid w:val="00AD4E53"/>
    <w:rsid w:val="00AD6029"/>
    <w:rsid w:val="00AE12FC"/>
    <w:rsid w:val="00AE1D98"/>
    <w:rsid w:val="00AE3EF0"/>
    <w:rsid w:val="00AE4275"/>
    <w:rsid w:val="00AF0391"/>
    <w:rsid w:val="00AF147B"/>
    <w:rsid w:val="00AF45AF"/>
    <w:rsid w:val="00AF54C0"/>
    <w:rsid w:val="00AF69BD"/>
    <w:rsid w:val="00B01338"/>
    <w:rsid w:val="00B0307F"/>
    <w:rsid w:val="00B040C1"/>
    <w:rsid w:val="00B048DC"/>
    <w:rsid w:val="00B049F6"/>
    <w:rsid w:val="00B15756"/>
    <w:rsid w:val="00B15F4C"/>
    <w:rsid w:val="00B20F8E"/>
    <w:rsid w:val="00B235DA"/>
    <w:rsid w:val="00B269E6"/>
    <w:rsid w:val="00B310DB"/>
    <w:rsid w:val="00B340DA"/>
    <w:rsid w:val="00B349C6"/>
    <w:rsid w:val="00B37828"/>
    <w:rsid w:val="00B40717"/>
    <w:rsid w:val="00B415C9"/>
    <w:rsid w:val="00B432CD"/>
    <w:rsid w:val="00B4461D"/>
    <w:rsid w:val="00B44F31"/>
    <w:rsid w:val="00B46987"/>
    <w:rsid w:val="00B503DE"/>
    <w:rsid w:val="00B55E8C"/>
    <w:rsid w:val="00B568BD"/>
    <w:rsid w:val="00B60A11"/>
    <w:rsid w:val="00B62B54"/>
    <w:rsid w:val="00B640E7"/>
    <w:rsid w:val="00B643B8"/>
    <w:rsid w:val="00B70254"/>
    <w:rsid w:val="00B70726"/>
    <w:rsid w:val="00B76466"/>
    <w:rsid w:val="00B77970"/>
    <w:rsid w:val="00B82A75"/>
    <w:rsid w:val="00B841E4"/>
    <w:rsid w:val="00B849CA"/>
    <w:rsid w:val="00B87F83"/>
    <w:rsid w:val="00B91E8F"/>
    <w:rsid w:val="00B92F7A"/>
    <w:rsid w:val="00BA1086"/>
    <w:rsid w:val="00BA3B39"/>
    <w:rsid w:val="00BA72DC"/>
    <w:rsid w:val="00BB3536"/>
    <w:rsid w:val="00BB49B2"/>
    <w:rsid w:val="00BB73AF"/>
    <w:rsid w:val="00BC1E0C"/>
    <w:rsid w:val="00BC31F7"/>
    <w:rsid w:val="00BC7160"/>
    <w:rsid w:val="00BC7B99"/>
    <w:rsid w:val="00BD166C"/>
    <w:rsid w:val="00BE16B1"/>
    <w:rsid w:val="00BE377D"/>
    <w:rsid w:val="00BE6637"/>
    <w:rsid w:val="00BF0E7F"/>
    <w:rsid w:val="00BF4294"/>
    <w:rsid w:val="00BF43E5"/>
    <w:rsid w:val="00BF5CAD"/>
    <w:rsid w:val="00C016BE"/>
    <w:rsid w:val="00C06AEC"/>
    <w:rsid w:val="00C07F0B"/>
    <w:rsid w:val="00C07FE5"/>
    <w:rsid w:val="00C10661"/>
    <w:rsid w:val="00C107FC"/>
    <w:rsid w:val="00C108C6"/>
    <w:rsid w:val="00C10DB0"/>
    <w:rsid w:val="00C119ED"/>
    <w:rsid w:val="00C12EDA"/>
    <w:rsid w:val="00C13532"/>
    <w:rsid w:val="00C14401"/>
    <w:rsid w:val="00C20308"/>
    <w:rsid w:val="00C23235"/>
    <w:rsid w:val="00C27F02"/>
    <w:rsid w:val="00C3213D"/>
    <w:rsid w:val="00C339E4"/>
    <w:rsid w:val="00C40F46"/>
    <w:rsid w:val="00C42AD4"/>
    <w:rsid w:val="00C4309F"/>
    <w:rsid w:val="00C455C6"/>
    <w:rsid w:val="00C45FA9"/>
    <w:rsid w:val="00C465A9"/>
    <w:rsid w:val="00C47404"/>
    <w:rsid w:val="00C56AA8"/>
    <w:rsid w:val="00C57520"/>
    <w:rsid w:val="00C60FB5"/>
    <w:rsid w:val="00C62066"/>
    <w:rsid w:val="00C64254"/>
    <w:rsid w:val="00C64C9A"/>
    <w:rsid w:val="00C66303"/>
    <w:rsid w:val="00C66E2D"/>
    <w:rsid w:val="00C71693"/>
    <w:rsid w:val="00C73D0D"/>
    <w:rsid w:val="00C7430B"/>
    <w:rsid w:val="00C74328"/>
    <w:rsid w:val="00C74C74"/>
    <w:rsid w:val="00C75744"/>
    <w:rsid w:val="00C75E6F"/>
    <w:rsid w:val="00C761E6"/>
    <w:rsid w:val="00C80A78"/>
    <w:rsid w:val="00C80F23"/>
    <w:rsid w:val="00C854A1"/>
    <w:rsid w:val="00C859B0"/>
    <w:rsid w:val="00C86A55"/>
    <w:rsid w:val="00C86B99"/>
    <w:rsid w:val="00C9025B"/>
    <w:rsid w:val="00C97C35"/>
    <w:rsid w:val="00CA4AAE"/>
    <w:rsid w:val="00CB068E"/>
    <w:rsid w:val="00CB169B"/>
    <w:rsid w:val="00CB2B64"/>
    <w:rsid w:val="00CB2B7C"/>
    <w:rsid w:val="00CB48AC"/>
    <w:rsid w:val="00CB5E99"/>
    <w:rsid w:val="00CC00D4"/>
    <w:rsid w:val="00CC2FCC"/>
    <w:rsid w:val="00CC62A8"/>
    <w:rsid w:val="00CD3233"/>
    <w:rsid w:val="00CD4340"/>
    <w:rsid w:val="00CD48AC"/>
    <w:rsid w:val="00CD72E7"/>
    <w:rsid w:val="00CD79FA"/>
    <w:rsid w:val="00CE0FAA"/>
    <w:rsid w:val="00CE4690"/>
    <w:rsid w:val="00CE6911"/>
    <w:rsid w:val="00CF089D"/>
    <w:rsid w:val="00CF598F"/>
    <w:rsid w:val="00CF77B9"/>
    <w:rsid w:val="00D00443"/>
    <w:rsid w:val="00D00691"/>
    <w:rsid w:val="00D00B25"/>
    <w:rsid w:val="00D01B39"/>
    <w:rsid w:val="00D02BB9"/>
    <w:rsid w:val="00D05914"/>
    <w:rsid w:val="00D0609E"/>
    <w:rsid w:val="00D10507"/>
    <w:rsid w:val="00D11F7D"/>
    <w:rsid w:val="00D12C49"/>
    <w:rsid w:val="00D20980"/>
    <w:rsid w:val="00D21B37"/>
    <w:rsid w:val="00D23812"/>
    <w:rsid w:val="00D25113"/>
    <w:rsid w:val="00D27F59"/>
    <w:rsid w:val="00D27F65"/>
    <w:rsid w:val="00D30DC9"/>
    <w:rsid w:val="00D3407E"/>
    <w:rsid w:val="00D3546A"/>
    <w:rsid w:val="00D356FF"/>
    <w:rsid w:val="00D37559"/>
    <w:rsid w:val="00D4300F"/>
    <w:rsid w:val="00D43FA1"/>
    <w:rsid w:val="00D4552F"/>
    <w:rsid w:val="00D47514"/>
    <w:rsid w:val="00D47EE6"/>
    <w:rsid w:val="00D510AC"/>
    <w:rsid w:val="00D513EF"/>
    <w:rsid w:val="00D539DF"/>
    <w:rsid w:val="00D56C3D"/>
    <w:rsid w:val="00D56C5F"/>
    <w:rsid w:val="00D56E02"/>
    <w:rsid w:val="00D57D67"/>
    <w:rsid w:val="00D60EED"/>
    <w:rsid w:val="00D6121C"/>
    <w:rsid w:val="00D61FA7"/>
    <w:rsid w:val="00D62AA5"/>
    <w:rsid w:val="00D64ED7"/>
    <w:rsid w:val="00D701EB"/>
    <w:rsid w:val="00D70ABA"/>
    <w:rsid w:val="00D7191C"/>
    <w:rsid w:val="00D767D7"/>
    <w:rsid w:val="00D77D9F"/>
    <w:rsid w:val="00D8525F"/>
    <w:rsid w:val="00D878EA"/>
    <w:rsid w:val="00D92621"/>
    <w:rsid w:val="00D95BBC"/>
    <w:rsid w:val="00DA55F6"/>
    <w:rsid w:val="00DA7A9F"/>
    <w:rsid w:val="00DB01DD"/>
    <w:rsid w:val="00DB0F34"/>
    <w:rsid w:val="00DB13D5"/>
    <w:rsid w:val="00DB1458"/>
    <w:rsid w:val="00DB19D9"/>
    <w:rsid w:val="00DB38B5"/>
    <w:rsid w:val="00DB3CF9"/>
    <w:rsid w:val="00DC00C7"/>
    <w:rsid w:val="00DC1531"/>
    <w:rsid w:val="00DC2157"/>
    <w:rsid w:val="00DC2C36"/>
    <w:rsid w:val="00DC36D5"/>
    <w:rsid w:val="00DC380F"/>
    <w:rsid w:val="00DC401B"/>
    <w:rsid w:val="00DC4992"/>
    <w:rsid w:val="00DD1A0D"/>
    <w:rsid w:val="00DD71AC"/>
    <w:rsid w:val="00DE03A2"/>
    <w:rsid w:val="00DE24D8"/>
    <w:rsid w:val="00DE7695"/>
    <w:rsid w:val="00DF0740"/>
    <w:rsid w:val="00DF477E"/>
    <w:rsid w:val="00DF4E86"/>
    <w:rsid w:val="00DF53DA"/>
    <w:rsid w:val="00DF7321"/>
    <w:rsid w:val="00DF781E"/>
    <w:rsid w:val="00E04BC7"/>
    <w:rsid w:val="00E05E20"/>
    <w:rsid w:val="00E1185F"/>
    <w:rsid w:val="00E132B2"/>
    <w:rsid w:val="00E14CCC"/>
    <w:rsid w:val="00E15C50"/>
    <w:rsid w:val="00E24156"/>
    <w:rsid w:val="00E24BD3"/>
    <w:rsid w:val="00E259E6"/>
    <w:rsid w:val="00E2699B"/>
    <w:rsid w:val="00E315B2"/>
    <w:rsid w:val="00E31DBA"/>
    <w:rsid w:val="00E322AC"/>
    <w:rsid w:val="00E333E7"/>
    <w:rsid w:val="00E33C95"/>
    <w:rsid w:val="00E34002"/>
    <w:rsid w:val="00E369A7"/>
    <w:rsid w:val="00E36DB1"/>
    <w:rsid w:val="00E41803"/>
    <w:rsid w:val="00E47946"/>
    <w:rsid w:val="00E5019C"/>
    <w:rsid w:val="00E508C1"/>
    <w:rsid w:val="00E53816"/>
    <w:rsid w:val="00E54627"/>
    <w:rsid w:val="00E54B36"/>
    <w:rsid w:val="00E55ABC"/>
    <w:rsid w:val="00E562A2"/>
    <w:rsid w:val="00E6133B"/>
    <w:rsid w:val="00E647EA"/>
    <w:rsid w:val="00E64AE6"/>
    <w:rsid w:val="00E66B13"/>
    <w:rsid w:val="00E71594"/>
    <w:rsid w:val="00E71B70"/>
    <w:rsid w:val="00E733ED"/>
    <w:rsid w:val="00E779E1"/>
    <w:rsid w:val="00E77C05"/>
    <w:rsid w:val="00E85935"/>
    <w:rsid w:val="00E8663B"/>
    <w:rsid w:val="00E94E49"/>
    <w:rsid w:val="00EA266D"/>
    <w:rsid w:val="00EA4993"/>
    <w:rsid w:val="00EB3709"/>
    <w:rsid w:val="00EB6BAB"/>
    <w:rsid w:val="00EC00AE"/>
    <w:rsid w:val="00EC0CBB"/>
    <w:rsid w:val="00EC1617"/>
    <w:rsid w:val="00EC558E"/>
    <w:rsid w:val="00EC7455"/>
    <w:rsid w:val="00ED0657"/>
    <w:rsid w:val="00ED07F3"/>
    <w:rsid w:val="00ED663D"/>
    <w:rsid w:val="00ED7B1E"/>
    <w:rsid w:val="00EE62A1"/>
    <w:rsid w:val="00EE62CE"/>
    <w:rsid w:val="00EF47B1"/>
    <w:rsid w:val="00F014BA"/>
    <w:rsid w:val="00F04411"/>
    <w:rsid w:val="00F04D45"/>
    <w:rsid w:val="00F061D0"/>
    <w:rsid w:val="00F063FD"/>
    <w:rsid w:val="00F07168"/>
    <w:rsid w:val="00F121FF"/>
    <w:rsid w:val="00F129A9"/>
    <w:rsid w:val="00F15200"/>
    <w:rsid w:val="00F16E27"/>
    <w:rsid w:val="00F170F3"/>
    <w:rsid w:val="00F2201E"/>
    <w:rsid w:val="00F23790"/>
    <w:rsid w:val="00F23F16"/>
    <w:rsid w:val="00F24484"/>
    <w:rsid w:val="00F2606D"/>
    <w:rsid w:val="00F279DE"/>
    <w:rsid w:val="00F35C02"/>
    <w:rsid w:val="00F40436"/>
    <w:rsid w:val="00F4137A"/>
    <w:rsid w:val="00F44B92"/>
    <w:rsid w:val="00F5065C"/>
    <w:rsid w:val="00F51C87"/>
    <w:rsid w:val="00F535BE"/>
    <w:rsid w:val="00F56D0C"/>
    <w:rsid w:val="00F637BF"/>
    <w:rsid w:val="00F64036"/>
    <w:rsid w:val="00F7167A"/>
    <w:rsid w:val="00F727C8"/>
    <w:rsid w:val="00F73908"/>
    <w:rsid w:val="00F80850"/>
    <w:rsid w:val="00F8576F"/>
    <w:rsid w:val="00F85FFE"/>
    <w:rsid w:val="00F907B0"/>
    <w:rsid w:val="00F9186A"/>
    <w:rsid w:val="00F91DBD"/>
    <w:rsid w:val="00F92B69"/>
    <w:rsid w:val="00F92FFA"/>
    <w:rsid w:val="00F957C5"/>
    <w:rsid w:val="00F95E71"/>
    <w:rsid w:val="00FA0EB5"/>
    <w:rsid w:val="00FA1B15"/>
    <w:rsid w:val="00FA564F"/>
    <w:rsid w:val="00FA7FE4"/>
    <w:rsid w:val="00FB17AA"/>
    <w:rsid w:val="00FB3AAE"/>
    <w:rsid w:val="00FB4098"/>
    <w:rsid w:val="00FB523D"/>
    <w:rsid w:val="00FB68F5"/>
    <w:rsid w:val="00FC4635"/>
    <w:rsid w:val="00FC68ED"/>
    <w:rsid w:val="00FD0941"/>
    <w:rsid w:val="00FD0C0F"/>
    <w:rsid w:val="00FE1333"/>
    <w:rsid w:val="00FE14FD"/>
    <w:rsid w:val="00FE1714"/>
    <w:rsid w:val="00FE657D"/>
    <w:rsid w:val="00FF0A67"/>
    <w:rsid w:val="00FF2040"/>
    <w:rsid w:val="00FF2546"/>
    <w:rsid w:val="00FF65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004A1"/>
  <w15:docId w15:val="{A66F0216-75A1-4E2C-9C3A-EDA13697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9"/>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9"/>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9"/>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9"/>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4D5"/>
    <w:rPr>
      <w:color w:val="0000FF"/>
      <w:u w:val="single"/>
    </w:rPr>
  </w:style>
  <w:style w:type="character" w:styleId="CommentReference">
    <w:name w:val="annotation reference"/>
    <w:semiHidden/>
    <w:rsid w:val="00DA7A9F"/>
    <w:rPr>
      <w:sz w:val="16"/>
      <w:szCs w:val="16"/>
    </w:rPr>
  </w:style>
  <w:style w:type="paragraph" w:styleId="CommentText">
    <w:name w:val="annotation text"/>
    <w:basedOn w:val="Normal"/>
    <w:link w:val="CommentTextChar"/>
    <w:semiHidden/>
    <w:rsid w:val="00DA7A9F"/>
    <w:pPr>
      <w:spacing w:before="0" w:after="0" w:line="360" w:lineRule="exact"/>
      <w:jc w:val="left"/>
    </w:pPr>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semiHidden/>
    <w:rsid w:val="00DA7A9F"/>
    <w:rPr>
      <w:rFonts w:ascii="Times New Roman" w:eastAsia="Times New Roman" w:hAnsi="Times New Roman" w:cs="Times New Roman"/>
      <w:sz w:val="20"/>
      <w:szCs w:val="20"/>
      <w:lang w:eastAsia="de-DE"/>
    </w:rPr>
  </w:style>
  <w:style w:type="paragraph" w:styleId="BalloonText">
    <w:name w:val="Balloon Text"/>
    <w:basedOn w:val="Normal"/>
    <w:link w:val="BalloonTextChar"/>
    <w:uiPriority w:val="99"/>
    <w:semiHidden/>
    <w:unhideWhenUsed/>
    <w:rsid w:val="00DA7A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9F"/>
    <w:rPr>
      <w:rFonts w:ascii="Tahoma" w:hAnsi="Tahoma" w:cs="Tahoma"/>
      <w:sz w:val="16"/>
      <w:szCs w:val="16"/>
    </w:rPr>
  </w:style>
  <w:style w:type="paragraph" w:customStyle="1" w:styleId="Normal-Absatz">
    <w:name w:val="Normal-Absatz"/>
    <w:basedOn w:val="Normal"/>
    <w:rsid w:val="007B13BA"/>
    <w:pPr>
      <w:spacing w:before="0" w:after="0" w:line="360" w:lineRule="auto"/>
      <w:jc w:val="left"/>
    </w:pPr>
    <w:rPr>
      <w:rFonts w:eastAsia="Times New Roman" w:cs="Times New Roman"/>
      <w:szCs w:val="20"/>
      <w:lang w:eastAsia="de-DE"/>
    </w:rPr>
  </w:style>
  <w:style w:type="paragraph" w:customStyle="1" w:styleId="CM1">
    <w:name w:val="CM1"/>
    <w:basedOn w:val="Normal"/>
    <w:next w:val="Normal"/>
    <w:uiPriority w:val="99"/>
    <w:rsid w:val="00CB5E99"/>
    <w:pPr>
      <w:autoSpaceDE w:val="0"/>
      <w:autoSpaceDN w:val="0"/>
      <w:adjustRightInd w:val="0"/>
      <w:spacing w:before="0" w:after="0"/>
      <w:jc w:val="left"/>
    </w:pPr>
    <w:rPr>
      <w:rFonts w:ascii="Times New Roman" w:eastAsia="Times New Roman" w:hAnsi="Times New Roman" w:cs="Times New Roman"/>
      <w:sz w:val="24"/>
      <w:szCs w:val="24"/>
      <w:lang w:eastAsia="de-DE"/>
    </w:rPr>
  </w:style>
  <w:style w:type="paragraph" w:styleId="CommentSubject">
    <w:name w:val="annotation subject"/>
    <w:basedOn w:val="CommentText"/>
    <w:next w:val="CommentText"/>
    <w:link w:val="CommentSubjectChar"/>
    <w:uiPriority w:val="99"/>
    <w:semiHidden/>
    <w:unhideWhenUsed/>
    <w:rsid w:val="005F1658"/>
    <w:pPr>
      <w:spacing w:before="120" w:after="120" w:line="240" w:lineRule="auto"/>
      <w:jc w:val="both"/>
    </w:pPr>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5F1658"/>
    <w:rPr>
      <w:rFonts w:ascii="Arial" w:eastAsia="Times New Roman" w:hAnsi="Arial" w:cs="Arial"/>
      <w:b/>
      <w:bCs/>
      <w:sz w:val="20"/>
      <w:szCs w:val="20"/>
      <w:lang w:eastAsia="de-DE"/>
    </w:rPr>
  </w:style>
  <w:style w:type="paragraph" w:styleId="Revision">
    <w:name w:val="Revision"/>
    <w:hidden/>
    <w:uiPriority w:val="99"/>
    <w:semiHidden/>
    <w:rsid w:val="005F1658"/>
    <w:pPr>
      <w:spacing w:after="0" w:line="240" w:lineRule="auto"/>
    </w:pPr>
    <w:rPr>
      <w:rFonts w:ascii="Arial" w:hAnsi="Arial" w:cs="Arial"/>
    </w:rPr>
  </w:style>
  <w:style w:type="paragraph" w:styleId="ListParagraph">
    <w:name w:val="List Paragraph"/>
    <w:basedOn w:val="Normal"/>
    <w:uiPriority w:val="34"/>
    <w:qFormat/>
    <w:rsid w:val="00D510AC"/>
    <w:pPr>
      <w:spacing w:before="0" w:after="0"/>
      <w:ind w:left="720"/>
      <w:jc w:val="left"/>
    </w:pPr>
    <w:rPr>
      <w:rFonts w:ascii="Times New Roman" w:hAnsi="Times New Roman" w:cs="Times New Roman"/>
      <w:sz w:val="24"/>
      <w:szCs w:val="24"/>
      <w:lang w:eastAsia="de-DE"/>
    </w:rPr>
  </w:style>
  <w:style w:type="paragraph" w:styleId="NormalWeb">
    <w:name w:val="Normal (Web)"/>
    <w:basedOn w:val="Normal"/>
    <w:uiPriority w:val="99"/>
    <w:semiHidden/>
    <w:unhideWhenUsed/>
    <w:rsid w:val="008036EA"/>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Emphasis">
    <w:name w:val="Emphasis"/>
    <w:basedOn w:val="DefaultParagraphFont"/>
    <w:uiPriority w:val="20"/>
    <w:qFormat/>
    <w:rsid w:val="00AC0558"/>
    <w:rPr>
      <w:i/>
      <w:iCs/>
    </w:rPr>
  </w:style>
  <w:style w:type="table" w:styleId="TableGrid">
    <w:name w:val="Table Grid"/>
    <w:basedOn w:val="TableNormal"/>
    <w:uiPriority w:val="59"/>
    <w:rsid w:val="004E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68F"/>
    <w:pPr>
      <w:autoSpaceDE w:val="0"/>
      <w:autoSpaceDN w:val="0"/>
      <w:adjustRightInd w:val="0"/>
      <w:spacing w:after="0" w:line="240" w:lineRule="auto"/>
    </w:pPr>
    <w:rPr>
      <w:rFonts w:ascii="MetaNormalLF-Roman" w:hAnsi="MetaNormalLF-Roman" w:cs="MetaNormalLF-Roman"/>
      <w:color w:val="000000"/>
      <w:sz w:val="24"/>
      <w:szCs w:val="24"/>
    </w:rPr>
  </w:style>
  <w:style w:type="paragraph" w:customStyle="1" w:styleId="CVUAGru">
    <w:name w:val="CVUA_Gruß"/>
    <w:basedOn w:val="Normal"/>
    <w:rsid w:val="007C7B00"/>
    <w:pPr>
      <w:tabs>
        <w:tab w:val="left" w:pos="13608"/>
      </w:tabs>
      <w:overflowPunct w:val="0"/>
      <w:autoSpaceDE w:val="0"/>
      <w:autoSpaceDN w:val="0"/>
      <w:adjustRightInd w:val="0"/>
      <w:spacing w:before="0" w:after="0" w:line="360" w:lineRule="auto"/>
      <w:jc w:val="left"/>
    </w:pPr>
    <w:rPr>
      <w:rFonts w:eastAsia="Times New Roman" w:cs="Times New Roman"/>
      <w:szCs w:val="20"/>
      <w:lang w:eastAsia="de-DE"/>
    </w:rPr>
  </w:style>
  <w:style w:type="character" w:customStyle="1" w:styleId="apple-converted-space">
    <w:name w:val="apple-converted-space"/>
    <w:basedOn w:val="DefaultParagraphFont"/>
    <w:rsid w:val="00B70726"/>
  </w:style>
  <w:style w:type="character" w:customStyle="1" w:styleId="wordmark">
    <w:name w:val="wordmark"/>
    <w:basedOn w:val="DefaultParagraphFont"/>
    <w:rsid w:val="00B70726"/>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5"/>
      </w:numPr>
      <w:spacing w:before="60" w:after="60"/>
    </w:pPr>
    <w:rPr>
      <w:sz w:val="18"/>
    </w:rPr>
  </w:style>
  <w:style w:type="paragraph" w:customStyle="1" w:styleId="TabelleListe">
    <w:name w:val="Tabelle Liste"/>
    <w:basedOn w:val="Normal"/>
    <w:rsid w:val="00A147E3"/>
    <w:pPr>
      <w:numPr>
        <w:numId w:val="16"/>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4"/>
      </w:numPr>
      <w:tabs>
        <w:tab w:val="left" w:pos="0"/>
      </w:tabs>
    </w:pPr>
  </w:style>
  <w:style w:type="paragraph" w:customStyle="1" w:styleId="ListeFolgeabsatzStufe1">
    <w:name w:val="Liste Folgeabsatz (Stufe 1)"/>
    <w:basedOn w:val="Normal"/>
    <w:rsid w:val="00A147E3"/>
    <w:pPr>
      <w:numPr>
        <w:ilvl w:val="1"/>
        <w:numId w:val="14"/>
      </w:numPr>
    </w:pPr>
  </w:style>
  <w:style w:type="paragraph" w:customStyle="1" w:styleId="ListeStufe2">
    <w:name w:val="Liste (Stufe 2)"/>
    <w:basedOn w:val="Normal"/>
    <w:rsid w:val="00A147E3"/>
    <w:pPr>
      <w:numPr>
        <w:ilvl w:val="2"/>
        <w:numId w:val="14"/>
      </w:numPr>
    </w:pPr>
  </w:style>
  <w:style w:type="paragraph" w:customStyle="1" w:styleId="ListeFolgeabsatzStufe2">
    <w:name w:val="Liste Folgeabsatz (Stufe 2)"/>
    <w:basedOn w:val="Normal"/>
    <w:rsid w:val="00A147E3"/>
    <w:pPr>
      <w:numPr>
        <w:ilvl w:val="3"/>
        <w:numId w:val="14"/>
      </w:numPr>
    </w:pPr>
  </w:style>
  <w:style w:type="paragraph" w:customStyle="1" w:styleId="ListeStufe3">
    <w:name w:val="Liste (Stufe 3)"/>
    <w:basedOn w:val="Normal"/>
    <w:rsid w:val="00A147E3"/>
    <w:pPr>
      <w:numPr>
        <w:ilvl w:val="4"/>
        <w:numId w:val="14"/>
      </w:numPr>
    </w:pPr>
  </w:style>
  <w:style w:type="paragraph" w:customStyle="1" w:styleId="ListeFolgeabsatzStufe3">
    <w:name w:val="Liste Folgeabsatz (Stufe 3)"/>
    <w:basedOn w:val="Normal"/>
    <w:rsid w:val="00A147E3"/>
    <w:pPr>
      <w:numPr>
        <w:ilvl w:val="5"/>
        <w:numId w:val="14"/>
      </w:numPr>
    </w:pPr>
  </w:style>
  <w:style w:type="paragraph" w:customStyle="1" w:styleId="ListeStufe4">
    <w:name w:val="Liste (Stufe 4)"/>
    <w:basedOn w:val="Normal"/>
    <w:rsid w:val="00A147E3"/>
    <w:pPr>
      <w:numPr>
        <w:ilvl w:val="6"/>
        <w:numId w:val="14"/>
      </w:numPr>
    </w:pPr>
  </w:style>
  <w:style w:type="paragraph" w:customStyle="1" w:styleId="ListeFolgeabsatzStufe4">
    <w:name w:val="Liste Folgeabsatz (Stufe 4)"/>
    <w:basedOn w:val="Normal"/>
    <w:rsid w:val="00A147E3"/>
    <w:pPr>
      <w:numPr>
        <w:ilvl w:val="7"/>
        <w:numId w:val="14"/>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9"/>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0"/>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1"/>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12"/>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3"/>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9"/>
      </w:numPr>
      <w:outlineLvl w:val="5"/>
    </w:pPr>
  </w:style>
  <w:style w:type="paragraph" w:customStyle="1" w:styleId="NummerierungStufe2">
    <w:name w:val="Nummerierung (Stufe 2)"/>
    <w:basedOn w:val="Normal"/>
    <w:rsid w:val="00A147E3"/>
    <w:pPr>
      <w:numPr>
        <w:ilvl w:val="4"/>
        <w:numId w:val="29"/>
      </w:numPr>
    </w:pPr>
  </w:style>
  <w:style w:type="paragraph" w:customStyle="1" w:styleId="NummerierungStufe3">
    <w:name w:val="Nummerierung (Stufe 3)"/>
    <w:basedOn w:val="Normal"/>
    <w:rsid w:val="00A147E3"/>
    <w:pPr>
      <w:numPr>
        <w:ilvl w:val="5"/>
        <w:numId w:val="29"/>
      </w:numPr>
    </w:pPr>
  </w:style>
  <w:style w:type="paragraph" w:customStyle="1" w:styleId="NummerierungStufe4">
    <w:name w:val="Nummerierung (Stufe 4)"/>
    <w:basedOn w:val="Normal"/>
    <w:rsid w:val="00A147E3"/>
    <w:pPr>
      <w:numPr>
        <w:ilvl w:val="6"/>
        <w:numId w:val="29"/>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7"/>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8"/>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0"/>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9"/>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9"/>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1"/>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32"/>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31"/>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32"/>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31"/>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32"/>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31"/>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32"/>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31"/>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32"/>
      </w:numPr>
      <w:spacing w:after="240"/>
      <w:jc w:val="center"/>
      <w:outlineLvl w:val="2"/>
    </w:pPr>
  </w:style>
  <w:style w:type="paragraph" w:customStyle="1" w:styleId="TitelBezeichner">
    <w:name w:val="Titel Bezeichner"/>
    <w:basedOn w:val="Normal"/>
    <w:next w:val="Titelberschrift"/>
    <w:rsid w:val="00A147E3"/>
    <w:pPr>
      <w:keepNext/>
      <w:numPr>
        <w:ilvl w:val="5"/>
        <w:numId w:val="31"/>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32"/>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31"/>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32"/>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33"/>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33"/>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20"/>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0"/>
      </w:numPr>
    </w:pPr>
    <w:rPr>
      <w:color w:val="800000"/>
    </w:rPr>
  </w:style>
  <w:style w:type="paragraph" w:customStyle="1" w:styleId="RevisionNummerierungStufe2">
    <w:name w:val="Revision Nummerierung (Stufe 2)"/>
    <w:basedOn w:val="Normal"/>
    <w:rsid w:val="00A147E3"/>
    <w:pPr>
      <w:numPr>
        <w:ilvl w:val="4"/>
        <w:numId w:val="20"/>
      </w:numPr>
    </w:pPr>
    <w:rPr>
      <w:color w:val="800000"/>
    </w:rPr>
  </w:style>
  <w:style w:type="paragraph" w:customStyle="1" w:styleId="RevisionNummerierungStufe3">
    <w:name w:val="Revision Nummerierung (Stufe 3)"/>
    <w:basedOn w:val="Normal"/>
    <w:rsid w:val="00A147E3"/>
    <w:pPr>
      <w:numPr>
        <w:ilvl w:val="5"/>
        <w:numId w:val="20"/>
      </w:numPr>
    </w:pPr>
    <w:rPr>
      <w:color w:val="800000"/>
    </w:rPr>
  </w:style>
  <w:style w:type="paragraph" w:customStyle="1" w:styleId="RevisionNummerierungStufe4">
    <w:name w:val="Revision Nummerierung (Stufe 4)"/>
    <w:basedOn w:val="Normal"/>
    <w:rsid w:val="00A147E3"/>
    <w:pPr>
      <w:numPr>
        <w:ilvl w:val="6"/>
        <w:numId w:val="20"/>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0"/>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20"/>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7"/>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1"/>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1"/>
      </w:numPr>
    </w:pPr>
    <w:rPr>
      <w:color w:val="800000"/>
    </w:rPr>
  </w:style>
  <w:style w:type="paragraph" w:customStyle="1" w:styleId="RevisionListeStufe2">
    <w:name w:val="Revision Liste (Stufe 2)"/>
    <w:basedOn w:val="Normal"/>
    <w:rsid w:val="00A147E3"/>
    <w:pPr>
      <w:numPr>
        <w:ilvl w:val="2"/>
        <w:numId w:val="21"/>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1"/>
      </w:numPr>
    </w:pPr>
    <w:rPr>
      <w:color w:val="800000"/>
    </w:rPr>
  </w:style>
  <w:style w:type="paragraph" w:customStyle="1" w:styleId="RevisionListeStufe3">
    <w:name w:val="Revision Liste (Stufe 3)"/>
    <w:basedOn w:val="Normal"/>
    <w:rsid w:val="00A147E3"/>
    <w:pPr>
      <w:numPr>
        <w:ilvl w:val="4"/>
        <w:numId w:val="21"/>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1"/>
      </w:numPr>
    </w:pPr>
    <w:rPr>
      <w:color w:val="800000"/>
    </w:rPr>
  </w:style>
  <w:style w:type="paragraph" w:customStyle="1" w:styleId="RevisionListeStufe4">
    <w:name w:val="Revision Liste (Stufe 4)"/>
    <w:basedOn w:val="Normal"/>
    <w:rsid w:val="00A147E3"/>
    <w:pPr>
      <w:numPr>
        <w:ilvl w:val="6"/>
        <w:numId w:val="21"/>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1"/>
      </w:numPr>
    </w:pPr>
    <w:rPr>
      <w:color w:val="800000"/>
    </w:rPr>
  </w:style>
  <w:style w:type="paragraph" w:customStyle="1" w:styleId="RevisionAufzhlungStufe1">
    <w:name w:val="Revision Aufzählung (Stufe 1)"/>
    <w:basedOn w:val="Normal"/>
    <w:rsid w:val="00A147E3"/>
    <w:pPr>
      <w:numPr>
        <w:numId w:val="22"/>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3"/>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4"/>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5"/>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6"/>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8"/>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9"/>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07083">
      <w:bodyDiv w:val="1"/>
      <w:marLeft w:val="0"/>
      <w:marRight w:val="0"/>
      <w:marTop w:val="0"/>
      <w:marBottom w:val="0"/>
      <w:divBdr>
        <w:top w:val="none" w:sz="0" w:space="0" w:color="auto"/>
        <w:left w:val="none" w:sz="0" w:space="0" w:color="auto"/>
        <w:bottom w:val="none" w:sz="0" w:space="0" w:color="auto"/>
        <w:right w:val="none" w:sz="0" w:space="0" w:color="auto"/>
      </w:divBdr>
    </w:div>
    <w:div w:id="427625987">
      <w:bodyDiv w:val="1"/>
      <w:marLeft w:val="0"/>
      <w:marRight w:val="0"/>
      <w:marTop w:val="0"/>
      <w:marBottom w:val="0"/>
      <w:divBdr>
        <w:top w:val="none" w:sz="0" w:space="0" w:color="auto"/>
        <w:left w:val="none" w:sz="0" w:space="0" w:color="auto"/>
        <w:bottom w:val="none" w:sz="0" w:space="0" w:color="auto"/>
        <w:right w:val="none" w:sz="0" w:space="0" w:color="auto"/>
      </w:divBdr>
    </w:div>
    <w:div w:id="535854703">
      <w:bodyDiv w:val="1"/>
      <w:marLeft w:val="0"/>
      <w:marRight w:val="0"/>
      <w:marTop w:val="0"/>
      <w:marBottom w:val="0"/>
      <w:divBdr>
        <w:top w:val="none" w:sz="0" w:space="0" w:color="auto"/>
        <w:left w:val="none" w:sz="0" w:space="0" w:color="auto"/>
        <w:bottom w:val="none" w:sz="0" w:space="0" w:color="auto"/>
        <w:right w:val="none" w:sz="0" w:space="0" w:color="auto"/>
      </w:divBdr>
      <w:divsChild>
        <w:div w:id="2079745499">
          <w:marLeft w:val="0"/>
          <w:marRight w:val="0"/>
          <w:marTop w:val="0"/>
          <w:marBottom w:val="0"/>
          <w:divBdr>
            <w:top w:val="none" w:sz="0" w:space="0" w:color="auto"/>
            <w:left w:val="none" w:sz="0" w:space="0" w:color="auto"/>
            <w:bottom w:val="none" w:sz="0" w:space="0" w:color="auto"/>
            <w:right w:val="none" w:sz="0" w:space="0" w:color="auto"/>
          </w:divBdr>
          <w:divsChild>
            <w:div w:id="1737849462">
              <w:marLeft w:val="0"/>
              <w:marRight w:val="0"/>
              <w:marTop w:val="0"/>
              <w:marBottom w:val="0"/>
              <w:divBdr>
                <w:top w:val="none" w:sz="0" w:space="0" w:color="auto"/>
                <w:left w:val="none" w:sz="0" w:space="0" w:color="auto"/>
                <w:bottom w:val="none" w:sz="0" w:space="0" w:color="auto"/>
                <w:right w:val="none" w:sz="0" w:space="0" w:color="auto"/>
              </w:divBdr>
              <w:divsChild>
                <w:div w:id="1960069827">
                  <w:marLeft w:val="405"/>
                  <w:marRight w:val="75"/>
                  <w:marTop w:val="0"/>
                  <w:marBottom w:val="0"/>
                  <w:divBdr>
                    <w:top w:val="none" w:sz="0" w:space="0" w:color="auto"/>
                    <w:left w:val="none" w:sz="0" w:space="0" w:color="auto"/>
                    <w:bottom w:val="none" w:sz="0" w:space="0" w:color="auto"/>
                    <w:right w:val="none" w:sz="0" w:space="0" w:color="auto"/>
                  </w:divBdr>
                  <w:divsChild>
                    <w:div w:id="1732070215">
                      <w:marLeft w:val="0"/>
                      <w:marRight w:val="0"/>
                      <w:marTop w:val="120"/>
                      <w:marBottom w:val="0"/>
                      <w:divBdr>
                        <w:top w:val="none" w:sz="0" w:space="0" w:color="auto"/>
                        <w:left w:val="none" w:sz="0" w:space="0" w:color="auto"/>
                        <w:bottom w:val="none" w:sz="0" w:space="0" w:color="auto"/>
                        <w:right w:val="none" w:sz="0" w:space="0" w:color="auto"/>
                      </w:divBdr>
                      <w:divsChild>
                        <w:div w:id="1796558889">
                          <w:marLeft w:val="0"/>
                          <w:marRight w:val="0"/>
                          <w:marTop w:val="120"/>
                          <w:marBottom w:val="0"/>
                          <w:divBdr>
                            <w:top w:val="none" w:sz="0" w:space="0" w:color="auto"/>
                            <w:left w:val="none" w:sz="0" w:space="0" w:color="auto"/>
                            <w:bottom w:val="none" w:sz="0" w:space="0" w:color="auto"/>
                            <w:right w:val="none" w:sz="0" w:space="0" w:color="auto"/>
                          </w:divBdr>
                          <w:divsChild>
                            <w:div w:id="37434247">
                              <w:marLeft w:val="0"/>
                              <w:marRight w:val="0"/>
                              <w:marTop w:val="120"/>
                              <w:marBottom w:val="0"/>
                              <w:divBdr>
                                <w:top w:val="none" w:sz="0" w:space="0" w:color="auto"/>
                                <w:left w:val="none" w:sz="0" w:space="0" w:color="auto"/>
                                <w:bottom w:val="none" w:sz="0" w:space="0" w:color="auto"/>
                                <w:right w:val="none" w:sz="0" w:space="0" w:color="auto"/>
                              </w:divBdr>
                              <w:divsChild>
                                <w:div w:id="876233226">
                                  <w:marLeft w:val="150"/>
                                  <w:marRight w:val="0"/>
                                  <w:marTop w:val="240"/>
                                  <w:marBottom w:val="240"/>
                                  <w:divBdr>
                                    <w:top w:val="none" w:sz="0" w:space="0" w:color="auto"/>
                                    <w:left w:val="none" w:sz="0" w:space="0" w:color="auto"/>
                                    <w:bottom w:val="none" w:sz="0" w:space="0" w:color="auto"/>
                                    <w:right w:val="none" w:sz="0" w:space="0" w:color="auto"/>
                                  </w:divBdr>
                                </w:div>
                                <w:div w:id="1301687252">
                                  <w:marLeft w:val="0"/>
                                  <w:marRight w:val="0"/>
                                  <w:marTop w:val="120"/>
                                  <w:marBottom w:val="0"/>
                                  <w:divBdr>
                                    <w:top w:val="none" w:sz="0" w:space="0" w:color="auto"/>
                                    <w:left w:val="none" w:sz="0" w:space="0" w:color="auto"/>
                                    <w:bottom w:val="none" w:sz="0" w:space="0" w:color="auto"/>
                                    <w:right w:val="none" w:sz="0" w:space="0" w:color="auto"/>
                                  </w:divBdr>
                                  <w:divsChild>
                                    <w:div w:id="988168305">
                                      <w:marLeft w:val="0"/>
                                      <w:marRight w:val="0"/>
                                      <w:marTop w:val="0"/>
                                      <w:marBottom w:val="0"/>
                                      <w:divBdr>
                                        <w:top w:val="none" w:sz="0" w:space="0" w:color="auto"/>
                                        <w:left w:val="none" w:sz="0" w:space="0" w:color="auto"/>
                                        <w:bottom w:val="none" w:sz="0" w:space="0" w:color="auto"/>
                                        <w:right w:val="none" w:sz="0" w:space="0" w:color="auto"/>
                                      </w:divBdr>
                                      <w:divsChild>
                                        <w:div w:id="733117977">
                                          <w:marLeft w:val="0"/>
                                          <w:marRight w:val="0"/>
                                          <w:marTop w:val="0"/>
                                          <w:marBottom w:val="0"/>
                                          <w:divBdr>
                                            <w:top w:val="none" w:sz="0" w:space="0" w:color="auto"/>
                                            <w:left w:val="none" w:sz="0" w:space="0" w:color="auto"/>
                                            <w:bottom w:val="none" w:sz="0" w:space="0" w:color="auto"/>
                                            <w:right w:val="none" w:sz="0" w:space="0" w:color="auto"/>
                                          </w:divBdr>
                                          <w:divsChild>
                                            <w:div w:id="1797990294">
                                              <w:marLeft w:val="0"/>
                                              <w:marRight w:val="0"/>
                                              <w:marTop w:val="0"/>
                                              <w:marBottom w:val="0"/>
                                              <w:divBdr>
                                                <w:top w:val="none" w:sz="0" w:space="0" w:color="auto"/>
                                                <w:left w:val="none" w:sz="0" w:space="0" w:color="auto"/>
                                                <w:bottom w:val="none" w:sz="0" w:space="0" w:color="auto"/>
                                                <w:right w:val="none" w:sz="0" w:space="0" w:color="auto"/>
                                              </w:divBdr>
                                              <w:divsChild>
                                                <w:div w:id="662315423">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837269">
      <w:bodyDiv w:val="1"/>
      <w:marLeft w:val="0"/>
      <w:marRight w:val="0"/>
      <w:marTop w:val="0"/>
      <w:marBottom w:val="0"/>
      <w:divBdr>
        <w:top w:val="none" w:sz="0" w:space="0" w:color="auto"/>
        <w:left w:val="none" w:sz="0" w:space="0" w:color="auto"/>
        <w:bottom w:val="none" w:sz="0" w:space="0" w:color="auto"/>
        <w:right w:val="none" w:sz="0" w:space="0" w:color="auto"/>
      </w:divBdr>
    </w:div>
    <w:div w:id="982734847">
      <w:bodyDiv w:val="1"/>
      <w:marLeft w:val="0"/>
      <w:marRight w:val="0"/>
      <w:marTop w:val="0"/>
      <w:marBottom w:val="0"/>
      <w:divBdr>
        <w:top w:val="none" w:sz="0" w:space="0" w:color="auto"/>
        <w:left w:val="none" w:sz="0" w:space="0" w:color="auto"/>
        <w:bottom w:val="none" w:sz="0" w:space="0" w:color="auto"/>
        <w:right w:val="none" w:sz="0" w:space="0" w:color="auto"/>
      </w:divBdr>
    </w:div>
    <w:div w:id="1266503457">
      <w:bodyDiv w:val="1"/>
      <w:marLeft w:val="0"/>
      <w:marRight w:val="0"/>
      <w:marTop w:val="0"/>
      <w:marBottom w:val="0"/>
      <w:divBdr>
        <w:top w:val="none" w:sz="0" w:space="0" w:color="auto"/>
        <w:left w:val="none" w:sz="0" w:space="0" w:color="auto"/>
        <w:bottom w:val="none" w:sz="0" w:space="0" w:color="auto"/>
        <w:right w:val="none" w:sz="0" w:space="0" w:color="auto"/>
      </w:divBdr>
    </w:div>
    <w:div w:id="1506628327">
      <w:bodyDiv w:val="1"/>
      <w:marLeft w:val="0"/>
      <w:marRight w:val="0"/>
      <w:marTop w:val="0"/>
      <w:marBottom w:val="0"/>
      <w:divBdr>
        <w:top w:val="none" w:sz="0" w:space="0" w:color="auto"/>
        <w:left w:val="none" w:sz="0" w:space="0" w:color="auto"/>
        <w:bottom w:val="none" w:sz="0" w:space="0" w:color="auto"/>
        <w:right w:val="none" w:sz="0" w:space="0" w:color="auto"/>
      </w:divBdr>
      <w:divsChild>
        <w:div w:id="1907453108">
          <w:marLeft w:val="0"/>
          <w:marRight w:val="0"/>
          <w:marTop w:val="0"/>
          <w:marBottom w:val="0"/>
          <w:divBdr>
            <w:top w:val="none" w:sz="0" w:space="0" w:color="auto"/>
            <w:left w:val="none" w:sz="0" w:space="0" w:color="auto"/>
            <w:bottom w:val="none" w:sz="0" w:space="0" w:color="auto"/>
            <w:right w:val="none" w:sz="0" w:space="0" w:color="auto"/>
          </w:divBdr>
          <w:divsChild>
            <w:div w:id="66273619">
              <w:marLeft w:val="0"/>
              <w:marRight w:val="0"/>
              <w:marTop w:val="0"/>
              <w:marBottom w:val="0"/>
              <w:divBdr>
                <w:top w:val="none" w:sz="0" w:space="0" w:color="auto"/>
                <w:left w:val="none" w:sz="0" w:space="0" w:color="auto"/>
                <w:bottom w:val="none" w:sz="0" w:space="0" w:color="auto"/>
                <w:right w:val="none" w:sz="0" w:space="0" w:color="auto"/>
              </w:divBdr>
              <w:divsChild>
                <w:div w:id="138769159">
                  <w:marLeft w:val="405"/>
                  <w:marRight w:val="75"/>
                  <w:marTop w:val="0"/>
                  <w:marBottom w:val="0"/>
                  <w:divBdr>
                    <w:top w:val="none" w:sz="0" w:space="0" w:color="auto"/>
                    <w:left w:val="none" w:sz="0" w:space="0" w:color="auto"/>
                    <w:bottom w:val="none" w:sz="0" w:space="0" w:color="auto"/>
                    <w:right w:val="none" w:sz="0" w:space="0" w:color="auto"/>
                  </w:divBdr>
                  <w:divsChild>
                    <w:div w:id="752505842">
                      <w:marLeft w:val="0"/>
                      <w:marRight w:val="0"/>
                      <w:marTop w:val="120"/>
                      <w:marBottom w:val="0"/>
                      <w:divBdr>
                        <w:top w:val="none" w:sz="0" w:space="0" w:color="auto"/>
                        <w:left w:val="none" w:sz="0" w:space="0" w:color="auto"/>
                        <w:bottom w:val="none" w:sz="0" w:space="0" w:color="auto"/>
                        <w:right w:val="none" w:sz="0" w:space="0" w:color="auto"/>
                      </w:divBdr>
                      <w:divsChild>
                        <w:div w:id="926500079">
                          <w:marLeft w:val="0"/>
                          <w:marRight w:val="0"/>
                          <w:marTop w:val="120"/>
                          <w:marBottom w:val="0"/>
                          <w:divBdr>
                            <w:top w:val="none" w:sz="0" w:space="0" w:color="auto"/>
                            <w:left w:val="none" w:sz="0" w:space="0" w:color="auto"/>
                            <w:bottom w:val="none" w:sz="0" w:space="0" w:color="auto"/>
                            <w:right w:val="none" w:sz="0" w:space="0" w:color="auto"/>
                          </w:divBdr>
                          <w:divsChild>
                            <w:div w:id="515509904">
                              <w:marLeft w:val="0"/>
                              <w:marRight w:val="0"/>
                              <w:marTop w:val="120"/>
                              <w:marBottom w:val="0"/>
                              <w:divBdr>
                                <w:top w:val="none" w:sz="0" w:space="0" w:color="auto"/>
                                <w:left w:val="none" w:sz="0" w:space="0" w:color="auto"/>
                                <w:bottom w:val="none" w:sz="0" w:space="0" w:color="auto"/>
                                <w:right w:val="none" w:sz="0" w:space="0" w:color="auto"/>
                              </w:divBdr>
                              <w:divsChild>
                                <w:div w:id="202639034">
                                  <w:marLeft w:val="150"/>
                                  <w:marRight w:val="0"/>
                                  <w:marTop w:val="240"/>
                                  <w:marBottom w:val="240"/>
                                  <w:divBdr>
                                    <w:top w:val="none" w:sz="0" w:space="0" w:color="auto"/>
                                    <w:left w:val="none" w:sz="0" w:space="0" w:color="auto"/>
                                    <w:bottom w:val="none" w:sz="0" w:space="0" w:color="auto"/>
                                    <w:right w:val="none" w:sz="0" w:space="0" w:color="auto"/>
                                  </w:divBdr>
                                </w:div>
                                <w:div w:id="1948346549">
                                  <w:marLeft w:val="0"/>
                                  <w:marRight w:val="0"/>
                                  <w:marTop w:val="120"/>
                                  <w:marBottom w:val="0"/>
                                  <w:divBdr>
                                    <w:top w:val="none" w:sz="0" w:space="0" w:color="auto"/>
                                    <w:left w:val="none" w:sz="0" w:space="0" w:color="auto"/>
                                    <w:bottom w:val="none" w:sz="0" w:space="0" w:color="auto"/>
                                    <w:right w:val="none" w:sz="0" w:space="0" w:color="auto"/>
                                  </w:divBdr>
                                  <w:divsChild>
                                    <w:div w:id="118571736">
                                      <w:marLeft w:val="0"/>
                                      <w:marRight w:val="0"/>
                                      <w:marTop w:val="0"/>
                                      <w:marBottom w:val="0"/>
                                      <w:divBdr>
                                        <w:top w:val="none" w:sz="0" w:space="0" w:color="auto"/>
                                        <w:left w:val="none" w:sz="0" w:space="0" w:color="auto"/>
                                        <w:bottom w:val="none" w:sz="0" w:space="0" w:color="auto"/>
                                        <w:right w:val="none" w:sz="0" w:space="0" w:color="auto"/>
                                      </w:divBdr>
                                      <w:divsChild>
                                        <w:div w:id="1003508732">
                                          <w:marLeft w:val="0"/>
                                          <w:marRight w:val="0"/>
                                          <w:marTop w:val="0"/>
                                          <w:marBottom w:val="0"/>
                                          <w:divBdr>
                                            <w:top w:val="none" w:sz="0" w:space="0" w:color="auto"/>
                                            <w:left w:val="none" w:sz="0" w:space="0" w:color="auto"/>
                                            <w:bottom w:val="none" w:sz="0" w:space="0" w:color="auto"/>
                                            <w:right w:val="none" w:sz="0" w:space="0" w:color="auto"/>
                                          </w:divBdr>
                                          <w:divsChild>
                                            <w:div w:id="1593930208">
                                              <w:marLeft w:val="0"/>
                                              <w:marRight w:val="0"/>
                                              <w:marTop w:val="0"/>
                                              <w:marBottom w:val="0"/>
                                              <w:divBdr>
                                                <w:top w:val="none" w:sz="0" w:space="0" w:color="auto"/>
                                                <w:left w:val="none" w:sz="0" w:space="0" w:color="auto"/>
                                                <w:bottom w:val="none" w:sz="0" w:space="0" w:color="auto"/>
                                                <w:right w:val="none" w:sz="0" w:space="0" w:color="auto"/>
                                              </w:divBdr>
                                              <w:divsChild>
                                                <w:div w:id="448135547">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8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r.bund.de/cm/343/bestimmung-von-kohlenwasserstoffen-aus-mineraloel-oder-kunststoff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fr.bund.de/cm/343/messung-von-mineraloel-kohlenwasserstoffen-in-lebensmitteln-und-verpackungsmaterialien.pdf" TargetMode="External"/><Relationship Id="rId4" Type="http://schemas.openxmlformats.org/officeDocument/2006/relationships/settings" Target="settings.xml"/><Relationship Id="rId9" Type="http://schemas.openxmlformats.org/officeDocument/2006/relationships/hyperlink" Target="http://www.bfr.bund.de/cm/343/bestimmung-von-kohlenwasserstoffen-aus-mineraloel-oder-kunststoffen.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1571-8292-4C95-A1C6-9D0508E8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42</TotalTime>
  <Pages>19</Pages>
  <Words>8109</Words>
  <Characters>46224</Characters>
  <Application>Microsoft Office Word</Application>
  <DocSecurity>0</DocSecurity>
  <Lines>385</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Bundesministerium der Justiz</Company>
  <LinksUpToDate>false</LinksUpToDate>
  <CharactersWithSpaces>54225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Katharina</dc:creator>
  <cp:lastModifiedBy>Diana STOICA</cp:lastModifiedBy>
  <cp:revision>4</cp:revision>
  <cp:lastPrinted>2020-07-29T12:01:00Z</cp:lastPrinted>
  <dcterms:created xsi:type="dcterms:W3CDTF">2020-08-17T12:48:00Z</dcterms:created>
  <dcterms:modified xsi:type="dcterms:W3CDTF">2020-08-31T13:14:00Z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14.08.2020  15:07 Uhr</vt:lpwstr>
  </property>
  <property fmtid="{D5CDD505-2E9C-101B-9397-08002B2CF9AE}" pid="3" name="Meta_Initiant">
    <vt:lpwstr>Bundesministerium der Justiz und fuer Verbraucherschutz</vt:lpwstr>
  </property>
  <property fmtid="{D5CDD505-2E9C-101B-9397-08002B2CF9AE}" pid="4" name="Version">
    <vt:lpwstr>3.12.2.0</vt:lpwstr>
  </property>
  <property fmtid="{D5CDD505-2E9C-101B-9397-08002B2CF9AE}" pid="5" name="Last edited using">
    <vt:lpwstr>LW 5.4, Build 20200526</vt:lpwstr>
  </property>
  <property fmtid="{D5CDD505-2E9C-101B-9397-08002B2CF9AE}" pid="6" name="Kategorie">
    <vt:lpwstr>AENDER/NOVVER</vt:lpwstr>
  </property>
  <property fmtid="{D5CDD505-2E9C-101B-9397-08002B2CF9AE}" pid="7" name="eNorm-Version vorherige Bearbeitung">
    <vt:lpwstr>4.1.5 Bundesregierung [20200526]</vt:lpwstr>
  </property>
  <property fmtid="{D5CDD505-2E9C-101B-9397-08002B2CF9AE}" pid="8" name="eNorm-Version Erstellung">
    <vt:lpwstr>3.12.4, Bundesregierung</vt:lpwstr>
  </property>
  <property fmtid="{D5CDD505-2E9C-101B-9397-08002B2CF9AE}" pid="9" name="Created using">
    <vt:lpwstr>LW 5.4, Build 20151231</vt:lpwstr>
  </property>
  <property fmtid="{D5CDD505-2E9C-101B-9397-08002B2CF9AE}" pid="10" name="Classification">
    <vt:lpwstr> </vt:lpwstr>
  </property>
  <property fmtid="{D5CDD505-2E9C-101B-9397-08002B2CF9AE}" pid="11" name="eNorm-Version letzte Bearbeitung">
    <vt:lpwstr>4.1.5 Bundesregierung [20200526]</vt:lpwstr>
  </property>
  <property fmtid="{D5CDD505-2E9C-101B-9397-08002B2CF9AE}" pid="12" name="DQP-Ergebnis für Version 4">
    <vt:lpwstr>130 Fehler</vt:lpwstr>
  </property>
  <property fmtid="{D5CDD505-2E9C-101B-9397-08002B2CF9AE}" pid="13" name="eNorm-Version letzte DQP">
    <vt:lpwstr>4.1.5, Bundesregierung, [20200526]</vt:lpwstr>
  </property>
  <property fmtid="{D5CDD505-2E9C-101B-9397-08002B2CF9AE}" pid="14" name="Meta_Bezeichnung">
    <vt:lpwstr>Zweiundzwanzigste Verordnung zur Änderung der Bedarfsgegenständeverordnung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Einzelnovelle einer Verordnung</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vt:lpwstr>
  </property>
  <property fmtid="{D5CDD505-2E9C-101B-9397-08002B2CF9AE}" pid="20" name="Meta_Anlagen">
    <vt:lpwstr/>
  </property>
</Properties>
</file>