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F0BB" w14:textId="78162EA5" w:rsidR="00AC25F9" w:rsidRPr="00AC25F9" w:rsidRDefault="00AC25F9" w:rsidP="00AC2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19 kwietnia 2021 r. nr 699</w:t>
      </w:r>
    </w:p>
    <w:p w14:paraId="4BCC8A2D" w14:textId="5907DBA3" w:rsidR="004009A5" w:rsidRDefault="007C0D66" w:rsidP="0083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Rozporządzenie w sprawie normalizacji papierosów elektronicznych i pojemników zapasowych z nikotyną i bez nikotyny.</w:t>
      </w:r>
    </w:p>
    <w:p w14:paraId="58F87FE1" w14:textId="77777777" w:rsidR="00411B45" w:rsidRPr="00E9280B" w:rsidRDefault="00411B45" w:rsidP="008367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B5FC1" w14:textId="090141B9" w:rsidR="004009A5" w:rsidRPr="00E9280B" w:rsidRDefault="00AC25F9" w:rsidP="00AC2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 podstawie § 9 ust. 2 oraz § 33 ust. 2 ustawy o papierosach elektronicznych itd., por. akt ujednolicający nr 580 z dnia 26 marca 2021 r., rozporządza się, co następuje:</w:t>
      </w:r>
    </w:p>
    <w:p w14:paraId="4453E575" w14:textId="4EDB3131" w:rsidR="008D5280" w:rsidRDefault="008D5280" w:rsidP="008D5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Rozdział 1</w:t>
      </w:r>
    </w:p>
    <w:p w14:paraId="49FAF3B3" w14:textId="77777777" w:rsidR="00F471C1" w:rsidRPr="008D5280" w:rsidRDefault="00F471C1" w:rsidP="008D5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14:paraId="61968554" w14:textId="77777777" w:rsidR="008D5280" w:rsidRPr="008D5280" w:rsidRDefault="008D5280" w:rsidP="008D5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Definicje</w:t>
      </w:r>
    </w:p>
    <w:p w14:paraId="4FCE8EF5" w14:textId="424F1B01" w:rsidR="0004610C" w:rsidRPr="00E9280B" w:rsidRDefault="0004610C" w:rsidP="004009A5">
      <w:pPr>
        <w:rPr>
          <w:rFonts w:ascii="Times New Roman" w:hAnsi="Times New Roman" w:cs="Times New Roman"/>
          <w:b/>
          <w:sz w:val="24"/>
          <w:szCs w:val="24"/>
        </w:rPr>
      </w:pPr>
    </w:p>
    <w:p w14:paraId="03DE2CC2" w14:textId="77777777" w:rsidR="004009A5" w:rsidRPr="00E9280B" w:rsidRDefault="004009A5" w:rsidP="00BC5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 1.</w:t>
      </w:r>
      <w:r>
        <w:rPr>
          <w:rFonts w:ascii="Times New Roman" w:hAnsi="Times New Roman"/>
          <w:sz w:val="24"/>
        </w:rPr>
        <w:t xml:space="preserve"> Do celów niniejszego rozporządzenia stosuje się następujące definicje: </w:t>
      </w:r>
    </w:p>
    <w:p w14:paraId="5A787BCA" w14:textId="0C24838D" w:rsidR="001F6C1B" w:rsidRPr="001F6C1B" w:rsidRDefault="001F6C1B" w:rsidP="001F6C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Znak towarowy: Znak towarowy, pod którym produkt jest wprowadzany do obrotu na rynku duńskim, do którego informacje są przekazywane i zgłaszane zgodnie z rozporządzeniem nr 599 z dnia 3 czerwca 2016 r.</w:t>
      </w:r>
    </w:p>
    <w:p w14:paraId="2501DE08" w14:textId="4AB7C8B3" w:rsidR="004009A5" w:rsidRDefault="00045A8E" w:rsidP="006606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Nazwa produktu: Ewentualna „nazwa produktu”, pod którą produkt jest wprowadzany do obrotu na rynku duńskim i zgłaszany zgodnie z rozporządzeniem nr 599 z dnia 3 czerwca 2016 r.</w:t>
      </w:r>
    </w:p>
    <w:p w14:paraId="53AF9D51" w14:textId="27C861E6" w:rsidR="004009A5" w:rsidRPr="004B7986" w:rsidRDefault="004009A5" w:rsidP="00BC5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Opakowanie jednostkowe: Najmniejsze pojedyncze opakowanie papierosa elektronicznego bądź pojemnika zapasowego z nikotyną i bez nikotyny wprowadzanego do obrotu.</w:t>
      </w:r>
    </w:p>
    <w:p w14:paraId="1333000C" w14:textId="05328CEE" w:rsidR="004009A5" w:rsidRPr="00E9280B" w:rsidRDefault="004009A5" w:rsidP="00C67E5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Opakowanie zewnętrzne: Opakowanie, w którym papierosy elektroniczne, pojemniki zapasowe z nikotyną i bez nikotyny bądź produkty powiązane są wprowadzane do obrotu, obejmujące jedno lub więcej opakowań jednostkowych.</w:t>
      </w:r>
    </w:p>
    <w:p w14:paraId="26959B1C" w14:textId="11E8DF07" w:rsidR="004009A5" w:rsidRDefault="004009A5" w:rsidP="00BC5A5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Powierzchnie zewnętrzne: Powierzchnie, które są widoczne, gdy opakowanie jednostkowe jest zamknięte i/lub opakowanie zewnętrzne jest nienaruszone.</w:t>
      </w:r>
    </w:p>
    <w:p w14:paraId="2DC0D946" w14:textId="04553C87" w:rsidR="002F55FE" w:rsidRPr="00E9280B" w:rsidRDefault="002F55FE" w:rsidP="002F55F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Powierzchnie wewnętrzne: Powierzchnie, które nie są widoczne, gdy pojedyncze opakowanie jest zamknięte.</w:t>
      </w:r>
    </w:p>
    <w:p w14:paraId="5B5F7A19" w14:textId="7417C049" w:rsidR="004009A5" w:rsidRPr="00E605F6" w:rsidRDefault="004009A5" w:rsidP="00BC5A5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Materiał opakowaniowy: Bezbarwny, przezroczysty materiał, który otacza jedno lub więcej opakowań jednostkowych oraz opakowanie zewnętrzne.</w:t>
      </w:r>
    </w:p>
    <w:p w14:paraId="6FA7DAEA" w14:textId="1B69D6C1" w:rsidR="00113856" w:rsidRPr="00E9280B" w:rsidRDefault="00113856" w:rsidP="00BC5A5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Matowość: powierzchnia wydaje się być całkowicie matowa, a zatem nie błyszcząca, nie połyskująca, nie lśniąca lub tym podobne.</w:t>
      </w:r>
    </w:p>
    <w:p w14:paraId="652F59A8" w14:textId="5DA7D4E2" w:rsidR="00D15F19" w:rsidRPr="00D15F19" w:rsidRDefault="004009A5" w:rsidP="00BC5A5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Pasek: Odrywany pasek służący do otwierania opakowania jednostkowego, opakowania zewnętrznego i materiału opakowaniowego.</w:t>
      </w:r>
    </w:p>
    <w:p w14:paraId="0A7F9825" w14:textId="77777777" w:rsidR="004009A5" w:rsidRPr="00E9280B" w:rsidRDefault="004009A5" w:rsidP="004009A5">
      <w:pPr>
        <w:rPr>
          <w:rFonts w:ascii="Times New Roman" w:hAnsi="Times New Roman" w:cs="Times New Roman"/>
          <w:b/>
          <w:sz w:val="24"/>
          <w:szCs w:val="24"/>
        </w:rPr>
      </w:pPr>
    </w:p>
    <w:p w14:paraId="3E14C1E6" w14:textId="546B934D" w:rsidR="00B77AC1" w:rsidRDefault="004009A5" w:rsidP="00B77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Rozdział 2</w:t>
      </w:r>
    </w:p>
    <w:p w14:paraId="3DFEDA2C" w14:textId="77777777" w:rsidR="00B77AC1" w:rsidRPr="00E9280B" w:rsidRDefault="00B77AC1" w:rsidP="00B77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40C382" w14:textId="6048D063" w:rsidR="00761992" w:rsidRDefault="004009A5" w:rsidP="0069695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Wymagania dotyczące koloru oraz elementów opakowań jednostkowych, opakowań zewnętrznych i materiałów opakowaniowych do papierosów elektronicznych i pojemników zapasowych z nikotyną i bez nikotyny</w:t>
      </w:r>
    </w:p>
    <w:p w14:paraId="646F5515" w14:textId="77777777" w:rsidR="00D2737D" w:rsidRPr="00CB2283" w:rsidRDefault="00D2737D" w:rsidP="0069695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33D3811" w14:textId="77777777" w:rsidR="005F198D" w:rsidRDefault="004009A5" w:rsidP="001B2C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 2.</w:t>
      </w:r>
      <w:r>
        <w:rPr>
          <w:rFonts w:ascii="Times New Roman" w:hAnsi="Times New Roman"/>
          <w:sz w:val="24"/>
        </w:rPr>
        <w:t xml:space="preserve"> Opakowania jednostkowe papierosów elektronicznych i pojemników zapasowych z nikotyną i bez nikotyny oraz opakowania zewnętrzne i materiały opakowaniowe muszą mieć znormalizowany wygląd określony przepisami niniejszego rozporządzenia i innych aktów prawnych, które regulują zasady dotyczące oznakowania itd. opakowań jednostkowych, opakowań zewnętrznych i </w:t>
      </w:r>
      <w:r>
        <w:rPr>
          <w:rFonts w:ascii="Times New Roman" w:hAnsi="Times New Roman"/>
          <w:sz w:val="24"/>
        </w:rPr>
        <w:lastRenderedPageBreak/>
        <w:t>materiałów opakowaniowych papierosów elektronicznych i pojemników zapasowych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z nikotyną i bez nikotyny. </w:t>
      </w:r>
    </w:p>
    <w:p w14:paraId="2BC14B3F" w14:textId="5178F680" w:rsidR="004009A5" w:rsidRDefault="004009A5" w:rsidP="001B2C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Ust. 2. </w:t>
      </w:r>
      <w:r>
        <w:rPr>
          <w:rFonts w:ascii="Times New Roman" w:hAnsi="Times New Roman"/>
          <w:sz w:val="24"/>
        </w:rPr>
        <w:t>Opakowania jednostkowe, opakowania zewnętrzne i materiały opakowaniowe mogą być opatrzone oznakowaniem, informacjami itd. wyłącznie w sposób określony przepisami niniejszego rozporządzenia i innych aktów prawnych.</w:t>
      </w:r>
    </w:p>
    <w:p w14:paraId="104CC662" w14:textId="02635057" w:rsidR="00C84352" w:rsidRDefault="00A46F51" w:rsidP="001B2C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Ust. 3.</w:t>
      </w:r>
      <w:r>
        <w:rPr>
          <w:rFonts w:ascii="Times New Roman" w:hAnsi="Times New Roman"/>
          <w:sz w:val="24"/>
        </w:rPr>
        <w:t xml:space="preserve"> Oznakowanie, informacje itp. wynikające z innych przepisów muszą być przedstawione w sposób, który nie nadaje opakowaniu jednostkowemu lub opakowaniu zewnętrznemu niepowtarzalnego wyrazu, przyciągającego uwagę lub w inny sposób uznawanego za sprzeczny z wymogiem dotyczącym znormalizowanego wzoru dla wszystkich produktów zawierających papierosy elektroniczne lub pojemniki zapasowe z nikotyną lub bez nikotyny.</w:t>
      </w:r>
    </w:p>
    <w:p w14:paraId="31707007" w14:textId="5F7526D0" w:rsidR="004009A5" w:rsidRDefault="004009A5" w:rsidP="001B2C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 3.</w:t>
      </w:r>
      <w:r>
        <w:rPr>
          <w:rFonts w:ascii="Times New Roman" w:hAnsi="Times New Roman"/>
          <w:sz w:val="24"/>
        </w:rPr>
        <w:t xml:space="preserve"> Powierzchnie wewnętrzne i zewnętrzne opakowań jednostkowych i opakowań zewnętrznych muszą być w kolorze Pantone 448 C, białym lub srebrnoszarym, a opakowania zewnętrzne muszą być w kolorze Pantone 448 C, o wykończeniu matowym.</w:t>
      </w:r>
    </w:p>
    <w:p w14:paraId="4186999B" w14:textId="492ED035" w:rsidR="004009A5" w:rsidRDefault="004009A5" w:rsidP="001B2C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Ust. 2.</w:t>
      </w:r>
      <w:r>
        <w:rPr>
          <w:rFonts w:ascii="Times New Roman" w:hAnsi="Times New Roman"/>
          <w:sz w:val="24"/>
        </w:rPr>
        <w:t xml:space="preserve"> Banderole na opakowaniach jednostkowych lub zewnętrznych z papierosami elektronicznymi i pojemnikami zapasowymi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z nikotyną i bez nikotyny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muszą być kwadratowe, przezroczyste i bezbarwne.</w:t>
      </w:r>
    </w:p>
    <w:p w14:paraId="4878C31E" w14:textId="2B555DF1" w:rsidR="004009A5" w:rsidRPr="00C47D05" w:rsidRDefault="00281A50" w:rsidP="00C47D05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§ 4.</w:t>
      </w:r>
      <w:r w:rsidR="009966F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Wszystkie elementy </w:t>
      </w:r>
      <w:r>
        <w:rPr>
          <w:rFonts w:ascii="Times New Roman" w:hAnsi="Times New Roman"/>
          <w:color w:val="000000"/>
          <w:sz w:val="24"/>
        </w:rPr>
        <w:t xml:space="preserve">opakowań jednostkowych oraz opakowań zewnętrznych papierosów elektronicznych </w:t>
      </w:r>
      <w:r>
        <w:rPr>
          <w:rFonts w:ascii="Times New Roman" w:hAnsi="Times New Roman"/>
          <w:sz w:val="24"/>
        </w:rPr>
        <w:t>i pojemników zapasowych</w:t>
      </w:r>
      <w:r w:rsidR="009966F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z nikotyną i bez nikotyny </w:t>
      </w:r>
      <w:r>
        <w:rPr>
          <w:rFonts w:ascii="Times New Roman" w:hAnsi="Times New Roman"/>
          <w:color w:val="000000"/>
          <w:sz w:val="24"/>
        </w:rPr>
        <w:t xml:space="preserve">muszą być bezsmakowe, bezwonne i bezgłośne. </w:t>
      </w:r>
    </w:p>
    <w:p w14:paraId="5BE2343B" w14:textId="77777777" w:rsidR="004009A5" w:rsidRPr="00E9280B" w:rsidRDefault="004009A5" w:rsidP="004009A5">
      <w:pPr>
        <w:rPr>
          <w:rFonts w:ascii="Times New Roman" w:hAnsi="Times New Roman" w:cs="Times New Roman"/>
          <w:sz w:val="24"/>
          <w:szCs w:val="24"/>
        </w:rPr>
      </w:pPr>
    </w:p>
    <w:p w14:paraId="4E3025C6" w14:textId="0C11F9F5" w:rsidR="00B77AC1" w:rsidRDefault="004009A5" w:rsidP="00B77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Rozdział 3</w:t>
      </w:r>
    </w:p>
    <w:p w14:paraId="28AED404" w14:textId="77777777" w:rsidR="00B77AC1" w:rsidRPr="00E9280B" w:rsidRDefault="00B77AC1" w:rsidP="00B77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8D9E75" w14:textId="0F01AF47" w:rsidR="004009A5" w:rsidRPr="00EA73E1" w:rsidRDefault="004009A5" w:rsidP="00A2447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Powierzchnie itd. opakowań jednostkowych i opakowań zewnętrznych papierosów elektronicznych </w:t>
      </w:r>
      <w:r>
        <w:rPr>
          <w:rFonts w:ascii="Times New Roman" w:hAnsi="Times New Roman"/>
          <w:sz w:val="24"/>
        </w:rPr>
        <w:t xml:space="preserve">i </w:t>
      </w:r>
      <w:r>
        <w:rPr>
          <w:rFonts w:ascii="Times New Roman" w:hAnsi="Times New Roman"/>
          <w:i/>
          <w:sz w:val="24"/>
        </w:rPr>
        <w:t>pojemników zapasowych z nikotyną i bez nikotyny</w:t>
      </w:r>
    </w:p>
    <w:p w14:paraId="4104CD23" w14:textId="67B587E7" w:rsidR="004009A5" w:rsidRDefault="00D9738B" w:rsidP="00A244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 5.</w:t>
      </w:r>
      <w:r>
        <w:rPr>
          <w:rFonts w:ascii="Times New Roman" w:hAnsi="Times New Roman"/>
          <w:sz w:val="24"/>
        </w:rPr>
        <w:t xml:space="preserve"> Powierzchnie muszą być płaskie i gładkie oraz nie mogą zawierać niestandardowych elementów, takich jak oznakowania, tłoczenia, tekstury, wgłębienia, wybrzuszenia ani elementów o jakimkolwiek innym kształcie lub strukturze.</w:t>
      </w:r>
    </w:p>
    <w:p w14:paraId="6FBB4A04" w14:textId="422F9E73" w:rsidR="00302CB7" w:rsidRPr="00302CB7" w:rsidRDefault="00302CB7" w:rsidP="00302C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Ust. 2.</w:t>
      </w:r>
      <w:r>
        <w:rPr>
          <w:rFonts w:ascii="Times New Roman" w:hAnsi="Times New Roman"/>
          <w:sz w:val="24"/>
        </w:rPr>
        <w:t xml:space="preserve"> Nie dotyczy to niektórych elementów niezbędnych do złożenia materiału, przytwierdzenia denka oraz otwarcia i zamknięcia opakowania jednostkowego.</w:t>
      </w:r>
    </w:p>
    <w:p w14:paraId="27C6C170" w14:textId="6E0544E3" w:rsidR="00302CB7" w:rsidRPr="00302CB7" w:rsidRDefault="00302CB7" w:rsidP="00302C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Ust. 3.</w:t>
      </w:r>
      <w:r>
        <w:rPr>
          <w:rFonts w:ascii="Times New Roman" w:hAnsi="Times New Roman"/>
          <w:sz w:val="24"/>
        </w:rPr>
        <w:t xml:space="preserve"> Nie dotyczy to niektórych elementów niezbędnych do złożenia materiału, przytwierdzenia denka oraz otwarcia i zamknięcia opakowania zewnętrznego.</w:t>
      </w:r>
    </w:p>
    <w:p w14:paraId="526A8367" w14:textId="25CF63D5" w:rsidR="00320622" w:rsidRDefault="00302CB7" w:rsidP="00302C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Ust. 4.</w:t>
      </w:r>
      <w:r>
        <w:rPr>
          <w:rFonts w:ascii="Times New Roman" w:hAnsi="Times New Roman"/>
          <w:sz w:val="24"/>
        </w:rPr>
        <w:t xml:space="preserve"> Wyjątki na mocy ust. 5 pkt. 2 i 3 mają zastosowanie tylko wtedy, gdy nierówność nie nadaje opakowaniu niepowtarzalnego wyrazu, zwracającego uwagę lub w inny sposób może być uznana za sprzeczną z wymogiem znormalizowanego wzoru, w odniesieniu do wszystkich opakowań jednostkowych i opakowań zewnętrznych zawierających papierosy elektroniczne i pojemniki zapasowe z nikotyną i bez nikotyny.</w:t>
      </w:r>
    </w:p>
    <w:p w14:paraId="703EA15C" w14:textId="2AB26261" w:rsidR="004009A5" w:rsidRPr="00857781" w:rsidRDefault="00D9738B" w:rsidP="00A24471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 6.</w:t>
      </w:r>
      <w:r w:rsidR="009966F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powierzchnie itp. opakowań jednostkowych i opakowań zewnętrznych mogą być nanoszone tylko elementy określone przepisami prawa. </w:t>
      </w:r>
    </w:p>
    <w:p w14:paraId="6B65F25E" w14:textId="202F8760" w:rsidR="004009A5" w:rsidRPr="00E9280B" w:rsidRDefault="004009A5" w:rsidP="004009A5">
      <w:pPr>
        <w:rPr>
          <w:rFonts w:ascii="Times New Roman" w:hAnsi="Times New Roman" w:cs="Times New Roman"/>
          <w:sz w:val="24"/>
          <w:szCs w:val="24"/>
        </w:rPr>
      </w:pPr>
    </w:p>
    <w:p w14:paraId="410FFE07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Rozdział 4</w:t>
      </w:r>
    </w:p>
    <w:p w14:paraId="664672ED" w14:textId="52382E40" w:rsidR="004009A5" w:rsidRPr="00711F3F" w:rsidRDefault="004009A5" w:rsidP="00711F3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lastRenderedPageBreak/>
        <w:t>Materiały opakowaniowe używane do produkcji opakowań jednostkowych i opakowań zewnętrznych papierosów elektronicznych i pojemników zapasowych z nikotyną i bez nikotyny</w:t>
      </w:r>
    </w:p>
    <w:p w14:paraId="37B3D713" w14:textId="3FF211A7" w:rsidR="004009A5" w:rsidRPr="00E9280B" w:rsidRDefault="00D9738B" w:rsidP="00451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 7.</w:t>
      </w:r>
      <w:r>
        <w:rPr>
          <w:rFonts w:ascii="Times New Roman" w:hAnsi="Times New Roman"/>
          <w:sz w:val="24"/>
        </w:rPr>
        <w:t xml:space="preserve"> Opakowania jednostkowe i opakowania zewnętrzne muszą być pokryte materiałem opakowaniowym. </w:t>
      </w:r>
    </w:p>
    <w:p w14:paraId="05EAEC40" w14:textId="2035B4E1" w:rsidR="004009A5" w:rsidRPr="00E9280B" w:rsidRDefault="004009A5" w:rsidP="00451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Ust. 2.</w:t>
      </w:r>
      <w:r>
        <w:rPr>
          <w:rFonts w:ascii="Times New Roman" w:hAnsi="Times New Roman"/>
          <w:sz w:val="24"/>
        </w:rPr>
        <w:t xml:space="preserve"> Materiał opakowaniowy musi być płaski i gładki oraz nie może zawierać niestandardowych elementów, takich jak oznakowania, tłoczenia, tekstury, wgłębienia, wybrzuszenia ani elementów o jakimkolwiek innym kształcie lub strukturze.</w:t>
      </w:r>
    </w:p>
    <w:p w14:paraId="20760A2D" w14:textId="5A4A4A1B" w:rsidR="004009A5" w:rsidRPr="00E9280B" w:rsidRDefault="004009A5" w:rsidP="00451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Ust. 3.</w:t>
      </w:r>
      <w:r>
        <w:rPr>
          <w:rFonts w:ascii="Times New Roman" w:hAnsi="Times New Roman"/>
          <w:sz w:val="24"/>
        </w:rPr>
        <w:t xml:space="preserve"> Pasek do otwierania opakowania może być przezroczysty lub czarny. Musi mieć szerokość nie większą niż 3 mm i biec równolegle do górnej krawędzi paczki. Na pasku do otwierania opakowania musi być umieszczone oznaczenie wskazujące początek paska w formie przezroczystej lub czarnej jednolitej linii o maksymalnej długości wynoszącej 15 mm.</w:t>
      </w:r>
    </w:p>
    <w:p w14:paraId="6CE42DE2" w14:textId="77387C15" w:rsidR="004009A5" w:rsidRDefault="004009A5" w:rsidP="00451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Ust. 4.</w:t>
      </w:r>
      <w:r>
        <w:rPr>
          <w:rFonts w:ascii="Times New Roman" w:hAnsi="Times New Roman"/>
          <w:sz w:val="24"/>
        </w:rPr>
        <w:t xml:space="preserve"> Pasek w kolorze czarnym nie może przesłaniać ani zakrywać ostrzeżeń zdrowotnych ani innych oznaczeń umieszczonych zgodnie z przepisami innych aktów prawnych.</w:t>
      </w:r>
    </w:p>
    <w:p w14:paraId="08C116A4" w14:textId="262EE062" w:rsidR="004009A5" w:rsidRPr="00E9280B" w:rsidRDefault="004009A5" w:rsidP="00451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Ustęp 5. </w:t>
      </w:r>
      <w:r>
        <w:rPr>
          <w:rFonts w:ascii="Times New Roman" w:hAnsi="Times New Roman"/>
          <w:sz w:val="24"/>
        </w:rPr>
        <w:t>Materiał opakowaniowy stosuje się wyłącznie do elementów niezbędnych w procesie produkcji i nie zmienia on znormalizowanego wyrazu.</w:t>
      </w:r>
    </w:p>
    <w:p w14:paraId="728E3577" w14:textId="77777777" w:rsidR="004009A5" w:rsidRPr="00E9280B" w:rsidRDefault="004009A5" w:rsidP="004009A5">
      <w:pPr>
        <w:rPr>
          <w:rFonts w:ascii="Times New Roman" w:hAnsi="Times New Roman" w:cs="Times New Roman"/>
          <w:sz w:val="24"/>
          <w:szCs w:val="24"/>
        </w:rPr>
      </w:pPr>
    </w:p>
    <w:p w14:paraId="54A616A8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Rozdział 5</w:t>
      </w:r>
    </w:p>
    <w:p w14:paraId="02C011C3" w14:textId="16DDE974" w:rsidR="004009A5" w:rsidRDefault="004009A5" w:rsidP="004009A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Oznaczenia itd. na opakowaniach jednostkowych i opakowaniach zewnętrznych papierosów elektronicznych i pojemników zapasowych z nikotyną i bez nikotyny</w:t>
      </w:r>
    </w:p>
    <w:p w14:paraId="56E12829" w14:textId="4948007A" w:rsidR="004009A5" w:rsidRDefault="00D9738B" w:rsidP="0009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 8.</w:t>
      </w:r>
      <w:r>
        <w:rPr>
          <w:rFonts w:ascii="Times New Roman" w:hAnsi="Times New Roman"/>
          <w:sz w:val="24"/>
        </w:rPr>
        <w:t xml:space="preserve"> Oznaczenia umieszczone zgodnie z przepisami niniejszego rozporządzenia nie mogą przesłaniać ani zakrywać, w części lub w całości, innych oznaczeń umieszczonych zgodnie z przepisami innych aktów prawnych.</w:t>
      </w:r>
    </w:p>
    <w:p w14:paraId="12BE8940" w14:textId="77777777" w:rsidR="0009506E" w:rsidRPr="00480CCA" w:rsidRDefault="0009506E" w:rsidP="0009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CC714" w14:textId="15A71CA1" w:rsidR="0009506E" w:rsidRPr="00E9280B" w:rsidRDefault="00D9738B" w:rsidP="0009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 9.</w:t>
      </w:r>
      <w:r>
        <w:rPr>
          <w:rFonts w:ascii="Times New Roman" w:hAnsi="Times New Roman"/>
          <w:sz w:val="24"/>
        </w:rPr>
        <w:t xml:space="preserve"> Opakowania jednostkowe i opakowania zewnętrzne mogą być oznakowane w dwóch miejscach znakiem towarowym i nazwą produktu. Oznaczenie to wykonuje się zgodnie z następującymi wytycznymi:</w:t>
      </w:r>
    </w:p>
    <w:p w14:paraId="0BF12D86" w14:textId="5CBAD614" w:rsidR="004009A5" w:rsidRPr="00E9280B" w:rsidRDefault="004009A5" w:rsidP="00A1280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małymi literami alfabetu, przy czym pierwsza litera wyrazu może być wielka; </w:t>
      </w:r>
    </w:p>
    <w:p w14:paraId="3E6C2BCC" w14:textId="77777777" w:rsidR="004009A5" w:rsidRPr="00E9280B" w:rsidRDefault="004009A5" w:rsidP="00A1280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 pomocą cyfr 0-9;</w:t>
      </w:r>
    </w:p>
    <w:p w14:paraId="56D8FAD6" w14:textId="77777777" w:rsidR="004009A5" w:rsidRDefault="004009A5" w:rsidP="00A1280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czcionką Helvetica;</w:t>
      </w:r>
    </w:p>
    <w:p w14:paraId="5D1BD9C1" w14:textId="5AC5E1C4" w:rsidR="004009A5" w:rsidRPr="008E7C5A" w:rsidRDefault="00C51654" w:rsidP="00A1280F">
      <w:pPr>
        <w:pStyle w:val="HTMLPreformatted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może składać się z symboli nawiasów (−), akcentu ostrego (´), apostrofu (’) oraz znaku (&amp;)</w:t>
      </w:r>
    </w:p>
    <w:p w14:paraId="107D9E2D" w14:textId="6C9FF18D" w:rsidR="004009A5" w:rsidRPr="00E9280B" w:rsidRDefault="004009A5" w:rsidP="00A1280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w kolorze Pantone Cool Gray 2 C o wykończeniu matowym; </w:t>
      </w:r>
    </w:p>
    <w:p w14:paraId="3E29EEC0" w14:textId="77777777" w:rsidR="004009A5" w:rsidRPr="00E9280B" w:rsidRDefault="004009A5" w:rsidP="00A1280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czcionką o maksymalnym rozmiarze 10 punktów; </w:t>
      </w:r>
    </w:p>
    <w:p w14:paraId="7E9D5B15" w14:textId="467EDC0D" w:rsidR="004009A5" w:rsidRDefault="004009A5" w:rsidP="00A1280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równolegle do tekstu ostrzeżenia zdrowotnego.</w:t>
      </w:r>
    </w:p>
    <w:p w14:paraId="0BCCBB1D" w14:textId="77777777" w:rsidR="00315A47" w:rsidRPr="00256C6D" w:rsidRDefault="00315A47" w:rsidP="00315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C28C4" w14:textId="4451D92B" w:rsidR="004009A5" w:rsidRDefault="004009A5" w:rsidP="000950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Ust. 2.</w:t>
      </w:r>
      <w:r>
        <w:rPr>
          <w:rFonts w:ascii="Times New Roman" w:hAnsi="Times New Roman"/>
          <w:sz w:val="24"/>
        </w:rPr>
        <w:t xml:space="preserve"> Oznaczenie marki musi mieścić się w jednej linii.</w:t>
      </w:r>
    </w:p>
    <w:p w14:paraId="13051992" w14:textId="77777777" w:rsidR="00AB0A10" w:rsidRPr="00E9280B" w:rsidRDefault="00AB0A10" w:rsidP="000950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40EEC3" w14:textId="7BD8ADE0" w:rsidR="004009A5" w:rsidRDefault="004009A5" w:rsidP="004C3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Ust. 3.</w:t>
      </w:r>
      <w:r>
        <w:rPr>
          <w:rFonts w:ascii="Times New Roman" w:hAnsi="Times New Roman"/>
          <w:sz w:val="24"/>
        </w:rPr>
        <w:t xml:space="preserve"> Nazwa produktu musi mieścić się w jednej linii i być umieszczona bezpośrednio pod znakiem towarowym. </w:t>
      </w:r>
    </w:p>
    <w:p w14:paraId="0C76A8F5" w14:textId="0FB72E99" w:rsidR="00567248" w:rsidRDefault="00D9738B" w:rsidP="00567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 10.</w:t>
      </w:r>
      <w:r>
        <w:rPr>
          <w:rFonts w:ascii="Times New Roman" w:hAnsi="Times New Roman"/>
          <w:sz w:val="24"/>
        </w:rPr>
        <w:t xml:space="preserve"> Na opakowaniach jednostkowych i opakowaniu zewnętrznym należy podać numer identyfikacyjny produktu, informację o ilości sztuk i zawartości opakowania zgodnie z jego </w:t>
      </w:r>
      <w:r>
        <w:rPr>
          <w:rFonts w:ascii="Times New Roman" w:hAnsi="Times New Roman"/>
          <w:sz w:val="24"/>
        </w:rPr>
        <w:lastRenderedPageBreak/>
        <w:t>rzeczywistą zawartością. Można także umieścić informację o rodzaju produktu, który stosuje się wraz z tym produktem.</w:t>
      </w:r>
    </w:p>
    <w:p w14:paraId="196EF505" w14:textId="77838AF4" w:rsidR="004009A5" w:rsidRPr="00E9280B" w:rsidRDefault="004009A5" w:rsidP="00567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50BA7903" w14:textId="1E8577DF" w:rsidR="004009A5" w:rsidRPr="00E9280B" w:rsidRDefault="004009A5" w:rsidP="00567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Ust. 2.</w:t>
      </w:r>
      <w:r>
        <w:rPr>
          <w:rFonts w:ascii="Times New Roman" w:hAnsi="Times New Roman"/>
          <w:sz w:val="24"/>
        </w:rPr>
        <w:t xml:space="preserve"> Na opakowaniu zewnętrznym i opakowaniach jednostkowych papierosów elektronicznych i pojemników zapasowych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z nikotyną i bez nikotyny o aromacie charakterystycznym można zamieścić jedno oznaczenie o treści:</w:t>
      </w:r>
    </w:p>
    <w:p w14:paraId="1CC14AC6" w14:textId="7F7A385D" w:rsidR="004009A5" w:rsidRPr="00E9280B" w:rsidRDefault="001E0CEF" w:rsidP="0056724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„O smaku tytoniu” lub</w:t>
      </w:r>
    </w:p>
    <w:p w14:paraId="4244D5D7" w14:textId="16F65FF9" w:rsidR="004009A5" w:rsidRDefault="001E0CEF" w:rsidP="0056724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„O smaku mentolu”.</w:t>
      </w:r>
    </w:p>
    <w:p w14:paraId="0BECB6C6" w14:textId="77777777" w:rsidR="00567248" w:rsidRPr="007F566B" w:rsidRDefault="00567248" w:rsidP="005672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CC6D2C" w14:textId="77777777" w:rsidR="004009A5" w:rsidRPr="00E9280B" w:rsidRDefault="004009A5" w:rsidP="009B2A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Ust. 3.</w:t>
      </w:r>
      <w:r>
        <w:rPr>
          <w:rFonts w:ascii="Times New Roman" w:hAnsi="Times New Roman"/>
          <w:sz w:val="24"/>
        </w:rPr>
        <w:t xml:space="preserve"> Oznaczenie, o którym mowa w ust. 1 i 2, wykonuje się zgodnie z następującymi wytycznymi:</w:t>
      </w:r>
    </w:p>
    <w:p w14:paraId="6E85298B" w14:textId="203C5281" w:rsidR="004009A5" w:rsidRPr="00E9280B" w:rsidRDefault="004009A5" w:rsidP="009F36F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małymi literami alfabetu, przy czym pierwsza litera wyrazu może być wielka; </w:t>
      </w:r>
    </w:p>
    <w:p w14:paraId="05979D4E" w14:textId="77777777" w:rsidR="004009A5" w:rsidRPr="003973E4" w:rsidRDefault="004009A5" w:rsidP="009F36F8">
      <w:pPr>
        <w:numPr>
          <w:ilvl w:val="0"/>
          <w:numId w:val="13"/>
        </w:numPr>
        <w:spacing w:after="0"/>
      </w:pPr>
      <w:r>
        <w:rPr>
          <w:rFonts w:ascii="Times New Roman" w:hAnsi="Times New Roman"/>
          <w:sz w:val="24"/>
        </w:rPr>
        <w:t>za pomocą cyfr 0-9;</w:t>
      </w:r>
    </w:p>
    <w:p w14:paraId="247A6AB7" w14:textId="25BDD843" w:rsidR="004009A5" w:rsidRPr="00E9280B" w:rsidRDefault="004009A5" w:rsidP="009F36F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czcionką Helvetica;</w:t>
      </w:r>
    </w:p>
    <w:p w14:paraId="075CBCDC" w14:textId="48E40D7D" w:rsidR="004009A5" w:rsidRPr="00E9280B" w:rsidRDefault="004009A5" w:rsidP="009F36F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 kolorze Pantone Cool Gray 2 C o wykończeniu matowym;</w:t>
      </w:r>
    </w:p>
    <w:p w14:paraId="0BC5F740" w14:textId="77777777" w:rsidR="004009A5" w:rsidRPr="00E9280B" w:rsidRDefault="004009A5" w:rsidP="009F36F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czcionką o maksymalnym rozmiarze 10 punktów;</w:t>
      </w:r>
    </w:p>
    <w:p w14:paraId="7277462D" w14:textId="27E92F0E" w:rsidR="004009A5" w:rsidRDefault="004009A5" w:rsidP="009F36F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w kierunku zgodnym z kierunkiem ostrzeżenia zdrowotnego. </w:t>
      </w:r>
    </w:p>
    <w:p w14:paraId="37BEE6C1" w14:textId="77777777" w:rsidR="00DB509A" w:rsidRPr="00DB509A" w:rsidRDefault="00DB509A" w:rsidP="00DB50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CC202F" w14:textId="49AF25B2" w:rsidR="004009A5" w:rsidRPr="00E9280B" w:rsidRDefault="00D9738B" w:rsidP="00F05E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 11.</w:t>
      </w:r>
      <w:r>
        <w:rPr>
          <w:rFonts w:ascii="Times New Roman" w:hAnsi="Times New Roman"/>
          <w:sz w:val="24"/>
        </w:rPr>
        <w:t xml:space="preserve"> Każde opakowanie jednostkowe i opakowanie zewnętrzne papierosów elektronicznych i pojemników zapasowych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z nikotyną i bez nikotyny musi być opatrzone kodem kreskowym, który</w:t>
      </w:r>
    </w:p>
    <w:p w14:paraId="05FBA463" w14:textId="77777777" w:rsidR="004009A5" w:rsidRPr="00E9280B" w:rsidRDefault="004009A5" w:rsidP="004C055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służy jedynie do celów zrealizowania płatności, dystrybucji lub kontroli zapasów;</w:t>
      </w:r>
    </w:p>
    <w:p w14:paraId="21DE205D" w14:textId="1675FB21" w:rsidR="004009A5" w:rsidRPr="00E9280B" w:rsidRDefault="004009A5" w:rsidP="004C055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jest w kolorze czarnym na białym tle lub w kolorze Pantone Cool Gray 2 C o wykończeniu matowym na białym tle; </w:t>
      </w:r>
    </w:p>
    <w:p w14:paraId="618C64AD" w14:textId="77777777" w:rsidR="004009A5" w:rsidRPr="00E9280B" w:rsidRDefault="004009A5" w:rsidP="004C055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nie tworzy obrazka, wzoru lub symbolu, który może być postrzegany inaczej niż kod kreskowy; i</w:t>
      </w:r>
    </w:p>
    <w:p w14:paraId="17474EB8" w14:textId="77B770E6" w:rsidR="004009A5" w:rsidRDefault="004009A5" w:rsidP="004C055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umieszczony jest na spodzie lub z boku opakowania mającego kształt prostopadłościanu.</w:t>
      </w:r>
    </w:p>
    <w:p w14:paraId="53732821" w14:textId="77777777" w:rsidR="00AA4176" w:rsidRPr="00AA4176" w:rsidRDefault="00AA4176" w:rsidP="00AA4176">
      <w:pPr>
        <w:rPr>
          <w:rFonts w:ascii="Times New Roman" w:hAnsi="Times New Roman" w:cs="Times New Roman"/>
          <w:sz w:val="24"/>
          <w:szCs w:val="24"/>
        </w:rPr>
      </w:pPr>
    </w:p>
    <w:p w14:paraId="25A39E58" w14:textId="5A9AB3C1" w:rsidR="004009A5" w:rsidRPr="00A23DED" w:rsidRDefault="004009A5" w:rsidP="004009A5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12.</w:t>
      </w:r>
      <w:r>
        <w:rPr>
          <w:rFonts w:ascii="Times New Roman" w:hAnsi="Times New Roman"/>
          <w:sz w:val="24"/>
        </w:rPr>
        <w:t xml:space="preserve"> Na opakowaniach jednostkowych oraz opakowaniach zewnętrznych papierosów elektronicznych i pojemników zapasowych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z nikotyną i bez nikotyny można umieszczać etykiety produkcyjne, w tym numer partii, pod warunkiem że etykieta</w:t>
      </w:r>
    </w:p>
    <w:p w14:paraId="10FE63F9" w14:textId="6F09D774" w:rsidR="004009A5" w:rsidRPr="00A23DED" w:rsidRDefault="004009A5" w:rsidP="00A26A6E">
      <w:pPr>
        <w:pStyle w:val="HTMLPreformatted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służy zapewnieniu zgodności z innymi obowiązującymi przepisami, w tym z przepisami dotyczącymi śledzenia drogi przesyłki i opłat,</w:t>
      </w:r>
    </w:p>
    <w:p w14:paraId="0A4DFE4F" w14:textId="2AABE75B" w:rsidR="004009A5" w:rsidRPr="00A23DED" w:rsidRDefault="004009A5" w:rsidP="00A26A6E">
      <w:pPr>
        <w:pStyle w:val="HTMLPreformatted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jest w kolorze czarnym na białym tle lub w kolorze </w:t>
      </w:r>
      <w:r>
        <w:rPr>
          <w:rStyle w:val="A1"/>
          <w:rFonts w:ascii="Times New Roman" w:hAnsi="Times New Roman"/>
          <w:sz w:val="24"/>
        </w:rPr>
        <w:t>Pantone Cool Gray 2 C</w:t>
      </w:r>
      <w:r>
        <w:rPr>
          <w:rFonts w:ascii="Times New Roman" w:hAnsi="Times New Roman"/>
          <w:sz w:val="24"/>
        </w:rPr>
        <w:t xml:space="preserve"> o wykończeniu matowym na białym tle; </w:t>
      </w:r>
    </w:p>
    <w:p w14:paraId="6D21CEAD" w14:textId="77777777" w:rsidR="004009A5" w:rsidRPr="00A23DED" w:rsidRDefault="004009A5" w:rsidP="00A26A6E">
      <w:pPr>
        <w:pStyle w:val="HTMLPreformatted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nie stanowi obrazu, wzoru lub symbolu, który naśladuje cokolwiek innego, co nie jest etykietą produkcyjną,</w:t>
      </w:r>
    </w:p>
    <w:p w14:paraId="4502A29B" w14:textId="0F209152" w:rsidR="004009A5" w:rsidRPr="00A23DED" w:rsidRDefault="004009A5" w:rsidP="00A26A6E">
      <w:pPr>
        <w:pStyle w:val="HTMLPreformatted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znajduje się na dole lub z boku opakowania oraz</w:t>
      </w:r>
    </w:p>
    <w:p w14:paraId="1124F38C" w14:textId="6F73A850" w:rsidR="004009A5" w:rsidRPr="00A23DED" w:rsidRDefault="004009A5" w:rsidP="00A26A6E">
      <w:pPr>
        <w:pStyle w:val="HTMLPreformatted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nie może być uznana za sprzeczną z wymogiem dotyczącym znormalizowanego wzoru dla wszystkich wyrobów zawierających papierosy elektroniczne i pojemniki zapasowe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z nikotyną i bez nikotyny.</w:t>
      </w:r>
    </w:p>
    <w:p w14:paraId="7FCD5ED5" w14:textId="62086A02" w:rsidR="004009A5" w:rsidRPr="00E9280B" w:rsidRDefault="004009A5" w:rsidP="004009A5">
      <w:pPr>
        <w:rPr>
          <w:rFonts w:ascii="Times New Roman" w:hAnsi="Times New Roman" w:cs="Times New Roman"/>
          <w:sz w:val="24"/>
          <w:szCs w:val="24"/>
        </w:rPr>
      </w:pPr>
    </w:p>
    <w:p w14:paraId="04BC20F2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Rozdział 6</w:t>
      </w:r>
    </w:p>
    <w:p w14:paraId="4048984A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Przepisy dotyczące kar</w:t>
      </w:r>
    </w:p>
    <w:p w14:paraId="79813513" w14:textId="559C5930" w:rsidR="004009A5" w:rsidRPr="00E9280B" w:rsidRDefault="00D9738B" w:rsidP="00400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§ 13.</w:t>
      </w:r>
      <w:r w:rsidR="009966F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O ile inne przepisy prawa nie przewidują wyższej kary, karze grzywny podlega ten, kto narusza przepisy §§ 2-12.</w:t>
      </w:r>
    </w:p>
    <w:p w14:paraId="6CDE12FC" w14:textId="77777777" w:rsidR="004009A5" w:rsidRPr="00E9280B" w:rsidRDefault="004009A5" w:rsidP="004009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</w:rPr>
        <w:t>Ust. 2.</w:t>
      </w:r>
      <w:r>
        <w:rPr>
          <w:rFonts w:ascii="Times New Roman" w:hAnsi="Times New Roman"/>
          <w:sz w:val="24"/>
        </w:rPr>
        <w:t xml:space="preserve"> (osoby prawne) mogą podlegać odpowiedzialności karnej zgodnie z przepisami rozdziału 5 kodeksu karnego.</w:t>
      </w:r>
    </w:p>
    <w:p w14:paraId="1E8B3BC5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Rozdział 7</w:t>
      </w:r>
    </w:p>
    <w:p w14:paraId="5E80AF89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Wejście w życie</w:t>
      </w:r>
    </w:p>
    <w:p w14:paraId="09DAF2BD" w14:textId="7B272B0B" w:rsidR="004009A5" w:rsidRPr="00E9280B" w:rsidRDefault="00D9738B" w:rsidP="00400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14.</w:t>
      </w:r>
      <w:r w:rsidR="009966F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Niniejsze rozporządzenie wchodzi w życie z dniem 1 października 2021 r.</w:t>
      </w:r>
    </w:p>
    <w:p w14:paraId="2F9EF994" w14:textId="77777777" w:rsidR="004009A5" w:rsidRPr="00E9280B" w:rsidRDefault="004009A5" w:rsidP="004009A5">
      <w:pPr>
        <w:rPr>
          <w:rFonts w:ascii="Times New Roman" w:hAnsi="Times New Roman" w:cs="Times New Roman"/>
          <w:sz w:val="24"/>
          <w:szCs w:val="24"/>
        </w:rPr>
      </w:pPr>
    </w:p>
    <w:p w14:paraId="00D97019" w14:textId="0EB2B7E6" w:rsidR="004009A5" w:rsidRPr="0036645A" w:rsidRDefault="00197299" w:rsidP="004009A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Duńskie Ministerstwo Zdrowia i Osób Starszych, dnia 19 kwietnia 2021 r.</w:t>
      </w:r>
    </w:p>
    <w:p w14:paraId="30AE0D94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4BBDD6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Magnus Heunicke</w:t>
      </w:r>
    </w:p>
    <w:p w14:paraId="3C82C631" w14:textId="35C3B320" w:rsidR="00D47ADF" w:rsidRPr="00385EB9" w:rsidRDefault="00197299" w:rsidP="00A60050">
      <w:pPr>
        <w:ind w:left="65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/</w:t>
      </w:r>
      <w:r w:rsidR="0073411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Zelle Huma Sheikh</w:t>
      </w:r>
    </w:p>
    <w:sectPr w:rsidR="00D47ADF" w:rsidRPr="00385E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5B79B" w14:textId="77777777" w:rsidR="00961C0A" w:rsidRDefault="00961C0A" w:rsidP="00E65BF1">
      <w:pPr>
        <w:spacing w:after="0" w:line="240" w:lineRule="auto"/>
      </w:pPr>
      <w:r>
        <w:separator/>
      </w:r>
    </w:p>
  </w:endnote>
  <w:endnote w:type="continuationSeparator" w:id="0">
    <w:p w14:paraId="1E760149" w14:textId="77777777" w:rsidR="00961C0A" w:rsidRDefault="00961C0A" w:rsidP="00E65BF1">
      <w:pPr>
        <w:spacing w:after="0" w:line="240" w:lineRule="auto"/>
      </w:pPr>
      <w:r>
        <w:continuationSeparator/>
      </w:r>
    </w:p>
  </w:endnote>
  <w:endnote w:type="continuationNotice" w:id="1">
    <w:p w14:paraId="4081043A" w14:textId="77777777" w:rsidR="00961C0A" w:rsidRDefault="00961C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DA33F" w14:textId="77777777" w:rsidR="00E65BF1" w:rsidRDefault="00E65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B689" w14:textId="77777777" w:rsidR="00E65BF1" w:rsidRDefault="00E65B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DDC8" w14:textId="77777777" w:rsidR="00E65BF1" w:rsidRDefault="00E65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3568E" w14:textId="77777777" w:rsidR="00961C0A" w:rsidRDefault="00961C0A" w:rsidP="00E65BF1">
      <w:pPr>
        <w:spacing w:after="0" w:line="240" w:lineRule="auto"/>
      </w:pPr>
      <w:r>
        <w:separator/>
      </w:r>
    </w:p>
  </w:footnote>
  <w:footnote w:type="continuationSeparator" w:id="0">
    <w:p w14:paraId="20848A41" w14:textId="77777777" w:rsidR="00961C0A" w:rsidRDefault="00961C0A" w:rsidP="00E65BF1">
      <w:pPr>
        <w:spacing w:after="0" w:line="240" w:lineRule="auto"/>
      </w:pPr>
      <w:r>
        <w:continuationSeparator/>
      </w:r>
    </w:p>
  </w:footnote>
  <w:footnote w:type="continuationNotice" w:id="1">
    <w:p w14:paraId="239E551A" w14:textId="77777777" w:rsidR="00961C0A" w:rsidRDefault="00961C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ED9A" w14:textId="490F6B65" w:rsidR="00E65BF1" w:rsidRDefault="00E65B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F760" w14:textId="6F97EB56" w:rsidR="00E65BF1" w:rsidRDefault="00E65B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D2C1" w14:textId="2C580DA0" w:rsidR="00E65BF1" w:rsidRDefault="00E65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8D2"/>
    <w:multiLevelType w:val="hybridMultilevel"/>
    <w:tmpl w:val="AABEE06E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D3612"/>
    <w:multiLevelType w:val="hybridMultilevel"/>
    <w:tmpl w:val="72581B0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79162C"/>
    <w:multiLevelType w:val="hybridMultilevel"/>
    <w:tmpl w:val="99D2B0FC"/>
    <w:lvl w:ilvl="0" w:tplc="48C28F70">
      <w:start w:val="1"/>
      <w:numFmt w:val="decimal"/>
      <w:pStyle w:val="CommentTex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A1742"/>
    <w:multiLevelType w:val="hybridMultilevel"/>
    <w:tmpl w:val="E77AE982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B7518E"/>
    <w:multiLevelType w:val="hybridMultilevel"/>
    <w:tmpl w:val="15D6F37E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825115"/>
    <w:multiLevelType w:val="hybridMultilevel"/>
    <w:tmpl w:val="93E2E252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40767C"/>
    <w:multiLevelType w:val="hybridMultilevel"/>
    <w:tmpl w:val="220C813E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627F8A"/>
    <w:multiLevelType w:val="hybridMultilevel"/>
    <w:tmpl w:val="589CCB2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F25C52"/>
    <w:multiLevelType w:val="hybridMultilevel"/>
    <w:tmpl w:val="DB9CA4E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986B3C"/>
    <w:multiLevelType w:val="hybridMultilevel"/>
    <w:tmpl w:val="7B52777E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0C7220"/>
    <w:multiLevelType w:val="hybridMultilevel"/>
    <w:tmpl w:val="466AC2C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D74E6FFA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56A82"/>
    <w:multiLevelType w:val="hybridMultilevel"/>
    <w:tmpl w:val="B628CF4E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2"/>
  </w:num>
  <w:num w:numId="9">
    <w:abstractNumId w:val="10"/>
  </w:num>
  <w:num w:numId="10">
    <w:abstractNumId w:val="1"/>
  </w:num>
  <w:num w:numId="11">
    <w:abstractNumId w:val="6"/>
  </w:num>
  <w:num w:numId="12">
    <w:abstractNumId w:val="11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9A5"/>
    <w:rsid w:val="00025E2F"/>
    <w:rsid w:val="00027E12"/>
    <w:rsid w:val="00036E6B"/>
    <w:rsid w:val="00045A8E"/>
    <w:rsid w:val="00045C04"/>
    <w:rsid w:val="0004610C"/>
    <w:rsid w:val="0009506E"/>
    <w:rsid w:val="000A183B"/>
    <w:rsid w:val="000B4299"/>
    <w:rsid w:val="000D27A2"/>
    <w:rsid w:val="000E5998"/>
    <w:rsid w:val="00113856"/>
    <w:rsid w:val="00115117"/>
    <w:rsid w:val="00130E67"/>
    <w:rsid w:val="00132986"/>
    <w:rsid w:val="00133423"/>
    <w:rsid w:val="00135E31"/>
    <w:rsid w:val="001472C3"/>
    <w:rsid w:val="00150DE8"/>
    <w:rsid w:val="001541FE"/>
    <w:rsid w:val="00180F6A"/>
    <w:rsid w:val="00196AD7"/>
    <w:rsid w:val="00197299"/>
    <w:rsid w:val="001B2C2A"/>
    <w:rsid w:val="001B2FC7"/>
    <w:rsid w:val="001E0CEF"/>
    <w:rsid w:val="001F0FFE"/>
    <w:rsid w:val="001F6C1B"/>
    <w:rsid w:val="00201DAA"/>
    <w:rsid w:val="00204CF3"/>
    <w:rsid w:val="00206773"/>
    <w:rsid w:val="00237412"/>
    <w:rsid w:val="00243E18"/>
    <w:rsid w:val="002519E4"/>
    <w:rsid w:val="00256C6D"/>
    <w:rsid w:val="00271396"/>
    <w:rsid w:val="00281A50"/>
    <w:rsid w:val="0029228B"/>
    <w:rsid w:val="002975EF"/>
    <w:rsid w:val="002C54DB"/>
    <w:rsid w:val="002D5BB3"/>
    <w:rsid w:val="002E080A"/>
    <w:rsid w:val="002E5791"/>
    <w:rsid w:val="002F55FE"/>
    <w:rsid w:val="00302CB7"/>
    <w:rsid w:val="00315A47"/>
    <w:rsid w:val="00320622"/>
    <w:rsid w:val="00335A62"/>
    <w:rsid w:val="00343E56"/>
    <w:rsid w:val="00357241"/>
    <w:rsid w:val="00365635"/>
    <w:rsid w:val="0036645A"/>
    <w:rsid w:val="00384E7F"/>
    <w:rsid w:val="00385EB9"/>
    <w:rsid w:val="003869B8"/>
    <w:rsid w:val="00387BE1"/>
    <w:rsid w:val="003906B3"/>
    <w:rsid w:val="003F2B3C"/>
    <w:rsid w:val="003F68C2"/>
    <w:rsid w:val="004009A5"/>
    <w:rsid w:val="00405488"/>
    <w:rsid w:val="00411B45"/>
    <w:rsid w:val="00421065"/>
    <w:rsid w:val="004365C4"/>
    <w:rsid w:val="004456EC"/>
    <w:rsid w:val="0045177E"/>
    <w:rsid w:val="00456C2A"/>
    <w:rsid w:val="004600B9"/>
    <w:rsid w:val="00464DB7"/>
    <w:rsid w:val="00480CCA"/>
    <w:rsid w:val="0049533D"/>
    <w:rsid w:val="004A4049"/>
    <w:rsid w:val="004A46A3"/>
    <w:rsid w:val="004B15E5"/>
    <w:rsid w:val="004B4BEC"/>
    <w:rsid w:val="004C055E"/>
    <w:rsid w:val="004C2DBE"/>
    <w:rsid w:val="004C30A4"/>
    <w:rsid w:val="004C3B01"/>
    <w:rsid w:val="004D2174"/>
    <w:rsid w:val="004D2AF0"/>
    <w:rsid w:val="004E20BE"/>
    <w:rsid w:val="004F426E"/>
    <w:rsid w:val="00500DF2"/>
    <w:rsid w:val="00531D5A"/>
    <w:rsid w:val="00567248"/>
    <w:rsid w:val="005745F3"/>
    <w:rsid w:val="00577877"/>
    <w:rsid w:val="005901DC"/>
    <w:rsid w:val="00592978"/>
    <w:rsid w:val="005B0794"/>
    <w:rsid w:val="005B10A5"/>
    <w:rsid w:val="005B4E9D"/>
    <w:rsid w:val="005C57CD"/>
    <w:rsid w:val="005C5923"/>
    <w:rsid w:val="005D7967"/>
    <w:rsid w:val="005E422C"/>
    <w:rsid w:val="005E66BC"/>
    <w:rsid w:val="005F198D"/>
    <w:rsid w:val="0061228C"/>
    <w:rsid w:val="00620CDA"/>
    <w:rsid w:val="006228BE"/>
    <w:rsid w:val="0065676E"/>
    <w:rsid w:val="006606A3"/>
    <w:rsid w:val="00674486"/>
    <w:rsid w:val="0068143B"/>
    <w:rsid w:val="00696951"/>
    <w:rsid w:val="006A14E3"/>
    <w:rsid w:val="006D6C29"/>
    <w:rsid w:val="006E49E1"/>
    <w:rsid w:val="006F3DF1"/>
    <w:rsid w:val="00703BA0"/>
    <w:rsid w:val="00706FF6"/>
    <w:rsid w:val="00711F3F"/>
    <w:rsid w:val="00714F7E"/>
    <w:rsid w:val="00717296"/>
    <w:rsid w:val="00720BBE"/>
    <w:rsid w:val="00733388"/>
    <w:rsid w:val="00733B6A"/>
    <w:rsid w:val="00734116"/>
    <w:rsid w:val="00734B6F"/>
    <w:rsid w:val="00743EB9"/>
    <w:rsid w:val="00746D7E"/>
    <w:rsid w:val="0075451C"/>
    <w:rsid w:val="0075722B"/>
    <w:rsid w:val="00757DB7"/>
    <w:rsid w:val="00761992"/>
    <w:rsid w:val="00763137"/>
    <w:rsid w:val="00772F85"/>
    <w:rsid w:val="00777BC9"/>
    <w:rsid w:val="007952D2"/>
    <w:rsid w:val="007978D7"/>
    <w:rsid w:val="007A62F5"/>
    <w:rsid w:val="007A74DC"/>
    <w:rsid w:val="007B145B"/>
    <w:rsid w:val="007B1B7A"/>
    <w:rsid w:val="007B3CE9"/>
    <w:rsid w:val="007B7913"/>
    <w:rsid w:val="007C0D66"/>
    <w:rsid w:val="007D0B24"/>
    <w:rsid w:val="007F566B"/>
    <w:rsid w:val="00811756"/>
    <w:rsid w:val="008204A5"/>
    <w:rsid w:val="00834B55"/>
    <w:rsid w:val="008367FC"/>
    <w:rsid w:val="0084548E"/>
    <w:rsid w:val="00845F35"/>
    <w:rsid w:val="00861A09"/>
    <w:rsid w:val="00866F05"/>
    <w:rsid w:val="008712FE"/>
    <w:rsid w:val="00871453"/>
    <w:rsid w:val="008717E6"/>
    <w:rsid w:val="00892864"/>
    <w:rsid w:val="008A4B41"/>
    <w:rsid w:val="008B1D47"/>
    <w:rsid w:val="008B5C98"/>
    <w:rsid w:val="008C1EC9"/>
    <w:rsid w:val="008C7679"/>
    <w:rsid w:val="008D05FB"/>
    <w:rsid w:val="008D5280"/>
    <w:rsid w:val="008D5EF8"/>
    <w:rsid w:val="008D618A"/>
    <w:rsid w:val="008E5DB4"/>
    <w:rsid w:val="00917AD0"/>
    <w:rsid w:val="0092374E"/>
    <w:rsid w:val="00961C0A"/>
    <w:rsid w:val="00970A60"/>
    <w:rsid w:val="00971ABD"/>
    <w:rsid w:val="0098752E"/>
    <w:rsid w:val="00987858"/>
    <w:rsid w:val="009966FC"/>
    <w:rsid w:val="009B03CA"/>
    <w:rsid w:val="009B2A08"/>
    <w:rsid w:val="009E07F7"/>
    <w:rsid w:val="009F36F8"/>
    <w:rsid w:val="00A01229"/>
    <w:rsid w:val="00A03D5B"/>
    <w:rsid w:val="00A076C2"/>
    <w:rsid w:val="00A1280F"/>
    <w:rsid w:val="00A21DE0"/>
    <w:rsid w:val="00A24471"/>
    <w:rsid w:val="00A25E8A"/>
    <w:rsid w:val="00A26A6E"/>
    <w:rsid w:val="00A332B7"/>
    <w:rsid w:val="00A40B15"/>
    <w:rsid w:val="00A46F51"/>
    <w:rsid w:val="00A56D01"/>
    <w:rsid w:val="00A60050"/>
    <w:rsid w:val="00A615D4"/>
    <w:rsid w:val="00A65562"/>
    <w:rsid w:val="00A6687B"/>
    <w:rsid w:val="00A72E79"/>
    <w:rsid w:val="00AA1224"/>
    <w:rsid w:val="00AA360F"/>
    <w:rsid w:val="00AA4176"/>
    <w:rsid w:val="00AA5315"/>
    <w:rsid w:val="00AB0A10"/>
    <w:rsid w:val="00AB1A8E"/>
    <w:rsid w:val="00AB2D87"/>
    <w:rsid w:val="00AB3792"/>
    <w:rsid w:val="00AC25F9"/>
    <w:rsid w:val="00AE0DA0"/>
    <w:rsid w:val="00AE640E"/>
    <w:rsid w:val="00AF13C1"/>
    <w:rsid w:val="00B32884"/>
    <w:rsid w:val="00B36907"/>
    <w:rsid w:val="00B56A39"/>
    <w:rsid w:val="00B7258B"/>
    <w:rsid w:val="00B72ED1"/>
    <w:rsid w:val="00B76817"/>
    <w:rsid w:val="00B77AC1"/>
    <w:rsid w:val="00BC5A51"/>
    <w:rsid w:val="00BE210C"/>
    <w:rsid w:val="00BE72D0"/>
    <w:rsid w:val="00BF30BE"/>
    <w:rsid w:val="00C04D22"/>
    <w:rsid w:val="00C20340"/>
    <w:rsid w:val="00C236D1"/>
    <w:rsid w:val="00C2471F"/>
    <w:rsid w:val="00C4716A"/>
    <w:rsid w:val="00C47D05"/>
    <w:rsid w:val="00C51654"/>
    <w:rsid w:val="00C5459C"/>
    <w:rsid w:val="00C60738"/>
    <w:rsid w:val="00C67E54"/>
    <w:rsid w:val="00C82CAA"/>
    <w:rsid w:val="00C84352"/>
    <w:rsid w:val="00C90960"/>
    <w:rsid w:val="00CB0586"/>
    <w:rsid w:val="00CB2283"/>
    <w:rsid w:val="00D04440"/>
    <w:rsid w:val="00D06DBF"/>
    <w:rsid w:val="00D1347B"/>
    <w:rsid w:val="00D14ABA"/>
    <w:rsid w:val="00D15F19"/>
    <w:rsid w:val="00D205CB"/>
    <w:rsid w:val="00D2737D"/>
    <w:rsid w:val="00D61F80"/>
    <w:rsid w:val="00D702C0"/>
    <w:rsid w:val="00D70E5C"/>
    <w:rsid w:val="00D7429F"/>
    <w:rsid w:val="00D82618"/>
    <w:rsid w:val="00D9738B"/>
    <w:rsid w:val="00DB509A"/>
    <w:rsid w:val="00DB6059"/>
    <w:rsid w:val="00DC28DA"/>
    <w:rsid w:val="00DC2F07"/>
    <w:rsid w:val="00DD256C"/>
    <w:rsid w:val="00DD45D5"/>
    <w:rsid w:val="00DF40BA"/>
    <w:rsid w:val="00E02457"/>
    <w:rsid w:val="00E10F44"/>
    <w:rsid w:val="00E1225E"/>
    <w:rsid w:val="00E20E11"/>
    <w:rsid w:val="00E23F11"/>
    <w:rsid w:val="00E4453D"/>
    <w:rsid w:val="00E50180"/>
    <w:rsid w:val="00E55B32"/>
    <w:rsid w:val="00E605F6"/>
    <w:rsid w:val="00E65BF1"/>
    <w:rsid w:val="00E83B06"/>
    <w:rsid w:val="00E875E5"/>
    <w:rsid w:val="00E878D2"/>
    <w:rsid w:val="00E94A7F"/>
    <w:rsid w:val="00EA2A64"/>
    <w:rsid w:val="00EA6904"/>
    <w:rsid w:val="00EA73E1"/>
    <w:rsid w:val="00ED0AAB"/>
    <w:rsid w:val="00EF07DE"/>
    <w:rsid w:val="00EF1F14"/>
    <w:rsid w:val="00EF3D2E"/>
    <w:rsid w:val="00EF3DAF"/>
    <w:rsid w:val="00EF550F"/>
    <w:rsid w:val="00F000D1"/>
    <w:rsid w:val="00F00EBE"/>
    <w:rsid w:val="00F05E37"/>
    <w:rsid w:val="00F34510"/>
    <w:rsid w:val="00F46AF2"/>
    <w:rsid w:val="00F471C1"/>
    <w:rsid w:val="00F53D0B"/>
    <w:rsid w:val="00F64165"/>
    <w:rsid w:val="00F92484"/>
    <w:rsid w:val="00F9667D"/>
    <w:rsid w:val="00FA1E98"/>
    <w:rsid w:val="00FB023F"/>
    <w:rsid w:val="00FD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91705"/>
  <w15:chartTrackingRefBased/>
  <w15:docId w15:val="{3827919B-453F-41CF-9C0E-CC537247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4009A5"/>
    <w:pPr>
      <w:numPr>
        <w:numId w:val="8"/>
      </w:num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9A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09A5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009A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009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09A5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A1">
    <w:name w:val="A1"/>
    <w:uiPriority w:val="99"/>
    <w:rsid w:val="004009A5"/>
    <w:rPr>
      <w:rFonts w:cs="Gotham Medium"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A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53D"/>
    <w:pPr>
      <w:numPr>
        <w:numId w:val="0"/>
      </w:numPr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53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5B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BF1"/>
  </w:style>
  <w:style w:type="paragraph" w:styleId="Footer">
    <w:name w:val="footer"/>
    <w:basedOn w:val="Normal"/>
    <w:link w:val="FooterChar"/>
    <w:uiPriority w:val="99"/>
    <w:unhideWhenUsed/>
    <w:rsid w:val="00E65B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E8E88-3E04-4818-9F50-2A1D988E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5</Pages>
  <Words>1383</Words>
  <Characters>8607</Characters>
  <Application>Microsoft Office Word</Application>
  <DocSecurity>0</DocSecurity>
  <Lines>179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Sundhedsdatastyrelsen</Company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Ersbøll Ross</dc:creator>
  <cp:keywords/>
  <dc:description/>
  <cp:lastModifiedBy>Maria Nilsson</cp:lastModifiedBy>
  <cp:revision>316</cp:revision>
  <dcterms:created xsi:type="dcterms:W3CDTF">2021-01-29T10:18:00Z</dcterms:created>
  <dcterms:modified xsi:type="dcterms:W3CDTF">2022-01-12T19:32:00Z</dcterms:modified>
</cp:coreProperties>
</file>