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7D36" w14:textId="77777777" w:rsidR="00201C96" w:rsidRDefault="00201C96" w:rsidP="0068520B">
      <w:pPr>
        <w:pStyle w:val="BodyText"/>
      </w:pPr>
      <w:bookmarkStart w:id="0" w:name="Start"/>
      <w:bookmarkEnd w:id="0"/>
    </w:p>
    <w:p w14:paraId="4BBECBBF" w14:textId="77777777" w:rsidR="00646F34" w:rsidRDefault="00646F34" w:rsidP="007F7FC2">
      <w:pPr>
        <w:pStyle w:val="BodyText"/>
        <w:spacing w:after="1120"/>
      </w:pPr>
    </w:p>
    <w:p w14:paraId="719B4569" w14:textId="2DE6F4AD" w:rsidR="00646F34" w:rsidRDefault="00646F34" w:rsidP="002576A9">
      <w:pPr>
        <w:pStyle w:val="Heading1"/>
        <w:rPr>
          <w:sz w:val="38"/>
          <w:szCs w:val="38"/>
        </w:rPr>
      </w:pPr>
      <w:r>
        <w:rPr>
          <w:noProof/>
          <w:sz w:val="38"/>
        </w:rPr>
        <w:drawing>
          <wp:anchor distT="0" distB="0" distL="114300" distR="114300" simplePos="0" relativeHeight="251657216" behindDoc="1" locked="0" layoutInCell="1" allowOverlap="0" wp14:anchorId="01797C1F" wp14:editId="52B02CE2">
            <wp:simplePos x="0" y="0"/>
            <wp:positionH relativeFrom="column">
              <wp:posOffset>-2540</wp:posOffset>
            </wp:positionH>
            <wp:positionV relativeFrom="page">
              <wp:posOffset>431800</wp:posOffset>
            </wp:positionV>
            <wp:extent cx="370205" cy="629920"/>
            <wp:effectExtent l="0" t="0" r="0" b="0"/>
            <wp:wrapNone/>
            <wp:docPr id="9" name="Bildobjekt 9"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r>
        <w:rPr>
          <w:sz w:val="38"/>
        </w:rPr>
        <w:t>Code suédois des statuts</w:t>
      </w:r>
    </w:p>
    <w:p w14:paraId="6CC2C3FA" w14:textId="10456E96" w:rsidR="00646F34" w:rsidRPr="005F75D2" w:rsidRDefault="0073211B" w:rsidP="005F75D2">
      <w:pPr>
        <w:pStyle w:val="BodyText"/>
        <w:pBdr>
          <w:top w:val="single" w:sz="6" w:space="1" w:color="auto"/>
        </w:pBdr>
        <w:ind w:right="-2411"/>
        <w:rPr>
          <w:sz w:val="4"/>
          <w:szCs w:val="4"/>
        </w:rPr>
      </w:pPr>
      <w:r>
        <w:rPr>
          <w:noProof/>
        </w:rPr>
        <mc:AlternateContent>
          <mc:Choice Requires="wps">
            <w:drawing>
              <wp:anchor distT="0" distB="0" distL="114300" distR="114300" simplePos="0" relativeHeight="251662336" behindDoc="0" locked="0" layoutInCell="1" allowOverlap="1" wp14:anchorId="5E9FED69" wp14:editId="67AD77F7">
                <wp:simplePos x="0" y="0"/>
                <wp:positionH relativeFrom="page">
                  <wp:posOffset>5400675</wp:posOffset>
                </wp:positionH>
                <wp:positionV relativeFrom="page">
                  <wp:posOffset>1964338</wp:posOffset>
                </wp:positionV>
                <wp:extent cx="1551305" cy="712470"/>
                <wp:effectExtent l="0" t="0" r="0" b="0"/>
                <wp:wrapNone/>
                <wp:docPr id="7" name="Textruta 7" descr="Ruta som innehåller SFS-nummer och publiceringsdatum"/>
                <wp:cNvGraphicFramePr/>
                <a:graphic xmlns:a="http://schemas.openxmlformats.org/drawingml/2006/main">
                  <a:graphicData uri="http://schemas.microsoft.com/office/word/2010/wordprocessingShape">
                    <wps:wsp>
                      <wps:cNvSpPr txBox="1"/>
                      <wps:spPr>
                        <a:xfrm>
                          <a:off x="0" y="0"/>
                          <a:ext cx="1551305" cy="712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C41C7" w14:textId="77777777" w:rsidR="00CE5660" w:rsidRPr="001974BD" w:rsidRDefault="00CE5660" w:rsidP="009C4782">
                            <w:pPr>
                              <w:pStyle w:val="BodyText"/>
                              <w:jc w:val="left"/>
                              <w:rPr>
                                <w:b/>
                                <w:sz w:val="26"/>
                                <w:szCs w:val="26"/>
                              </w:rPr>
                            </w:pPr>
                            <w:r>
                              <w:rPr>
                                <w:b/>
                                <w:sz w:val="26"/>
                              </w:rPr>
                              <w:t>SFS</w:t>
                            </w:r>
                          </w:p>
                          <w:p w14:paraId="4144185B" w14:textId="77777777" w:rsidR="00CE5660" w:rsidRPr="00AE1FEB" w:rsidRDefault="00CE5660" w:rsidP="009C4782">
                            <w:pPr>
                              <w:pStyle w:val="BodyText"/>
                              <w:jc w:val="left"/>
                              <w:rPr>
                                <w:sz w:val="20"/>
                                <w:szCs w:val="20"/>
                              </w:rPr>
                            </w:pPr>
                            <w:r>
                              <w:rPr>
                                <w:sz w:val="20"/>
                              </w:rPr>
                              <w:t>Publié</w:t>
                            </w:r>
                            <w:r>
                              <w:rPr>
                                <w:sz w:val="20"/>
                              </w:rPr>
                              <w:br/>
                              <w: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FED69" id="_x0000_t202" coordsize="21600,21600" o:spt="202" path="m,l,21600r21600,l21600,xe">
                <v:stroke joinstyle="miter"/>
                <v:path gradientshapeok="t" o:connecttype="rect"/>
              </v:shapetype>
              <v:shape id="Textruta 7" o:spid="_x0000_s1026" type="#_x0000_t202" alt="Ruta som innehåller SFS-nummer och publiceringsdatum" style="position:absolute;left:0;text-align:left;margin-left:425.25pt;margin-top:154.65pt;width:122.15pt;height:56.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" fillcolor="white [3201]" stroked="f" strokeweight=".5pt">
                <v:textbox>
                  <w:txbxContent>
                    <w:p w14:paraId="100C41C7" w14:textId="77777777" w:rsidR="00CE5660" w:rsidRPr="001974BD" w:rsidRDefault="00CE5660" w:rsidP="009C4782">
                      <w:pPr>
                        <w:pStyle w:val="BodyText"/>
                        <w:jc w:val="left"/>
                        <w:rPr>
                          <w:b/>
                          <w:sz w:val="26"/>
                          <w:szCs w:val="26"/>
                        </w:rPr>
                      </w:pPr>
                      <w:r>
                        <w:rPr>
                          <w:b/>
                          <w:sz w:val="26"/>
                        </w:rPr>
                        <w:t>SFS</w:t>
                      </w:r>
                    </w:p>
                    <w:p w14:paraId="4144185B" w14:textId="77777777" w:rsidR="00CE5660" w:rsidRPr="00AE1FEB" w:rsidRDefault="00CE5660" w:rsidP="009C4782">
                      <w:pPr>
                        <w:pStyle w:val="BodyText"/>
                        <w:jc w:val="left"/>
                        <w:rPr>
                          <w:sz w:val="20"/>
                          <w:szCs w:val="20"/>
                        </w:rPr>
                      </w:pPr>
                      <w:r>
                        <w:rPr>
                          <w:sz w:val="20"/>
                        </w:rPr>
                        <w:t>Publié</w:t>
                      </w:r>
                      <w:r>
                        <w:rPr>
                          <w:sz w:val="20"/>
                        </w:rPr>
                        <w:br/>
                        <w:t>le</w:t>
                      </w:r>
                    </w:p>
                  </w:txbxContent>
                </v:textbox>
                <w10:wrap anchorx="page" anchory="page"/>
              </v:shape>
            </w:pict>
          </mc:Fallback>
        </mc:AlternateContent>
      </w:r>
    </w:p>
    <w:p w14:paraId="06E55153" w14:textId="106238E6" w:rsidR="00646F34" w:rsidRDefault="00646F34" w:rsidP="005F75D2">
      <w:pPr>
        <w:pStyle w:val="Heading2"/>
        <w:spacing w:before="200"/>
      </w:pPr>
      <w:bookmarkStart w:id="1" w:name="Titel"/>
      <w:r>
        <w:t>Ordonnance sur les produits à usage unique</w:t>
      </w:r>
    </w:p>
    <w:bookmarkEnd w:id="1"/>
    <w:p w14:paraId="266D883D" w14:textId="77777777" w:rsidR="00646F34" w:rsidRPr="00496B57" w:rsidRDefault="00646F34" w:rsidP="009C4782">
      <w:pPr>
        <w:pStyle w:val="BodyText"/>
      </w:pPr>
      <w:r>
        <w:t xml:space="preserve">Promulgué le </w:t>
      </w:r>
      <w:sdt>
        <w:sdtPr>
          <w:alias w:val="Date de délivrance"/>
          <w:tag w:val="UtfärdadDatum"/>
          <w:id w:val="-627399020"/>
          <w:placeholder>
            <w:docPart w:val="BA31D46B8C324B76B3CEC46700909471"/>
          </w:placeholder>
          <w:showingPlcHdr/>
          <w:date>
            <w:dateFormat w:val="'den' d MMMM yyyy"/>
            <w:lid w:val="fr-FR"/>
            <w:storeMappedDataAs w:val="dateTime"/>
            <w:calendar w:val="gregorian"/>
          </w:date>
        </w:sdtPr>
        <w:sdtEndPr/>
        <w:sdtContent>
          <w:r>
            <w:rPr>
              <w:rStyle w:val="PlaceholderText"/>
            </w:rPr>
            <w:t>Cliquez ici pour indiquer la date.</w:t>
          </w:r>
        </w:sdtContent>
      </w:sdt>
    </w:p>
    <w:p w14:paraId="531050A5" w14:textId="77777777" w:rsidR="00646F34" w:rsidRDefault="00646F34" w:rsidP="009C4782">
      <w:pPr>
        <w:pStyle w:val="BodyText"/>
      </w:pPr>
    </w:p>
    <w:p w14:paraId="33F2A488" w14:textId="1ECAF154" w:rsidR="00646F34" w:rsidRDefault="00646F34" w:rsidP="009C4782">
      <w:pPr>
        <w:pStyle w:val="BodyText"/>
      </w:pPr>
      <w:r>
        <w:t>Le Gouvernement suédois établit par la présente</w:t>
      </w:r>
      <w:r w:rsidR="00211C2C">
        <w:rPr>
          <w:rStyle w:val="FootnoteReference"/>
        </w:rPr>
        <w:footnoteReference w:id="2"/>
      </w:r>
      <w:r>
        <w:t xml:space="preserve"> ce qui suit.</w:t>
      </w:r>
    </w:p>
    <w:p w14:paraId="089CC68B" w14:textId="77777777" w:rsidR="00646F34" w:rsidRDefault="00646F34" w:rsidP="00D001EA">
      <w:pPr>
        <w:pStyle w:val="BodyText"/>
      </w:pPr>
    </w:p>
    <w:p w14:paraId="6E641870" w14:textId="478BFE4B" w:rsidR="0078709D" w:rsidRPr="0078709D" w:rsidRDefault="0078709D" w:rsidP="00615D62">
      <w:pPr>
        <w:pStyle w:val="BodyTextIndent"/>
        <w:ind w:firstLine="0"/>
      </w:pPr>
      <w:r>
        <w:rPr>
          <w:b/>
        </w:rPr>
        <w:t>Article 1</w:t>
      </w:r>
      <w:r>
        <w:t xml:space="preserve">    La présente ordonnance a pour objet de réduire l’abandon de déchets et de promouvoir une économie circulaire. </w:t>
      </w:r>
    </w:p>
    <w:p w14:paraId="40BFA1F6" w14:textId="0E004591" w:rsidR="00211C2C" w:rsidRDefault="00333E47" w:rsidP="004F112E">
      <w:pPr>
        <w:pStyle w:val="BodyTextIndent"/>
      </w:pPr>
      <w:r>
        <w:t xml:space="preserve">Cette Ordonnance est émise en vertu des </w:t>
      </w:r>
    </w:p>
    <w:p w14:paraId="12B53A34" w14:textId="68D2448E" w:rsidR="00211C2C" w:rsidRPr="001E4FCB" w:rsidRDefault="00211C2C" w:rsidP="00211C2C">
      <w:pPr>
        <w:pStyle w:val="BodyTextIndent"/>
      </w:pPr>
      <w:bookmarkStart w:id="2" w:name="_Hlk83046616"/>
      <w:r>
        <w:t>– Chapitre 15, article 40 du Code de l’environnement en ce qui concerne les articles 12-23 et 25-28,</w:t>
      </w:r>
    </w:p>
    <w:p w14:paraId="4D869C94" w14:textId="315A9AF4" w:rsidR="00211C2C" w:rsidRDefault="00211C2C" w:rsidP="00211C2C">
      <w:pPr>
        <w:pStyle w:val="BodyTextIndent"/>
      </w:pPr>
      <w:r>
        <w:t>– Chapitre 8, article 11 de l'Instrument Gouvernemental en ce qui concerne l’article 34, et</w:t>
      </w:r>
    </w:p>
    <w:p w14:paraId="4031C2BE" w14:textId="565CD061" w:rsidR="00211C2C" w:rsidRDefault="00211C2C" w:rsidP="00211C2C">
      <w:pPr>
        <w:pStyle w:val="BodyTextIndent"/>
      </w:pPr>
      <w:r>
        <w:t>– Chapitre 8, article 7 de l'Instrument Gouvernemental en ce qui concerne d’autres dispositions.</w:t>
      </w:r>
    </w:p>
    <w:p w14:paraId="4266EBCF" w14:textId="77777777" w:rsidR="00646F34" w:rsidRDefault="00646F34" w:rsidP="009E6D43">
      <w:pPr>
        <w:pStyle w:val="Heading4"/>
      </w:pPr>
      <w:bookmarkStart w:id="3" w:name="_Hlk48222959"/>
      <w:bookmarkEnd w:id="2"/>
      <w:r>
        <w:t>Dispositions supplémentaires dans d’autres ordonnances</w:t>
      </w:r>
      <w:bookmarkEnd w:id="3"/>
    </w:p>
    <w:p w14:paraId="01712DC8" w14:textId="4271D0B8" w:rsidR="00646F34" w:rsidRDefault="00311E20" w:rsidP="00646F34">
      <w:pPr>
        <w:pStyle w:val="BodyTextIndent"/>
        <w:ind w:firstLine="0"/>
      </w:pPr>
      <w:r>
        <w:rPr>
          <w:b/>
        </w:rPr>
        <w:t>Article 2</w:t>
      </w:r>
      <w:r>
        <w:t xml:space="preserve"> D’autres dispositions sur les dispositifs à usage unique se trouvent dans : </w:t>
      </w:r>
    </w:p>
    <w:p w14:paraId="154B105E" w14:textId="60FF01F1" w:rsidR="003C1B39" w:rsidRDefault="003C1B39" w:rsidP="003C1B39">
      <w:pPr>
        <w:pStyle w:val="BodyTextIndent"/>
      </w:pPr>
      <w:r>
        <w:t xml:space="preserve">– L’Ordonnance sur les produits chimiques (interdictions de manutention, d’importation et d’exportation) (1998:944), </w:t>
      </w:r>
    </w:p>
    <w:p w14:paraId="059C6EE1" w14:textId="1A797C64" w:rsidR="003C1B39" w:rsidRDefault="003C1B39" w:rsidP="003C1B39">
      <w:pPr>
        <w:pStyle w:val="BodyTextIndent"/>
      </w:pPr>
      <w:r>
        <w:t xml:space="preserve">– L’Ordonnance (2005:220) sur les systèmes de consigne pour les bouteilles en plastique et les canettes en métal, </w:t>
      </w:r>
    </w:p>
    <w:p w14:paraId="2360F5CB" w14:textId="5EE3CD3D" w:rsidR="003C1B39" w:rsidRDefault="003C1B39" w:rsidP="009E6D43">
      <w:pPr>
        <w:pStyle w:val="BodyTextIndent"/>
      </w:pPr>
      <w:r>
        <w:t xml:space="preserve">– L’Ordonnance (2018:1462) sur la responsabilité du producteur en matière d’emballage, </w:t>
      </w:r>
    </w:p>
    <w:p w14:paraId="6B638499" w14:textId="18241521" w:rsidR="00615D62" w:rsidRDefault="00646F34" w:rsidP="00646F34">
      <w:pPr>
        <w:pStyle w:val="BodyTextIndent"/>
      </w:pPr>
      <w:r>
        <w:t xml:space="preserve">– Le Règlement (2021:000) sur la responsabilité du producteur de certains produits du tabac </w:t>
      </w:r>
    </w:p>
    <w:p w14:paraId="6DF6135E" w14:textId="39B4E289" w:rsidR="00646F34" w:rsidRDefault="00646F34" w:rsidP="00646F34">
      <w:pPr>
        <w:pStyle w:val="BodyTextIndent"/>
      </w:pPr>
      <w:r>
        <w:t xml:space="preserve">et filtres, </w:t>
      </w:r>
    </w:p>
    <w:p w14:paraId="1451E275" w14:textId="1C1843A6" w:rsidR="00646F34" w:rsidRDefault="00646F34" w:rsidP="00646F34">
      <w:pPr>
        <w:pStyle w:val="BodyTextIndent"/>
      </w:pPr>
      <w:r>
        <w:t xml:space="preserve">– L’Ordonnance (2021:000) sur la responsabilité du producteur de ballons, </w:t>
      </w:r>
    </w:p>
    <w:p w14:paraId="24695156" w14:textId="0A203132" w:rsidR="00646F34" w:rsidRDefault="00646F34" w:rsidP="00646F34">
      <w:pPr>
        <w:pStyle w:val="BodyTextIndent"/>
      </w:pPr>
      <w:r>
        <w:t>– L’Ordonnance (2021:000) sur la responsabilité du producteur de lingettes humides, et</w:t>
      </w:r>
    </w:p>
    <w:p w14:paraId="776217DF" w14:textId="427A9E98" w:rsidR="00646F34" w:rsidRDefault="00646F34" w:rsidP="00646F34">
      <w:pPr>
        <w:pStyle w:val="BodyTextIndent"/>
      </w:pPr>
      <w:r>
        <w:t xml:space="preserve">– </w:t>
      </w:r>
      <w:r>
        <w:rPr>
          <w:shd w:val="clear" w:color="auto" w:fill="FFFFFF"/>
        </w:rPr>
        <w:t>L’Ordonnance (2021:000) sur les pénalités encourues pour abandon de déchets</w:t>
      </w:r>
      <w:r>
        <w:t>.</w:t>
      </w:r>
    </w:p>
    <w:p w14:paraId="7F211810" w14:textId="77777777" w:rsidR="00646F34" w:rsidRPr="008F79D1" w:rsidRDefault="00646F34" w:rsidP="009E6D43">
      <w:pPr>
        <w:pStyle w:val="Heading4"/>
      </w:pPr>
      <w:r>
        <w:t>Définitions</w:t>
      </w:r>
    </w:p>
    <w:p w14:paraId="772F6552" w14:textId="71C770DF" w:rsidR="00211C2C" w:rsidRDefault="00311E20" w:rsidP="00211C2C">
      <w:pPr>
        <w:pStyle w:val="BodyText"/>
        <w:keepNext/>
      </w:pPr>
      <w:r>
        <w:rPr>
          <w:b/>
        </w:rPr>
        <w:t>Article 3</w:t>
      </w:r>
      <w:r>
        <w:t xml:space="preserve">     Dans la présente Ordonnance, </w:t>
      </w:r>
      <w:r>
        <w:rPr>
          <w:i/>
        </w:rPr>
        <w:t>polymère</w:t>
      </w:r>
      <w:r>
        <w:t xml:space="preserve"> a le sens défini à l’article 3.5 du Règlement (CE) n° 1907/2006 du Parlement européen et du </w:t>
      </w:r>
      <w:r>
        <w:lastRenderedPageBreak/>
        <w:t>Conseil du 18 décembre 2006 concernant l’enregistrement, l’évaluation, l’autorisation et la restriction des produits chimiques (</w:t>
      </w:r>
      <w:proofErr w:type="spellStart"/>
      <w:r>
        <w:t>Reach</w:t>
      </w:r>
      <w:proofErr w:type="spellEnd"/>
      <w:r>
        <w:t>), instituant une Agence européenne des Produits Chimiques, modifiant la Directive 1999/45/CE et abrogeant le Règlement (CEE) n° 793/93 du Conseil et le Règlement (CE) n° 1488/94, ainsi que la Directive 76/769/CEE du Conseil et les Directives 91/155/CEE, 93/67/CEE, 93/105/CE et 2000/21/CE de la Commission.</w:t>
      </w:r>
    </w:p>
    <w:p w14:paraId="6171A621" w14:textId="77777777" w:rsidR="00646F34" w:rsidRDefault="00646F34" w:rsidP="00646F34">
      <w:pPr>
        <w:pStyle w:val="BodyTextIndent"/>
      </w:pPr>
    </w:p>
    <w:p w14:paraId="0085FF47" w14:textId="02293E03" w:rsidR="00211C2C" w:rsidRDefault="00311E20" w:rsidP="00211C2C">
      <w:pPr>
        <w:pStyle w:val="BodyTextIndent"/>
        <w:ind w:firstLine="0"/>
      </w:pPr>
      <w:r>
        <w:rPr>
          <w:b/>
        </w:rPr>
        <w:t>Article 4</w:t>
      </w:r>
      <w:r>
        <w:t xml:space="preserve">    Dans la présente ordonnance, </w:t>
      </w:r>
      <w:r>
        <w:rPr>
          <w:i/>
        </w:rPr>
        <w:t>plastique</w:t>
      </w:r>
      <w:r>
        <w:t xml:space="preserve"> désigne un polymère qui peut fonctionner comme un composant structural principal des produits finaux, </w:t>
      </w:r>
      <w:bookmarkStart w:id="4" w:name="_Hlk49851962"/>
      <w:r>
        <w:t>peu importe si des additifs ou d’autres substances ont été ajoutés au polymère.</w:t>
      </w:r>
    </w:p>
    <w:bookmarkEnd w:id="4"/>
    <w:p w14:paraId="2F9F098E" w14:textId="77777777" w:rsidR="00211C2C" w:rsidRDefault="00211C2C" w:rsidP="00211C2C">
      <w:pPr>
        <w:pStyle w:val="BodyTextIndent"/>
      </w:pPr>
      <w:r>
        <w:t xml:space="preserve">Le plastique ne signifie pas un polymère présent à l’état naturel dans l’environnement qui n’a pas été modifié chimiquement. </w:t>
      </w:r>
    </w:p>
    <w:p w14:paraId="0F1CEE55" w14:textId="77777777" w:rsidR="00646F34" w:rsidRDefault="00646F34" w:rsidP="00646F34">
      <w:pPr>
        <w:pStyle w:val="BodyTextIndent"/>
      </w:pPr>
    </w:p>
    <w:p w14:paraId="614D69D0" w14:textId="468D4CB1" w:rsidR="00211C2C" w:rsidRDefault="00311E20" w:rsidP="00211C2C">
      <w:pPr>
        <w:pStyle w:val="BodyText"/>
        <w:keepNext/>
      </w:pPr>
      <w:r>
        <w:rPr>
          <w:b/>
        </w:rPr>
        <w:t>Article 5</w:t>
      </w:r>
      <w:r>
        <w:t>    Dans la présente ordonnance</w:t>
      </w:r>
    </w:p>
    <w:p w14:paraId="71E1411A" w14:textId="77777777" w:rsidR="00211C2C" w:rsidRPr="00B440B8" w:rsidRDefault="00211C2C" w:rsidP="00211C2C">
      <w:pPr>
        <w:pStyle w:val="BodyTextIndent"/>
        <w:rPr>
          <w:iCs/>
        </w:rPr>
      </w:pPr>
      <w:r>
        <w:rPr>
          <w:i/>
        </w:rPr>
        <w:t>fournir sur le marché suédois</w:t>
      </w:r>
      <w:r>
        <w:t xml:space="preserve"> : signifie mettre un produit à disposition pour la distribution, la consommation ou l’utilisation sur le marché suédois en échange d’un paiement ou gratuitement à titre professionnel, et</w:t>
      </w:r>
    </w:p>
    <w:p w14:paraId="698B7BE7" w14:textId="77777777" w:rsidR="00211C2C" w:rsidRDefault="00211C2C" w:rsidP="00211C2C">
      <w:pPr>
        <w:pStyle w:val="BodyTextIndent"/>
        <w:rPr>
          <w:iCs/>
        </w:rPr>
      </w:pPr>
      <w:r>
        <w:rPr>
          <w:i/>
        </w:rPr>
        <w:t>place sur le marché suédois</w:t>
      </w:r>
      <w:r>
        <w:t xml:space="preserve"> : signifie fournir un produit sur le marché suédois pour la première fois.</w:t>
      </w:r>
    </w:p>
    <w:p w14:paraId="3C7251C2" w14:textId="77777777" w:rsidR="00646F34" w:rsidRDefault="00646F34" w:rsidP="00646F34">
      <w:pPr>
        <w:pStyle w:val="BodyTextIndent"/>
        <w:rPr>
          <w:iCs/>
        </w:rPr>
      </w:pPr>
    </w:p>
    <w:p w14:paraId="33DCA43D" w14:textId="395F23BF" w:rsidR="00211C2C" w:rsidRDefault="00311E20" w:rsidP="00211C2C">
      <w:pPr>
        <w:pStyle w:val="BodyTextIndent"/>
        <w:ind w:firstLine="0"/>
        <w:rPr>
          <w:i/>
        </w:rPr>
      </w:pPr>
      <w:r>
        <w:rPr>
          <w:b/>
        </w:rPr>
        <w:t>Article 6</w:t>
      </w:r>
      <w:r>
        <w:t>    Dans la présente ordonnance</w:t>
      </w:r>
      <w:r>
        <w:rPr>
          <w:i/>
        </w:rPr>
        <w:t xml:space="preserve"> </w:t>
      </w:r>
    </w:p>
    <w:p w14:paraId="32959034" w14:textId="77777777" w:rsidR="00211C2C" w:rsidRDefault="00211C2C" w:rsidP="00211C2C">
      <w:pPr>
        <w:pStyle w:val="BodyTextIndent"/>
      </w:pPr>
      <w:r>
        <w:rPr>
          <w:i/>
        </w:rPr>
        <w:t>produit à usage unique</w:t>
      </w:r>
      <w:r>
        <w:t xml:space="preserve"> désigne un produit qui n’est pas conçu, conçu ou mis sur le marché suédois pour effectuer, au cours de sa durée de vie, de multiples voyages ou rotations en étant réutilisé à la même fin pour laquelle il a été conçu ou en étant retourné à un producteur pour qu’il le recharge, et</w:t>
      </w:r>
    </w:p>
    <w:p w14:paraId="2EC9DEC7" w14:textId="77777777" w:rsidR="00211C2C" w:rsidRDefault="00211C2C" w:rsidP="00211C2C">
      <w:pPr>
        <w:pStyle w:val="BodyTextIndent"/>
      </w:pPr>
      <w:r>
        <w:rPr>
          <w:i/>
        </w:rPr>
        <w:t xml:space="preserve">produit plastique à usage unique </w:t>
      </w:r>
      <w:r>
        <w:t>: désigne un produit à usage unique fabriqué entièrement ou partiellement à partir de plastique.</w:t>
      </w:r>
    </w:p>
    <w:p w14:paraId="7CB6C08F" w14:textId="77777777" w:rsidR="00646F34" w:rsidRDefault="00646F34" w:rsidP="00646F34">
      <w:pPr>
        <w:pStyle w:val="BodyTextIndent"/>
        <w:rPr>
          <w:iCs/>
        </w:rPr>
      </w:pPr>
    </w:p>
    <w:p w14:paraId="376A036B" w14:textId="0632F7EB" w:rsidR="00211C2C" w:rsidRDefault="00311E20" w:rsidP="00211C2C">
      <w:pPr>
        <w:pStyle w:val="BodyText"/>
        <w:rPr>
          <w:i/>
        </w:rPr>
      </w:pPr>
      <w:r>
        <w:rPr>
          <w:b/>
        </w:rPr>
        <w:t>Article 7</w:t>
      </w:r>
      <w:r>
        <w:t xml:space="preserve">    Dans la présente ordonnance </w:t>
      </w:r>
    </w:p>
    <w:p w14:paraId="7911FBA8" w14:textId="35F7F761" w:rsidR="00211C2C" w:rsidRDefault="00211C2C" w:rsidP="00211C2C">
      <w:pPr>
        <w:pStyle w:val="BodyTextIndent"/>
      </w:pPr>
      <w:r>
        <w:rPr>
          <w:i/>
        </w:rPr>
        <w:t>gobelet</w:t>
      </w:r>
      <w:r>
        <w:t xml:space="preserve">  : désigne un verre, une tasse ou un mug, avec ou sans couvercle, destinés aux boissons froides ou chaudes qui sont généralement bues directement dans le récipient, </w:t>
      </w:r>
    </w:p>
    <w:p w14:paraId="41F0496D" w14:textId="77777777" w:rsidR="00211C2C" w:rsidRPr="00FB2596" w:rsidRDefault="00211C2C" w:rsidP="00211C2C">
      <w:pPr>
        <w:pStyle w:val="BodyTextIndent"/>
      </w:pPr>
      <w:r>
        <w:rPr>
          <w:i/>
        </w:rPr>
        <w:t xml:space="preserve">tasse à usage unique </w:t>
      </w:r>
      <w:r>
        <w:t>: désigne un gobelet qui est un produit à usage unique, et</w:t>
      </w:r>
    </w:p>
    <w:p w14:paraId="3A3DBBEE" w14:textId="77777777" w:rsidR="00211C2C" w:rsidRDefault="00211C2C" w:rsidP="00211C2C">
      <w:pPr>
        <w:pStyle w:val="BodyTextIndent"/>
      </w:pPr>
      <w:r>
        <w:rPr>
          <w:i/>
        </w:rPr>
        <w:t xml:space="preserve">conteneur de boissons </w:t>
      </w:r>
      <w:r>
        <w:t xml:space="preserve">: désigne une bouteille en plastique, un emballage composite ou un autre récipient qui : </w:t>
      </w:r>
    </w:p>
    <w:p w14:paraId="6D5F716D" w14:textId="04F70FD1" w:rsidR="00211C2C" w:rsidRDefault="00211C2C" w:rsidP="00211C2C">
      <w:pPr>
        <w:pStyle w:val="BodyTextIndent"/>
      </w:pPr>
      <w:r>
        <w:t>1. est un produit en plastique à usage unique,</w:t>
      </w:r>
    </w:p>
    <w:p w14:paraId="018F45E2" w14:textId="0CE437CB" w:rsidR="00211C2C" w:rsidRDefault="00211C2C" w:rsidP="00211C2C">
      <w:pPr>
        <w:pStyle w:val="BodyTextIndent"/>
      </w:pPr>
      <w:r>
        <w:t xml:space="preserve">2. a une capacité maximale de trois litres, </w:t>
      </w:r>
    </w:p>
    <w:p w14:paraId="70789623" w14:textId="1900851D" w:rsidR="00211C2C" w:rsidRDefault="00211C2C" w:rsidP="00211C2C">
      <w:pPr>
        <w:pStyle w:val="BodyTextIndent"/>
      </w:pPr>
      <w:r>
        <w:t>3. est destiné aux boissons, et</w:t>
      </w:r>
    </w:p>
    <w:p w14:paraId="5D24AEE8" w14:textId="3AE3E09F" w:rsidR="00211C2C" w:rsidRDefault="00211C2C" w:rsidP="00211C2C">
      <w:pPr>
        <w:pStyle w:val="BodyTextIndent"/>
      </w:pPr>
      <w:r>
        <w:t>4. n’est pas une tasse.</w:t>
      </w:r>
    </w:p>
    <w:p w14:paraId="0B5458BD" w14:textId="77777777" w:rsidR="00646F34" w:rsidRDefault="00646F34" w:rsidP="00646F34">
      <w:pPr>
        <w:pStyle w:val="BodyTextIndent"/>
      </w:pPr>
    </w:p>
    <w:p w14:paraId="2A9DC098" w14:textId="6153F49F" w:rsidR="00211C2C" w:rsidRDefault="00311E20" w:rsidP="00211C2C">
      <w:pPr>
        <w:pStyle w:val="BodyTextIndent"/>
        <w:ind w:firstLine="0"/>
        <w:rPr>
          <w:i/>
        </w:rPr>
      </w:pPr>
      <w:r>
        <w:rPr>
          <w:b/>
        </w:rPr>
        <w:t>Article 8</w:t>
      </w:r>
      <w:r>
        <w:t>    </w:t>
      </w:r>
      <w:bookmarkStart w:id="5" w:name="_Hlk39491428"/>
      <w:r>
        <w:t>Dans la présente ordonnance</w:t>
      </w:r>
      <w:r>
        <w:rPr>
          <w:i/>
        </w:rPr>
        <w:t xml:space="preserve"> </w:t>
      </w:r>
    </w:p>
    <w:p w14:paraId="00F25C91" w14:textId="77777777" w:rsidR="00211C2C" w:rsidRDefault="00211C2C" w:rsidP="00211C2C">
      <w:pPr>
        <w:pStyle w:val="BodyTextIndent"/>
        <w:rPr>
          <w:iCs/>
        </w:rPr>
      </w:pPr>
      <w:bookmarkStart w:id="6" w:name="_Hlk37753820"/>
      <w:r>
        <w:rPr>
          <w:i/>
        </w:rPr>
        <w:t>nourriture </w:t>
      </w:r>
      <w:r>
        <w:t>:</w:t>
      </w:r>
      <w:r>
        <w:rPr>
          <w:i/>
        </w:rPr>
        <w:t xml:space="preserve"> </w:t>
      </w:r>
      <w:r>
        <w:t>désigne des aliments qui ne sont pas des boissons,</w:t>
      </w:r>
    </w:p>
    <w:p w14:paraId="6CD5D5E1" w14:textId="77777777" w:rsidR="00211C2C" w:rsidRPr="00154A99" w:rsidRDefault="00211C2C" w:rsidP="00211C2C">
      <w:pPr>
        <w:pStyle w:val="BodyTextIndent"/>
      </w:pPr>
      <w:r>
        <w:rPr>
          <w:i/>
        </w:rPr>
        <w:t>restauration rapide </w:t>
      </w:r>
      <w:r>
        <w:t xml:space="preserve">: </w:t>
      </w:r>
      <w:bookmarkStart w:id="7" w:name="_Hlk23153179"/>
      <w:r>
        <w:t xml:space="preserve">désigne de la nourriture qui </w:t>
      </w:r>
    </w:p>
    <w:p w14:paraId="24371858" w14:textId="04B3961E" w:rsidR="00211C2C" w:rsidRDefault="00211C2C" w:rsidP="00527561">
      <w:pPr>
        <w:pStyle w:val="BodyTextIndent"/>
      </w:pPr>
      <w:r>
        <w:t xml:space="preserve">1. est destinée à être consommée directement sur le lieu de vente ou à être emporté pour être consommée peu après dans un autre lieu, </w:t>
      </w:r>
    </w:p>
    <w:p w14:paraId="70ADA6C2" w14:textId="16A3AB60" w:rsidR="00211C2C" w:rsidRDefault="00527561" w:rsidP="00211C2C">
      <w:pPr>
        <w:pStyle w:val="BodyTextIndent"/>
      </w:pPr>
      <w:r>
        <w:t xml:space="preserve">2. est destinée à être consommée dans l’emballage, et </w:t>
      </w:r>
    </w:p>
    <w:p w14:paraId="50E3428F" w14:textId="4B93E499" w:rsidR="00211C2C" w:rsidRDefault="00527561" w:rsidP="00211C2C">
      <w:pPr>
        <w:pStyle w:val="BodyTextIndent"/>
      </w:pPr>
      <w:r>
        <w:t>3. est prête à être mangée sans autre cuisson, réchauffage ou autre préparation</w:t>
      </w:r>
      <w:bookmarkEnd w:id="7"/>
      <w:r>
        <w:t xml:space="preserve"> effectuée par le consommateur, </w:t>
      </w:r>
    </w:p>
    <w:p w14:paraId="397D38F3" w14:textId="77777777" w:rsidR="00211C2C" w:rsidRPr="00635A03" w:rsidRDefault="00211C2C" w:rsidP="00211C2C">
      <w:pPr>
        <w:pStyle w:val="BodyTextIndent"/>
      </w:pPr>
      <w:r>
        <w:rPr>
          <w:i/>
        </w:rPr>
        <w:t>boîte alimentaire :</w:t>
      </w:r>
      <w:r>
        <w:t xml:space="preserve"> désigne un emballage, avec ou sans couvercle, qui </w:t>
      </w:r>
    </w:p>
    <w:p w14:paraId="13FE8351" w14:textId="77777777" w:rsidR="00211C2C" w:rsidRPr="00635A03" w:rsidRDefault="00211C2C" w:rsidP="00211C2C">
      <w:pPr>
        <w:pStyle w:val="BodyTextIndent"/>
      </w:pPr>
      <w:r>
        <w:t xml:space="preserve">1. est façonné ou reste pratiquement inchangé au niveau de sa forme après l’ajout ou l’enlèvement du contenu, et </w:t>
      </w:r>
    </w:p>
    <w:p w14:paraId="26008761" w14:textId="69B2DDBB" w:rsidR="00211C2C" w:rsidRDefault="00211C2C" w:rsidP="00211C2C">
      <w:pPr>
        <w:pStyle w:val="BodyTextIndent"/>
      </w:pPr>
      <w:r>
        <w:lastRenderedPageBreak/>
        <w:t>2. est utilisé pour la restauration rapide, et</w:t>
      </w:r>
    </w:p>
    <w:p w14:paraId="7D565C9E" w14:textId="77777777" w:rsidR="00211C2C" w:rsidRDefault="00211C2C" w:rsidP="00211C2C">
      <w:pPr>
        <w:pStyle w:val="BodyTextIndent"/>
        <w:rPr>
          <w:i/>
        </w:rPr>
      </w:pPr>
      <w:r>
        <w:rPr>
          <w:i/>
        </w:rPr>
        <w:t>boîte alimentaire à usage unique </w:t>
      </w:r>
      <w:r>
        <w:t>: désigne une boîte alimentaire qui est un produit à usage unique</w:t>
      </w:r>
      <w:bookmarkEnd w:id="5"/>
      <w:r>
        <w:t>.</w:t>
      </w:r>
    </w:p>
    <w:bookmarkEnd w:id="6"/>
    <w:p w14:paraId="7F5A41D5" w14:textId="752C0511" w:rsidR="00646F34" w:rsidRDefault="00646F34" w:rsidP="00211C2C">
      <w:pPr>
        <w:pStyle w:val="BodyTextIndent"/>
        <w:ind w:firstLine="0"/>
        <w:rPr>
          <w:i/>
          <w:iCs/>
        </w:rPr>
      </w:pPr>
    </w:p>
    <w:p w14:paraId="2D23FD68" w14:textId="2741EADC" w:rsidR="00211C2C" w:rsidRDefault="00311E20" w:rsidP="00211C2C">
      <w:pPr>
        <w:pStyle w:val="BodyTextIndent"/>
        <w:ind w:firstLine="0"/>
      </w:pPr>
      <w:r>
        <w:rPr>
          <w:b/>
        </w:rPr>
        <w:t>Article 9</w:t>
      </w:r>
      <w:r>
        <w:t xml:space="preserve">    Dans la présente ordonnance, </w:t>
      </w:r>
      <w:r>
        <w:rPr>
          <w:i/>
        </w:rPr>
        <w:t xml:space="preserve">cycle de réutilisation </w:t>
      </w:r>
      <w:r>
        <w:t>signifie le voyage qu’une tasse ou une boîte alimentaire réutilisable prend d’être fournie sur le marché suédois en même temps que la boisson ou la nourriture qu’elle est destinée à contenir, protéger, livrer ou présenter, jusqu’à ce qu’elle soit soumise à un système de réutilisation de tasses ou de boîtes alimentaires pour la restauration rapide en vue de nouveau sur le marché.</w:t>
      </w:r>
    </w:p>
    <w:p w14:paraId="458F3E19" w14:textId="58BD4776" w:rsidR="00646F34" w:rsidRDefault="00646F34" w:rsidP="00646F34">
      <w:pPr>
        <w:pStyle w:val="BodyTextIndent"/>
        <w:ind w:firstLine="0"/>
      </w:pPr>
    </w:p>
    <w:p w14:paraId="234E2165" w14:textId="0C76742F" w:rsidR="00646F34" w:rsidRDefault="00646F34" w:rsidP="00646F34">
      <w:pPr>
        <w:pStyle w:val="BodyText"/>
        <w:keepNext/>
      </w:pPr>
      <w:r>
        <w:rPr>
          <w:b/>
        </w:rPr>
        <w:t>Article 10</w:t>
      </w:r>
      <w:r>
        <w:t xml:space="preserve">    Dans la présente ordonnance </w:t>
      </w:r>
    </w:p>
    <w:p w14:paraId="0763F124" w14:textId="05B0CE3A" w:rsidR="00646F34" w:rsidRDefault="00646F34" w:rsidP="00646F34">
      <w:pPr>
        <w:pStyle w:val="BodyTextIndent"/>
      </w:pPr>
      <w:r>
        <w:rPr>
          <w:i/>
        </w:rPr>
        <w:t>sac à poignées </w:t>
      </w:r>
      <w:r>
        <w:t>: sac destiné à permettre aux consommateurs d’emballer et de transporter des marchandises à partir du lieu où elles sont livrées et qui ne sont pas destinées à un usage permanent,</w:t>
      </w:r>
    </w:p>
    <w:p w14:paraId="08368CE8" w14:textId="2EF23F87" w:rsidR="00646F34" w:rsidRDefault="00646F34" w:rsidP="00646F34">
      <w:pPr>
        <w:pStyle w:val="BodyTextIndent"/>
      </w:pPr>
      <w:r>
        <w:rPr>
          <w:i/>
        </w:rPr>
        <w:t>sac à poignées en plastique</w:t>
      </w:r>
      <w:r>
        <w:t> : sac constitué de plastique, et</w:t>
      </w:r>
    </w:p>
    <w:p w14:paraId="2FC8448C" w14:textId="340B87C5" w:rsidR="00646F34" w:rsidRDefault="00646F34" w:rsidP="00646F34">
      <w:pPr>
        <w:pStyle w:val="BodyTextIndent"/>
      </w:pPr>
      <w:r>
        <w:rPr>
          <w:i/>
        </w:rPr>
        <w:t xml:space="preserve">sac à poignées en plastique léger </w:t>
      </w:r>
      <w:r>
        <w:t>: sac en plastique d’une épaisseur de paroi inférieure à 50 microns.</w:t>
      </w:r>
    </w:p>
    <w:p w14:paraId="30FA8567" w14:textId="77777777" w:rsidR="00646F34" w:rsidRDefault="00646F34" w:rsidP="00646F34">
      <w:pPr>
        <w:pStyle w:val="BodyTextIndent"/>
        <w:ind w:firstLine="0"/>
      </w:pPr>
    </w:p>
    <w:p w14:paraId="15DC9264" w14:textId="6DA2970F" w:rsidR="00646F34" w:rsidRDefault="00646F34" w:rsidP="00646F34">
      <w:pPr>
        <w:pStyle w:val="BodyTextIndent"/>
        <w:ind w:firstLine="0"/>
      </w:pPr>
      <w:r>
        <w:rPr>
          <w:b/>
        </w:rPr>
        <w:t>Article 11</w:t>
      </w:r>
      <w:r>
        <w:t>    Les mots et expressions figurant dans la présente Ordonnance ont par ailleurs le même sens que dans le Chapitre 15 du Code de l’environnement.</w:t>
      </w:r>
    </w:p>
    <w:p w14:paraId="49E8D53A" w14:textId="77777777" w:rsidR="00646F34" w:rsidRPr="006047FF" w:rsidRDefault="00646F34" w:rsidP="009E6D43">
      <w:pPr>
        <w:pStyle w:val="Heading4"/>
      </w:pPr>
      <w:r>
        <w:t>Interdiction de la mise sur le marché suédois de certains produits en plastique à usage unique</w:t>
      </w:r>
    </w:p>
    <w:p w14:paraId="0448F62E" w14:textId="118A0B85" w:rsidR="00646F34" w:rsidRDefault="00646F34" w:rsidP="00646F34">
      <w:pPr>
        <w:pStyle w:val="BodyText"/>
      </w:pPr>
      <w:r>
        <w:rPr>
          <w:b/>
        </w:rPr>
        <w:t>Article 12</w:t>
      </w:r>
      <w:r>
        <w:t xml:space="preserve"> La mise sur le marché suédois des produits en plastique à usage unique suivants est interdite : </w:t>
      </w:r>
    </w:p>
    <w:p w14:paraId="7E18E998" w14:textId="03D318CD" w:rsidR="00646F34" w:rsidRDefault="00646F34" w:rsidP="00646F34">
      <w:pPr>
        <w:pStyle w:val="BodyTextIndent"/>
      </w:pPr>
      <w:r>
        <w:t>1. Cotons-tiges,</w:t>
      </w:r>
    </w:p>
    <w:p w14:paraId="1CC676D7" w14:textId="1FF93E69" w:rsidR="00646F34" w:rsidRDefault="00646F34" w:rsidP="00646F34">
      <w:pPr>
        <w:pStyle w:val="BodyTextIndent"/>
      </w:pPr>
      <w:r>
        <w:t>2. récipients pour boissons contenant du polystyrène expansé,</w:t>
      </w:r>
    </w:p>
    <w:p w14:paraId="04C9CB15" w14:textId="77777777" w:rsidR="00646F34" w:rsidRDefault="00646F34" w:rsidP="00646F34">
      <w:pPr>
        <w:pStyle w:val="BodyTextIndent"/>
      </w:pPr>
      <w:r>
        <w:t>3. gobelets à usage unique et boîtes alimentaires à usage unique contenant du polystyrène expansé,</w:t>
      </w:r>
    </w:p>
    <w:p w14:paraId="4C80A837" w14:textId="2ACA07CD" w:rsidR="00646F34" w:rsidRDefault="00646F34" w:rsidP="00646F34">
      <w:pPr>
        <w:pStyle w:val="BodyTextIndent"/>
      </w:pPr>
      <w:r>
        <w:t>4. fourchettes, couteaux, cuillères, baguettes et autres couverts,</w:t>
      </w:r>
    </w:p>
    <w:p w14:paraId="7EC219AC" w14:textId="77777777" w:rsidR="00646F34" w:rsidRDefault="00646F34" w:rsidP="00646F34">
      <w:pPr>
        <w:pStyle w:val="BodyTextIndent"/>
      </w:pPr>
      <w:r>
        <w:t>5. bouchons et couvercles contenant du polystyrène expansé et utilisés pour</w:t>
      </w:r>
    </w:p>
    <w:p w14:paraId="775FD790" w14:textId="26E40C73" w:rsidR="00646F34" w:rsidRDefault="00646F34" w:rsidP="00646F34">
      <w:pPr>
        <w:pStyle w:val="BodyTextIndent"/>
      </w:pPr>
      <w:r>
        <w:t>a) boîtes alimentaires à usage unique,</w:t>
      </w:r>
    </w:p>
    <w:p w14:paraId="32DDA7B9" w14:textId="22F30CF6" w:rsidR="00646F34" w:rsidRDefault="00646F34" w:rsidP="00646F34">
      <w:pPr>
        <w:pStyle w:val="BodyTextIndent"/>
      </w:pPr>
      <w:r>
        <w:t xml:space="preserve">b) récipients pour boissons, </w:t>
      </w:r>
      <w:proofErr w:type="gramStart"/>
      <w:r>
        <w:t>ou</w:t>
      </w:r>
      <w:proofErr w:type="gramEnd"/>
      <w:r>
        <w:t xml:space="preserve"> </w:t>
      </w:r>
    </w:p>
    <w:p w14:paraId="7C783A25" w14:textId="03ED3D0F" w:rsidR="00646F34" w:rsidRDefault="00646F34" w:rsidP="00646F34">
      <w:pPr>
        <w:pStyle w:val="BodyTextIndent"/>
      </w:pPr>
      <w:r>
        <w:t>c) gobelets à usage unique,</w:t>
      </w:r>
    </w:p>
    <w:p w14:paraId="2B5BAAC2" w14:textId="09E2AD98" w:rsidR="00646F34" w:rsidRDefault="00646F34" w:rsidP="00646F34">
      <w:pPr>
        <w:pStyle w:val="BodyTextIndent"/>
      </w:pPr>
      <w:r>
        <w:t>6. agitateurs pour boissons,</w:t>
      </w:r>
    </w:p>
    <w:p w14:paraId="76B29E21" w14:textId="70F8D689" w:rsidR="00646F34" w:rsidRDefault="00646F34" w:rsidP="00646F34">
      <w:pPr>
        <w:pStyle w:val="BodyTextIndent"/>
      </w:pPr>
      <w:r>
        <w:t>7. bâtons de support de ballons,</w:t>
      </w:r>
    </w:p>
    <w:p w14:paraId="3D694708" w14:textId="534C4101" w:rsidR="00646F34" w:rsidRDefault="00646F34" w:rsidP="00646F34">
      <w:pPr>
        <w:pStyle w:val="BodyTextIndent"/>
      </w:pPr>
      <w:r>
        <w:t>8. pailles et</w:t>
      </w:r>
    </w:p>
    <w:p w14:paraId="0AD6DF3E" w14:textId="162E403C" w:rsidR="00646F34" w:rsidRDefault="00646F34" w:rsidP="00646F34">
      <w:pPr>
        <w:pStyle w:val="BodyTextIndent"/>
      </w:pPr>
      <w:r>
        <w:t>9. assiettes.</w:t>
      </w:r>
    </w:p>
    <w:p w14:paraId="703EFF20" w14:textId="77777777" w:rsidR="00646F34" w:rsidRDefault="00646F34" w:rsidP="00646F34">
      <w:pPr>
        <w:pStyle w:val="BodyTextIndent"/>
      </w:pPr>
    </w:p>
    <w:p w14:paraId="3BCE51E8" w14:textId="228D1A90" w:rsidR="00646F34" w:rsidRDefault="00646F34" w:rsidP="00646F34">
      <w:pPr>
        <w:pStyle w:val="BodyText"/>
      </w:pPr>
      <w:r>
        <w:rPr>
          <w:b/>
        </w:rPr>
        <w:t>Article 13</w:t>
      </w:r>
      <w:r>
        <w:t xml:space="preserve">    Les interdictions prévues à l’article 12, paragraphes 1 et 8, ne s’appliquent pas aux cotons-tiges et aux pailles couverts par les dispositions relatives aux dispositifs médicaux du règlement (UE) 2017/745 du Parlement européen et du Conseil du 5 avril 2017 relatif aux dispositifs médicaux, modifiant la directive 2001/83/CE, le règlement (CE) n° 178/2002 et le règlement (CE) n° 1223/2009 et abrogeant les directives 90/385/CEE et 93/42/CEE du Conseil.</w:t>
      </w:r>
    </w:p>
    <w:p w14:paraId="7528FEAE" w14:textId="326659CB" w:rsidR="00646F34" w:rsidRDefault="00646F34" w:rsidP="00646F34">
      <w:pPr>
        <w:pStyle w:val="BodyTextIndent"/>
      </w:pPr>
      <w:r>
        <w:t>L’interdiction prévue à l’article 12, paragraphe 7, ne s’applique pas aux bâtonnets destinés à un usage industriel ou professionnel et qui ne sont pas distribués aux consommateurs.</w:t>
      </w:r>
    </w:p>
    <w:p w14:paraId="40BF4B67" w14:textId="77777777" w:rsidR="00646F34" w:rsidRDefault="00646F34" w:rsidP="00646F34">
      <w:pPr>
        <w:pStyle w:val="BodyTextIndent"/>
      </w:pPr>
    </w:p>
    <w:p w14:paraId="2BBBA98C" w14:textId="1B8FA1B5" w:rsidR="00646F34" w:rsidRDefault="00646F34" w:rsidP="00646F34">
      <w:pPr>
        <w:pStyle w:val="BodyTextIndent"/>
        <w:ind w:firstLine="0"/>
      </w:pPr>
      <w:r>
        <w:rPr>
          <w:b/>
        </w:rPr>
        <w:lastRenderedPageBreak/>
        <w:t>Article 14</w:t>
      </w:r>
      <w:r>
        <w:t>    La mise sur le marché suédois de gobelets à usage unique contenant plus de 15 % de plastique est interdite.</w:t>
      </w:r>
    </w:p>
    <w:p w14:paraId="635C09F2" w14:textId="77777777" w:rsidR="00211C2C" w:rsidRDefault="00211C2C" w:rsidP="00646F34">
      <w:pPr>
        <w:pStyle w:val="BodyTextIndent"/>
        <w:ind w:firstLine="0"/>
      </w:pPr>
    </w:p>
    <w:p w14:paraId="596434C0" w14:textId="2EC0F643" w:rsidR="00646F34" w:rsidRDefault="00646F34" w:rsidP="00646F34">
      <w:pPr>
        <w:pStyle w:val="BodyTextIndent"/>
        <w:ind w:firstLine="0"/>
      </w:pPr>
      <w:r>
        <w:rPr>
          <w:b/>
        </w:rPr>
        <w:t>Article 15</w:t>
      </w:r>
      <w:r>
        <w:t>    L'Agence suédoise de Protection de l'environnement peut adopter des règlements concernant les dérogations à l'interdiction énoncée à l’article 14 s'il y a des raisons particulières de mettre des gobelets à usage unique sur le marché suédois.</w:t>
      </w:r>
    </w:p>
    <w:p w14:paraId="7448A23B" w14:textId="77777777" w:rsidR="00646F34" w:rsidRPr="00BB14F4" w:rsidRDefault="00646F34" w:rsidP="009E6D43">
      <w:pPr>
        <w:pStyle w:val="Heading4"/>
      </w:pPr>
      <w:r>
        <w:t xml:space="preserve">Interdiction d’utiliser des confettis </w:t>
      </w:r>
    </w:p>
    <w:p w14:paraId="01083929" w14:textId="7D04A31D" w:rsidR="00211C2C" w:rsidRDefault="00211C2C" w:rsidP="00211C2C">
      <w:pPr>
        <w:pStyle w:val="BodyText"/>
      </w:pPr>
      <w:r>
        <w:rPr>
          <w:b/>
        </w:rPr>
        <w:t>Article 16</w:t>
      </w:r>
      <w:r>
        <w:t>    Les confettis contenant du plastique ne peuvent pas être utilisés à l'extérieur.</w:t>
      </w:r>
    </w:p>
    <w:p w14:paraId="32161E4B" w14:textId="77777777" w:rsidR="007A4814" w:rsidRDefault="00646F34" w:rsidP="009E6D43">
      <w:pPr>
        <w:pStyle w:val="Heading4"/>
      </w:pPr>
      <w:r>
        <w:t>Obligation d’offrir le produit servi dans des gobelets réutilisables et des boîtes alimentaires</w:t>
      </w:r>
    </w:p>
    <w:p w14:paraId="67DAC9C3" w14:textId="35F297D5" w:rsidR="00211C2C" w:rsidRDefault="00646F34" w:rsidP="00211C2C">
      <w:pPr>
        <w:pStyle w:val="BodyText"/>
      </w:pPr>
      <w:bookmarkStart w:id="8" w:name="_Hlk57038341"/>
      <w:r>
        <w:rPr>
          <w:b/>
        </w:rPr>
        <w:t>Article 17</w:t>
      </w:r>
      <w:r>
        <w:t>    </w:t>
      </w:r>
      <w:bookmarkEnd w:id="8"/>
      <w:r>
        <w:t xml:space="preserve">Toute personne mettant sur le marché suédois des boissons dans des gobelets à usage unique doit : </w:t>
      </w:r>
    </w:p>
    <w:p w14:paraId="4F7B1DE6" w14:textId="77777777" w:rsidR="00211C2C" w:rsidRDefault="00211C2C" w:rsidP="00211C2C">
      <w:pPr>
        <w:pStyle w:val="BodyTextIndent"/>
      </w:pPr>
      <w:r>
        <w:t>1. proposer la possibilité de faire servir la boisson dans un gobelet réutilisable, et</w:t>
      </w:r>
    </w:p>
    <w:p w14:paraId="4136D526" w14:textId="77777777" w:rsidR="00211C2C" w:rsidRDefault="00211C2C" w:rsidP="00211C2C">
      <w:pPr>
        <w:pStyle w:val="BodyTextIndent"/>
      </w:pPr>
      <w:r>
        <w:t>2. prendre des mesures efficaces pour que les gobelets réutilisables et leurs couvercles soient réutilisés pendant plusieurs cycles.</w:t>
      </w:r>
    </w:p>
    <w:p w14:paraId="6F9BEF6A" w14:textId="77777777" w:rsidR="00211C2C" w:rsidRDefault="00211C2C" w:rsidP="00211C2C">
      <w:pPr>
        <w:pStyle w:val="BodyTextIndent"/>
      </w:pPr>
      <w:r>
        <w:t>Le gobelet réutilisable doit être fourni par le fournisseur de la boisson, peu importe si la boisson doit être enlevée ou bue au point de vente.</w:t>
      </w:r>
    </w:p>
    <w:p w14:paraId="7A08BAA7" w14:textId="4C3CA2D4" w:rsidR="00646F34" w:rsidRDefault="00646F34" w:rsidP="00211C2C">
      <w:pPr>
        <w:pStyle w:val="BodyText"/>
      </w:pPr>
    </w:p>
    <w:p w14:paraId="64304C20" w14:textId="4B1B33CF" w:rsidR="00211C2C" w:rsidRDefault="00646F34" w:rsidP="00211C2C">
      <w:pPr>
        <w:pStyle w:val="BodyText"/>
      </w:pPr>
      <w:r>
        <w:rPr>
          <w:b/>
        </w:rPr>
        <w:t>Article 18</w:t>
      </w:r>
      <w:r>
        <w:t xml:space="preserve">    Toute personne proposant de la restauration rapide sur le marché suédois dans des boîtes alimentaires à usage unique doit </w:t>
      </w:r>
    </w:p>
    <w:p w14:paraId="2BE54211" w14:textId="77777777" w:rsidR="00211C2C" w:rsidRDefault="00211C2C" w:rsidP="00211C2C">
      <w:pPr>
        <w:pStyle w:val="BodyTextIndent"/>
      </w:pPr>
      <w:r>
        <w:t>1. proposer la possibilité de faire servir la restauration rapide dans une boîte de nourriture réutilisable, et</w:t>
      </w:r>
    </w:p>
    <w:p w14:paraId="152442DF" w14:textId="77777777" w:rsidR="00211C2C" w:rsidRDefault="00211C2C" w:rsidP="00211C2C">
      <w:pPr>
        <w:pStyle w:val="BodyTextIndent"/>
      </w:pPr>
      <w:r>
        <w:t xml:space="preserve">2. prendre des mesures efficaces pour que les boîtes alimentaires réutilisables et leurs couvercles soient réutilisés pendant plusieurs cycles. </w:t>
      </w:r>
    </w:p>
    <w:p w14:paraId="2B261D6F" w14:textId="4D167F28" w:rsidR="00211C2C" w:rsidRDefault="00211C2C" w:rsidP="00211C2C">
      <w:pPr>
        <w:pStyle w:val="BodyTextIndent"/>
      </w:pPr>
      <w:r>
        <w:t>La boîte d’aliments réutilisables doit être fournie par le fournisseur de l’aliment, peu importe si l’aliment doit être enlevé ou consommé au point de vente.</w:t>
      </w:r>
    </w:p>
    <w:p w14:paraId="7318FBF8" w14:textId="20873C27" w:rsidR="00211C2C" w:rsidRDefault="00211C2C" w:rsidP="00211C2C">
      <w:pPr>
        <w:pStyle w:val="BodyTextIndent"/>
      </w:pPr>
    </w:p>
    <w:p w14:paraId="7F1B5CBC" w14:textId="467A0583" w:rsidR="00211C2C" w:rsidRPr="00870B91" w:rsidRDefault="00311E20" w:rsidP="00211C2C">
      <w:pPr>
        <w:pStyle w:val="BodyTextIndent"/>
        <w:ind w:firstLine="0"/>
      </w:pPr>
      <w:r>
        <w:rPr>
          <w:b/>
        </w:rPr>
        <w:t>Article 19</w:t>
      </w:r>
      <w:r>
        <w:t xml:space="preserve">    Quiconque fournit une tasse réutilisable ou une boîte alimentaire conformément aux articles 17 ou 18 doit choisir un gobelet ou une boîte alimentaire qui a le moins d’effets négatifs possible sur la santé humaine et l’environnement. </w:t>
      </w:r>
    </w:p>
    <w:p w14:paraId="38EB9268" w14:textId="7043FC8B" w:rsidR="00646F34" w:rsidRDefault="00646F34" w:rsidP="00211C2C">
      <w:pPr>
        <w:pStyle w:val="BodyText"/>
      </w:pPr>
    </w:p>
    <w:p w14:paraId="1E3411BA" w14:textId="1059416E" w:rsidR="00211C2C" w:rsidRDefault="00646F34" w:rsidP="00211C2C">
      <w:pPr>
        <w:pStyle w:val="BodyTextIndent"/>
        <w:ind w:firstLine="0"/>
      </w:pPr>
      <w:r>
        <w:rPr>
          <w:b/>
        </w:rPr>
        <w:t>Article 20</w:t>
      </w:r>
      <w:r>
        <w:t>    </w:t>
      </w:r>
      <w:bookmarkStart w:id="9" w:name="_Hlk50550710"/>
      <w:r>
        <w:t>Toute personne qui fournit sur le marché suédois des boissons dans des gobelets à usage unique ou de la nourriture rapide dans des boîtes à usage unique informe les consommateurs sur le lieu de vente de</w:t>
      </w:r>
      <w:bookmarkEnd w:id="9"/>
    </w:p>
    <w:p w14:paraId="4E98CC42" w14:textId="77777777" w:rsidR="00211C2C" w:rsidRDefault="00211C2C" w:rsidP="00211C2C">
      <w:pPr>
        <w:pStyle w:val="BodyTextIndent"/>
      </w:pPr>
      <w:r>
        <w:t xml:space="preserve">1. la possibilité de faire servir la boisson dans un gobelet réutilisable ou la restauration rapide dans une boîte réutilisable, </w:t>
      </w:r>
    </w:p>
    <w:p w14:paraId="56E0E8F3" w14:textId="77777777" w:rsidR="00211C2C" w:rsidRPr="00EE3CA1" w:rsidRDefault="00211C2C" w:rsidP="00211C2C">
      <w:pPr>
        <w:pStyle w:val="BodyTextIndent"/>
      </w:pPr>
      <w:r>
        <w:t>2. l’impact sur l’environnement de l’utilisation de gobelets à usage unique et de boîtes alimentaires à usage unique, et</w:t>
      </w:r>
    </w:p>
    <w:p w14:paraId="0D559E7A" w14:textId="77777777" w:rsidR="00211C2C" w:rsidRPr="00EE3CA1" w:rsidRDefault="00211C2C" w:rsidP="00211C2C">
      <w:pPr>
        <w:pStyle w:val="BodyTextIndent"/>
      </w:pPr>
      <w:r>
        <w:t>3. les avantages d’une réduction de la consommation de tasses à usage unique et de boîtes alimentaires à usage unique.</w:t>
      </w:r>
    </w:p>
    <w:p w14:paraId="28AD6CE3" w14:textId="77777777" w:rsidR="00211C2C" w:rsidRDefault="00211C2C" w:rsidP="00211C2C">
      <w:pPr>
        <w:pStyle w:val="BodyTextIndent"/>
      </w:pPr>
      <w:r>
        <w:t xml:space="preserve">Les informations doivent être visibles au point de vente et être facilement accessibles au consommateur.  </w:t>
      </w:r>
    </w:p>
    <w:p w14:paraId="2D79D1CA" w14:textId="20370DA5" w:rsidR="00646F34" w:rsidRDefault="00646F34" w:rsidP="00211C2C">
      <w:pPr>
        <w:pStyle w:val="BodyTextIndent"/>
        <w:ind w:firstLine="0"/>
      </w:pPr>
    </w:p>
    <w:p w14:paraId="3571F6CB" w14:textId="07D257B5" w:rsidR="00646F34" w:rsidRDefault="00646F34" w:rsidP="00646F34">
      <w:pPr>
        <w:pStyle w:val="BodyTextIndent"/>
        <w:ind w:firstLine="0"/>
      </w:pPr>
      <w:r>
        <w:rPr>
          <w:b/>
        </w:rPr>
        <w:t>Article 21</w:t>
      </w:r>
      <w:r>
        <w:t xml:space="preserve">    Les prescriptions énoncées aux articles 17-20 ne s’appliquent pas à ceux qui fournissent sur le marché suédois des boissons dans des gobelets à usage unique ou de la nourriture rapide dans des boîtes à usage </w:t>
      </w:r>
      <w:r>
        <w:lastRenderedPageBreak/>
        <w:t>unique si le gobelet ou la boîte est entièrement faite de papier ou de carton qui n’ont pas été chimiquement modifiés d’une manière qui retarde la décomposition.</w:t>
      </w:r>
    </w:p>
    <w:p w14:paraId="70159D5D" w14:textId="77777777" w:rsidR="00646F34" w:rsidRDefault="00646F34" w:rsidP="00646F34">
      <w:pPr>
        <w:pStyle w:val="BodyTextIndent"/>
        <w:ind w:firstLine="0"/>
      </w:pPr>
    </w:p>
    <w:p w14:paraId="6D765FBD" w14:textId="516EB1C2" w:rsidR="00211C2C" w:rsidRPr="004A5119" w:rsidRDefault="00646F34" w:rsidP="00211C2C">
      <w:pPr>
        <w:pStyle w:val="BodyTextIndent"/>
        <w:ind w:firstLine="0"/>
        <w:rPr>
          <w:b/>
        </w:rPr>
      </w:pPr>
      <w:r>
        <w:rPr>
          <w:b/>
        </w:rPr>
        <w:t>Article 22</w:t>
      </w:r>
      <w:r>
        <w:t xml:space="preserve">    Les prescriptions énoncées aux articles 14-17 ne s’appliquent pas à ceux qui fournissent sur le marché suédois des boissons ou de la restauration rapide dans moins de 150 gobelets à usage unique et boîtes à usage unique par jour </w:t>
      </w:r>
      <w:bookmarkStart w:id="10" w:name="_Hlk53479781"/>
      <w:r>
        <w:t>d’ouverture du lieu de vente</w:t>
      </w:r>
      <w:bookmarkEnd w:id="10"/>
      <w:r>
        <w:t xml:space="preserve">. </w:t>
      </w:r>
    </w:p>
    <w:p w14:paraId="4F9631E1" w14:textId="42F7C71B" w:rsidR="00211C2C" w:rsidRDefault="00BC1BFA" w:rsidP="00211C2C">
      <w:pPr>
        <w:pStyle w:val="BodyTextIndent"/>
      </w:pPr>
      <w:r>
        <w:t xml:space="preserve">Le nombre de tasses à usage unique et de boîtes alimentaires à usage unique fournies est calculé comme la moyenne des gobelets à usage unique et des boîtes alimentaires à usage unique fournis les jours </w:t>
      </w:r>
      <w:bookmarkStart w:id="11" w:name="_Hlk54008522"/>
      <w:r>
        <w:t>d’ouverture du lieu de vente au cours d'une année civile</w:t>
      </w:r>
      <w:bookmarkEnd w:id="11"/>
      <w:r>
        <w:t xml:space="preserve">. </w:t>
      </w:r>
    </w:p>
    <w:p w14:paraId="633C4935" w14:textId="6AAF4527" w:rsidR="009E6722" w:rsidRDefault="009E6722" w:rsidP="00211C2C">
      <w:pPr>
        <w:pStyle w:val="BodyTextIndent"/>
      </w:pPr>
      <w:r>
        <w:t>Les personnes visées par l’exemption et qui choisissent de ne pas fournir de tasses et de boîtes alimentaires réutilisables mettent en place des procédures pour s’assurer qu’il n’y a pas plus de 150 gobelets et boîtes alimentaires à usage unique par jour en moyenne.</w:t>
      </w:r>
    </w:p>
    <w:p w14:paraId="6CB0CC6C" w14:textId="5004701C" w:rsidR="00646F34" w:rsidRDefault="00646F34" w:rsidP="00211C2C">
      <w:pPr>
        <w:pStyle w:val="BodyTextIndent"/>
        <w:ind w:firstLine="0"/>
      </w:pPr>
    </w:p>
    <w:p w14:paraId="2305370B" w14:textId="61F183B4" w:rsidR="009D070E" w:rsidRPr="00156B40" w:rsidRDefault="00646F34" w:rsidP="009D070E">
      <w:pPr>
        <w:pStyle w:val="BodyTextIndent"/>
        <w:ind w:firstLine="0"/>
      </w:pPr>
      <w:r>
        <w:rPr>
          <w:b/>
        </w:rPr>
        <w:t>Article 23</w:t>
      </w:r>
      <w:r>
        <w:t>    </w:t>
      </w:r>
      <w:bookmarkStart w:id="12" w:name="_Hlk54008598"/>
      <w:r>
        <w:t>L'Agence suédoise de Protection de l'environnement peut édicter des règlements supplémentaires sur les dérogations aux prescriptions énoncées aux articles 17-20 dans les cas où il n'est pas raisonnable d'exiger de la personne qui fournit des boissons dans des gobelets à usage unique ou de la nourriture rapide dans des boîtes à usage unique qu'elle fournisse une solution de rechange réutilisable.</w:t>
      </w:r>
    </w:p>
    <w:p w14:paraId="269C50B5" w14:textId="60FCCAF3" w:rsidR="009D070E" w:rsidRPr="0024586A" w:rsidRDefault="009D070E" w:rsidP="009D070E">
      <w:pPr>
        <w:pStyle w:val="BodyTextIndent"/>
      </w:pPr>
      <w:r>
        <w:t xml:space="preserve">Les règlements sur les exemptions ne peuvent pas être émis concernant les gobelets à usage unique ou les boîtes d’aliments à usage unique si l’on peut présumer qu’une exemption présente un risque important de détritus ou a pour conséquence que la Suède ne respecte pas l'objectif de l'article 24. </w:t>
      </w:r>
    </w:p>
    <w:bookmarkEnd w:id="12"/>
    <w:p w14:paraId="7C8314FF" w14:textId="77777777" w:rsidR="00646F34" w:rsidRPr="00F533B0" w:rsidRDefault="00646F34" w:rsidP="009E6D43">
      <w:pPr>
        <w:pStyle w:val="Heading4"/>
      </w:pPr>
      <w:r>
        <w:t xml:space="preserve">Objectifs de réduction de la consommation </w:t>
      </w:r>
    </w:p>
    <w:p w14:paraId="4BC974B2" w14:textId="2E34F32C" w:rsidR="00646F34" w:rsidRPr="00F533B0" w:rsidRDefault="00732438" w:rsidP="00646F34">
      <w:pPr>
        <w:pStyle w:val="BodyTextIndent"/>
        <w:ind w:firstLine="0"/>
      </w:pPr>
      <w:r>
        <w:rPr>
          <w:b/>
        </w:rPr>
        <w:t>Article 24</w:t>
      </w:r>
      <w:r>
        <w:t xml:space="preserve">    Dans le cas des gobelets en plastique et des contenants alimentaires à usage unique, la consommation est réduite de 50 % entre 2022 et 2026. </w:t>
      </w:r>
    </w:p>
    <w:p w14:paraId="0A8EA676" w14:textId="77777777" w:rsidR="00646F34" w:rsidRPr="00F533B0" w:rsidRDefault="00646F34" w:rsidP="00646F34">
      <w:pPr>
        <w:pStyle w:val="BodyTextIndent"/>
        <w:ind w:firstLine="0"/>
      </w:pPr>
    </w:p>
    <w:p w14:paraId="1D94AF85" w14:textId="42A20EAE" w:rsidR="00646F34" w:rsidRPr="0024586A" w:rsidRDefault="00732438" w:rsidP="00646F34">
      <w:pPr>
        <w:pStyle w:val="BodyTextIndent"/>
        <w:ind w:firstLine="0"/>
      </w:pPr>
      <w:r>
        <w:rPr>
          <w:b/>
        </w:rPr>
        <w:t>Article 25</w:t>
      </w:r>
      <w:r>
        <w:t xml:space="preserve">    </w:t>
      </w:r>
      <w:bookmarkStart w:id="13" w:name="_Hlk84256029"/>
      <w:bookmarkStart w:id="14" w:name="_Hlk54788938"/>
      <w:bookmarkStart w:id="15" w:name="_Hlk54692017"/>
      <w:r>
        <w:t xml:space="preserve">La fourniture ou l’utilisation de gobelets et de boîtes alimentaires qui sont des produits en plastique à usage unique dans le cadre d'une activité professionnelle contribue efficacement à la réalisation de </w:t>
      </w:r>
      <w:proofErr w:type="gramStart"/>
      <w:r>
        <w:t>l'objectif.</w:t>
      </w:r>
      <w:bookmarkEnd w:id="13"/>
      <w:bookmarkEnd w:id="14"/>
      <w:bookmarkEnd w:id="15"/>
      <w:r>
        <w:t>.</w:t>
      </w:r>
      <w:proofErr w:type="gramEnd"/>
    </w:p>
    <w:p w14:paraId="6C1E5310" w14:textId="77777777" w:rsidR="00646F34" w:rsidRDefault="00646F34" w:rsidP="009E6D43">
      <w:pPr>
        <w:pStyle w:val="Heading4"/>
      </w:pPr>
      <w:r>
        <w:t>Étiquetage et autres informations destinées aux consommateurs</w:t>
      </w:r>
    </w:p>
    <w:p w14:paraId="4D808795" w14:textId="7E8A6C22" w:rsidR="00DE4842" w:rsidRPr="00870B91" w:rsidRDefault="00B92EB6">
      <w:pPr>
        <w:pStyle w:val="BodyText"/>
      </w:pPr>
      <w:r>
        <w:rPr>
          <w:b/>
        </w:rPr>
        <w:t>Article 26</w:t>
      </w:r>
      <w:r>
        <w:t>    Les serviettes hygiéniques, tampons et applicateurs de tampons, qui sont des produits en plastique à usage unique, ne peuvent être mis sur le marché suédois que s’ils sont étiquetés conformément au règlement d’exécution (UE) 2020/2151 de la Commission du 17 décembre 2020 établissant les règles concernant des spécifications harmonisées relatives au marquage des produits en plastique à usage unique énumérés dans la partie D de l’annexe de la directive (UE) 2019/904 du Parlement européen et du Conseil relative à la réduction de l’incidence de certains produits en plastique sur l’environnement.</w:t>
      </w:r>
    </w:p>
    <w:p w14:paraId="41230D35" w14:textId="4E63DF75" w:rsidR="00646F34" w:rsidRDefault="0078709D">
      <w:pPr>
        <w:pStyle w:val="BodyTextIndent"/>
      </w:pPr>
      <w:r>
        <w:t xml:space="preserve">L’étiquette est </w:t>
      </w:r>
      <w:proofErr w:type="gramStart"/>
      <w:r>
        <w:t>clair</w:t>
      </w:r>
      <w:proofErr w:type="gramEnd"/>
      <w:r>
        <w:t xml:space="preserve">, facilement lisible et indélébile. </w:t>
      </w:r>
    </w:p>
    <w:p w14:paraId="252DADC9" w14:textId="77777777" w:rsidR="00646F34" w:rsidRDefault="00646F34" w:rsidP="00646F34">
      <w:pPr>
        <w:pStyle w:val="BodyTextIndent"/>
        <w:ind w:firstLine="0"/>
      </w:pPr>
    </w:p>
    <w:p w14:paraId="6470C50B" w14:textId="2B1C6519" w:rsidR="00646F34" w:rsidRDefault="00646F34" w:rsidP="00646F34">
      <w:pPr>
        <w:pStyle w:val="BodyTextIndent"/>
        <w:ind w:firstLine="0"/>
      </w:pPr>
      <w:bookmarkStart w:id="16" w:name="_Hlk39499720"/>
      <w:r>
        <w:rPr>
          <w:b/>
        </w:rPr>
        <w:t>Article 27</w:t>
      </w:r>
      <w:r>
        <w:t xml:space="preserve">    Les personnes qui mettent sur le marché suédois de la gomme à mâcher, des portions de tabac, des serviettes hygiéniques, des tampons ou </w:t>
      </w:r>
      <w:r>
        <w:lastRenderedPageBreak/>
        <w:t xml:space="preserve">des applicateurs de tampons, qui sont des produits en plastique à usage unique, informent les consommateurs : </w:t>
      </w:r>
    </w:p>
    <w:p w14:paraId="55442CB5" w14:textId="7BD389D1" w:rsidR="00646F34" w:rsidRDefault="00646F34" w:rsidP="00646F34">
      <w:pPr>
        <w:pStyle w:val="BodyTextIndent"/>
      </w:pPr>
      <w:r>
        <w:t xml:space="preserve">1. de la manière dont le produit doit être géré lorsqu’il devient un déchet, </w:t>
      </w:r>
    </w:p>
    <w:p w14:paraId="3374034E" w14:textId="77777777" w:rsidR="00646F34" w:rsidRDefault="00646F34" w:rsidP="00646F34">
      <w:pPr>
        <w:pStyle w:val="BodyTextIndent"/>
      </w:pPr>
      <w:r>
        <w:t>2. des effets néfastes sur l'environnement de l'abandon des déchets ou de toute autre élimination inappropriée du produit, et</w:t>
      </w:r>
    </w:p>
    <w:p w14:paraId="04AFA23A" w14:textId="77777777" w:rsidR="00646F34" w:rsidRDefault="00646F34" w:rsidP="00646F34">
      <w:pPr>
        <w:pStyle w:val="BodyTextIndent"/>
      </w:pPr>
      <w:r>
        <w:t>3. Les effets négatifs sur le réseau d'égouts de la mise à l'égout du produit.</w:t>
      </w:r>
    </w:p>
    <w:p w14:paraId="60EF4B35" w14:textId="2026A723" w:rsidR="00646F34" w:rsidRDefault="00646F34" w:rsidP="00646F34">
      <w:pPr>
        <w:pStyle w:val="BodyTextIndent"/>
      </w:pPr>
      <w:r>
        <w:t xml:space="preserve">Les informations contribuent à garantir que les déchets provenant de produits en plastique à usage unique sont gérés de manière appropriée et à réduire l'abandon de déchets. </w:t>
      </w:r>
    </w:p>
    <w:p w14:paraId="28D3751E" w14:textId="4061BA52" w:rsidR="00A943CA" w:rsidRDefault="00646F34" w:rsidP="00646F34">
      <w:pPr>
        <w:pStyle w:val="BodyTextIndent"/>
        <w:rPr>
          <w:b/>
        </w:rPr>
      </w:pPr>
      <w:r>
        <w:t xml:space="preserve">Les informations sont facilement accessibles, encouragent un comportement responsable des consommateurs et sont fournies de manière récurrente. </w:t>
      </w:r>
      <w:bookmarkEnd w:id="16"/>
    </w:p>
    <w:p w14:paraId="45C9EC51" w14:textId="77777777" w:rsidR="00646F34" w:rsidRDefault="00646F34" w:rsidP="00646F34">
      <w:pPr>
        <w:pStyle w:val="BodyTextIndent"/>
        <w:rPr>
          <w:shd w:val="clear" w:color="auto" w:fill="FFFFFF"/>
        </w:rPr>
      </w:pPr>
    </w:p>
    <w:p w14:paraId="6E7BC699" w14:textId="74873BAA" w:rsidR="00646F34" w:rsidRDefault="00333168" w:rsidP="00646F34">
      <w:pPr>
        <w:pStyle w:val="BodyTextIndent"/>
        <w:ind w:firstLine="0"/>
      </w:pPr>
      <w:bookmarkStart w:id="17" w:name="_Hlk50113133"/>
      <w:r>
        <w:rPr>
          <w:b/>
        </w:rPr>
        <w:t>Article 28</w:t>
      </w:r>
      <w:r>
        <w:t xml:space="preserve">    Les personnes qui fournissent des sacs en plastique aux consommateurs dans le cadre d’une activité professionnelle fournissent </w:t>
      </w:r>
      <w:proofErr w:type="gramStart"/>
      <w:r>
        <w:t>des informations sur</w:t>
      </w:r>
      <w:proofErr w:type="gramEnd"/>
      <w:r>
        <w:t xml:space="preserve"> : </w:t>
      </w:r>
    </w:p>
    <w:p w14:paraId="1D7EE05B" w14:textId="77777777" w:rsidR="00646F34" w:rsidRDefault="00646F34" w:rsidP="00646F34">
      <w:pPr>
        <w:pStyle w:val="BodyTextIndent"/>
      </w:pPr>
      <w:r>
        <w:t xml:space="preserve">1. l’impact environnemental des sacs à poignées en plastique et les avantages d’une réduction de leur consommation, et </w:t>
      </w:r>
    </w:p>
    <w:p w14:paraId="2771D7CE" w14:textId="05603BF4" w:rsidR="00646F34" w:rsidRDefault="00646F34" w:rsidP="00646F34">
      <w:pPr>
        <w:pStyle w:val="BodyTextIndent"/>
      </w:pPr>
      <w:r>
        <w:t>2. les mesures qui peuvent être prises par le consommateur pour en réduire la consommation.</w:t>
      </w:r>
    </w:p>
    <w:p w14:paraId="5570BE05" w14:textId="14D7A4AB" w:rsidR="00646F34" w:rsidRDefault="00646F34" w:rsidP="00646F34">
      <w:pPr>
        <w:pStyle w:val="BodyTextIndent"/>
      </w:pPr>
      <w:r>
        <w:t xml:space="preserve">L’obligation de fournir des informations ne s’applique pas aux sacs à poignées en plastique : </w:t>
      </w:r>
    </w:p>
    <w:p w14:paraId="6136AAE5" w14:textId="21971FCC" w:rsidR="00646F34" w:rsidRDefault="00646F34" w:rsidP="00646F34">
      <w:pPr>
        <w:pStyle w:val="BodyTextIndent"/>
      </w:pPr>
      <w:r>
        <w:t xml:space="preserve">1. qui sont fournis à distance ; </w:t>
      </w:r>
      <w:proofErr w:type="gramStart"/>
      <w:r>
        <w:t>ou</w:t>
      </w:r>
      <w:proofErr w:type="gramEnd"/>
    </w:p>
    <w:p w14:paraId="0946EE4F" w14:textId="77777777" w:rsidR="00646F34" w:rsidRPr="00F37459" w:rsidDel="00A4255D" w:rsidRDefault="00646F34" w:rsidP="00646F34">
      <w:pPr>
        <w:pStyle w:val="BodyTextIndent"/>
      </w:pPr>
      <w:r>
        <w:t>2. </w:t>
      </w:r>
      <w:bookmarkStart w:id="18" w:name="_Hlk52885097"/>
      <w:r>
        <w:t>dont l’épaisseur est inférieure à 15 microns et qui sont nécessaires à des fins d’hygiène ou fournis comme emballage primaire pour les denrées alimentaires vendues en vrac.</w:t>
      </w:r>
    </w:p>
    <w:bookmarkEnd w:id="17"/>
    <w:bookmarkEnd w:id="18"/>
    <w:p w14:paraId="0130FB62" w14:textId="77F6F09F" w:rsidR="00646F34" w:rsidRDefault="00646F34" w:rsidP="00646F34">
      <w:pPr>
        <w:pStyle w:val="BodyTextIndent"/>
      </w:pPr>
      <w:r>
        <w:t xml:space="preserve">Les informations sont facilement accessibles, encouragent un comportement responsable des consommateurs et sont fournies de manière récurrente. </w:t>
      </w:r>
    </w:p>
    <w:p w14:paraId="5779F367" w14:textId="77777777" w:rsidR="00D810C9" w:rsidRDefault="00D810C9" w:rsidP="00646F34">
      <w:pPr>
        <w:pStyle w:val="BodyTextIndent"/>
      </w:pPr>
    </w:p>
    <w:p w14:paraId="3A1F25D9" w14:textId="190F79FF" w:rsidR="00333168" w:rsidRDefault="00311E20" w:rsidP="00333168">
      <w:pPr>
        <w:pStyle w:val="BodyTextIndent"/>
        <w:ind w:firstLine="0"/>
      </w:pPr>
      <w:r>
        <w:rPr>
          <w:b/>
        </w:rPr>
        <w:t>Article 29</w:t>
      </w:r>
      <w:r>
        <w:t xml:space="preserve">    Dans le cas des produits en plastique à usage unique visés à l’article 8 de l’ordonnance (2021:000) relative aux pénalités encourues pour abandon de déchets, l’Agence suédoise de protection de l’environnement informe les consommateurs : </w:t>
      </w:r>
    </w:p>
    <w:p w14:paraId="57FBCC86" w14:textId="7D329365" w:rsidR="00333168" w:rsidRDefault="00333168" w:rsidP="00333168">
      <w:pPr>
        <w:pStyle w:val="BodyTextIndent"/>
      </w:pPr>
      <w:r>
        <w:t xml:space="preserve">1. de la manière dont les produits en plastique à usage unique sont gérés lorsqu'ils deviennent des déchets, </w:t>
      </w:r>
    </w:p>
    <w:p w14:paraId="71E21096" w14:textId="0E200B1D" w:rsidR="00333168" w:rsidRDefault="00333168" w:rsidP="00333168">
      <w:pPr>
        <w:pStyle w:val="BodyTextIndent"/>
      </w:pPr>
      <w:r>
        <w:t>2. des effets néfastes sur l'environnement de l'abandon de déchets ou de l'élimination inappropriée d'autres produits en plastique à usage unique, et</w:t>
      </w:r>
    </w:p>
    <w:p w14:paraId="08A33784" w14:textId="28409F05" w:rsidR="00333168" w:rsidRDefault="00333168" w:rsidP="00333168">
      <w:pPr>
        <w:pStyle w:val="BodyTextIndent"/>
      </w:pPr>
      <w:r>
        <w:t>3. Les effets négatifs sur le réseau d'égouts de la mise à l'égout des produits en plastique à usage unique.</w:t>
      </w:r>
    </w:p>
    <w:p w14:paraId="78958184" w14:textId="0761D282" w:rsidR="00333168" w:rsidRDefault="00333168" w:rsidP="00333168">
      <w:pPr>
        <w:pStyle w:val="BodyTextIndent"/>
      </w:pPr>
      <w:bookmarkStart w:id="19" w:name="_Hlk85729959"/>
      <w:r>
        <w:t xml:space="preserve">Les informations contribuent à garantir que les déchets provenant de produits en plastique à usage unique sont gérés de manière appropriée et à réduire l’abandon de déchets. </w:t>
      </w:r>
    </w:p>
    <w:bookmarkEnd w:id="19"/>
    <w:p w14:paraId="2FDE9192" w14:textId="05D60899" w:rsidR="00333168" w:rsidRPr="00F37459" w:rsidRDefault="00333168" w:rsidP="00646F34">
      <w:pPr>
        <w:pStyle w:val="BodyTextIndent"/>
      </w:pPr>
      <w:r>
        <w:t xml:space="preserve">Elles sont facilement accessibles, encouragent un comportement responsable des consommateurs et sont fournies de manière récurrente. </w:t>
      </w:r>
    </w:p>
    <w:p w14:paraId="4F28984C" w14:textId="77777777" w:rsidR="00646F34" w:rsidRPr="004A5FA3" w:rsidRDefault="00646F34" w:rsidP="009E6D43">
      <w:pPr>
        <w:pStyle w:val="Heading4"/>
      </w:pPr>
      <w:r>
        <w:t>Suivi de la diminution de la consommation</w:t>
      </w:r>
    </w:p>
    <w:p w14:paraId="63677034" w14:textId="3A394BD8" w:rsidR="00646F34" w:rsidRDefault="00333168" w:rsidP="00646F34">
      <w:pPr>
        <w:pStyle w:val="BodyText"/>
      </w:pPr>
      <w:r>
        <w:rPr>
          <w:b/>
        </w:rPr>
        <w:t>Article 30</w:t>
      </w:r>
      <w:r>
        <w:t xml:space="preserve">    </w:t>
      </w:r>
      <w:bookmarkStart w:id="20" w:name="_Hlk39566463"/>
      <w:r>
        <w:t xml:space="preserve">Sur la base des informations fournies en vertu de l’article 73 a) de l’ordonnance (2018:1462) sur la responsabilité du producteur en matière d’emballage, l’Agence suédoise de protection de l’environnement veille à ce que : </w:t>
      </w:r>
    </w:p>
    <w:p w14:paraId="124862F8" w14:textId="77777777" w:rsidR="00646F34" w:rsidRDefault="00646F34" w:rsidP="00646F34">
      <w:pPr>
        <w:pStyle w:val="BodyTextIndent"/>
      </w:pPr>
      <w:r>
        <w:t xml:space="preserve">1. la consommation des sacs à poignées en plastique diminue et à ce que celle des sacs en plastique légers ne dépasse pas 90 sacs par personne et par </w:t>
      </w:r>
      <w:r>
        <w:lastRenderedPageBreak/>
        <w:t xml:space="preserve">an à partir du 31 décembre 2019 et 40 sacs par personne et par an à partir du 31 décembre 2025, et à ce que </w:t>
      </w:r>
    </w:p>
    <w:p w14:paraId="7E098308" w14:textId="77777777" w:rsidR="00646F34" w:rsidRDefault="00646F34" w:rsidP="00646F34">
      <w:pPr>
        <w:pStyle w:val="BodyTextIndent"/>
      </w:pPr>
      <w:r>
        <w:t>2. la consommation des gobelets et des boîtes alimentaires qui sont des produits en plastique à usage unique ait diminué de 50 % entre les années civiles 2022 et 2026.</w:t>
      </w:r>
    </w:p>
    <w:p w14:paraId="4DF4B9EC" w14:textId="77777777" w:rsidR="00646F34" w:rsidRDefault="00646F34" w:rsidP="00646F34">
      <w:pPr>
        <w:pStyle w:val="BodyTextIndent"/>
      </w:pPr>
      <w:r>
        <w:t xml:space="preserve">Le calcul de la consommation de sacs en plastique légers ne comprend pas les sacs en plastique dont la paroi est inférieure à 15 microns et qui : </w:t>
      </w:r>
    </w:p>
    <w:p w14:paraId="408D81DA" w14:textId="22F58FD7" w:rsidR="00646F34" w:rsidRDefault="00646F34" w:rsidP="00646F34">
      <w:pPr>
        <w:pStyle w:val="BodyTextIndent"/>
      </w:pPr>
      <w:r>
        <w:t xml:space="preserve">1. sont nécessaires à des fins d’hygiène, </w:t>
      </w:r>
      <w:proofErr w:type="gramStart"/>
      <w:r>
        <w:t>ou</w:t>
      </w:r>
      <w:proofErr w:type="gramEnd"/>
      <w:r>
        <w:t xml:space="preserve"> </w:t>
      </w:r>
    </w:p>
    <w:p w14:paraId="0FBB7059" w14:textId="77777777" w:rsidR="00646F34" w:rsidRPr="00E975B9" w:rsidRDefault="00646F34" w:rsidP="00646F34">
      <w:pPr>
        <w:pStyle w:val="BodyTextIndent"/>
      </w:pPr>
      <w:r>
        <w:t xml:space="preserve">2. sont fournis comme emballage primaire pour les denrées alimentaires vendues en vrac. </w:t>
      </w:r>
    </w:p>
    <w:p w14:paraId="24D1CC3E" w14:textId="04E01A12" w:rsidR="00646F34" w:rsidRDefault="00646F34" w:rsidP="00646F34">
      <w:pPr>
        <w:pStyle w:val="BodyTextIndent"/>
      </w:pPr>
      <w:r>
        <w:t>Si l’Agence suédoise de protection de l’environnement estime que la consommation de sacs à poignées en plastique et de gobelets et boîtes alimentaires qui sont des produits en plastique à usage unique ne diminue pas, ou que la consommation de sacs en plastique légers dépassera les niveaux fixés au premier alinéa, l’Agence suédoise pour la protection de l’environnement soumet au gouvernement des propositions de mesures appropriées.</w:t>
      </w:r>
      <w:bookmarkEnd w:id="20"/>
    </w:p>
    <w:p w14:paraId="1F952C0F" w14:textId="77777777" w:rsidR="00646F34" w:rsidRPr="006047FF" w:rsidRDefault="00646F34" w:rsidP="009E6D43">
      <w:pPr>
        <w:pStyle w:val="Heading4"/>
      </w:pPr>
      <w:r>
        <w:t>Rapports</w:t>
      </w:r>
    </w:p>
    <w:p w14:paraId="38C80481" w14:textId="725E6848" w:rsidR="00646F34" w:rsidRDefault="00333168" w:rsidP="00646F34">
      <w:pPr>
        <w:pStyle w:val="BodyText"/>
      </w:pPr>
      <w:r>
        <w:rPr>
          <w:b/>
        </w:rPr>
        <w:t>Article 31</w:t>
      </w:r>
      <w:r>
        <w:t xml:space="preserve">     L’Agence pour la protection de l’environnement fait rapport à la Commission européenne conformément à la directive (UE) 2019/904 du Parlement européen et du Conseil du 5 juin 2019 relative à la réduction de l’incidence de certains produits en plastique sur l’environnement, dans sa version initiale. </w:t>
      </w:r>
    </w:p>
    <w:p w14:paraId="6C61A685" w14:textId="77777777" w:rsidR="00646F34" w:rsidRDefault="00646F34" w:rsidP="009E6D43">
      <w:pPr>
        <w:pStyle w:val="Heading4"/>
      </w:pPr>
      <w:r>
        <w:t>Supervision</w:t>
      </w:r>
    </w:p>
    <w:p w14:paraId="793E3E77" w14:textId="37D380AB" w:rsidR="00646F34" w:rsidRDefault="00646F34" w:rsidP="00646F34">
      <w:pPr>
        <w:pStyle w:val="BodyTextIndent"/>
        <w:ind w:firstLine="0"/>
      </w:pPr>
      <w:bookmarkStart w:id="21" w:name="_Hlk49157704"/>
      <w:r>
        <w:rPr>
          <w:b/>
        </w:rPr>
        <w:t>Article 32</w:t>
      </w:r>
      <w:r>
        <w:t xml:space="preserve">    Le Chapitre 2 et les articles 24 et 31 de l’Ordonnance (2011:13) d’application de la législation environnementale contiennent des dispositions en matière de surveillance. </w:t>
      </w:r>
    </w:p>
    <w:p w14:paraId="63EF48B3" w14:textId="77777777" w:rsidR="00646F34" w:rsidRDefault="00646F34" w:rsidP="009E6D43">
      <w:pPr>
        <w:pStyle w:val="Heading4"/>
      </w:pPr>
      <w:r>
        <w:t>Sanctions</w:t>
      </w:r>
    </w:p>
    <w:p w14:paraId="6DC4E366" w14:textId="58C77F3B" w:rsidR="00646F34" w:rsidRDefault="00646F34" w:rsidP="00646F34">
      <w:pPr>
        <w:pStyle w:val="BodyText"/>
      </w:pPr>
      <w:r>
        <w:rPr>
          <w:b/>
        </w:rPr>
        <w:t>Article 33</w:t>
      </w:r>
      <w:r>
        <w:t>    L’Ordonnance (2012: 259) sur les sanctions applicables aux infractions environnementales contient des dispositions sur les pénalités en matière d’atteinte à l’environnement.</w:t>
      </w:r>
      <w:bookmarkEnd w:id="21"/>
    </w:p>
    <w:p w14:paraId="3554C13B" w14:textId="79257F9C" w:rsidR="00646F34" w:rsidRDefault="00C6508D" w:rsidP="00C6508D">
      <w:pPr>
        <w:pStyle w:val="Heading4"/>
      </w:pPr>
      <w:r>
        <w:t>Autorisation d’édicter des règlements d’exécution</w:t>
      </w:r>
    </w:p>
    <w:p w14:paraId="0F85D3F8" w14:textId="4FB63265" w:rsidR="00646F34" w:rsidRDefault="00646F34" w:rsidP="00646F34">
      <w:pPr>
        <w:pStyle w:val="BodyText"/>
      </w:pPr>
      <w:r>
        <w:rPr>
          <w:b/>
        </w:rPr>
        <w:t>Article 34</w:t>
      </w:r>
      <w:r>
        <w:t>    L’Agence suédoise de protection de l’environnement peut émettre des règlements relatifs à l’exécution de la présente ordonnance.</w:t>
      </w:r>
    </w:p>
    <w:p w14:paraId="1C219B46" w14:textId="77777777" w:rsidR="00646F34" w:rsidRPr="00811E52" w:rsidRDefault="00646F34" w:rsidP="00646F34">
      <w:pPr>
        <w:pStyle w:val="Slutstreck"/>
      </w:pPr>
      <w:r>
        <w:t>                      </w:t>
      </w:r>
    </w:p>
    <w:p w14:paraId="504E9F86" w14:textId="64A3F615" w:rsidR="00646F34" w:rsidRDefault="00646F34" w:rsidP="00646F34">
      <w:pPr>
        <w:pStyle w:val="BodyTextIndent"/>
      </w:pPr>
      <w:r>
        <w:t>1. Cette Ordonnance entre en vigueur le 30 avril 2022 en ce qui concerne l’article 16, le 1er janvier 2024 en ce qui concerne les articles 14 et 17-22 et 25, et par ailleurs le 1er janvier 2022.</w:t>
      </w:r>
    </w:p>
    <w:p w14:paraId="734AC260" w14:textId="6E9AF961" w:rsidR="00646F34" w:rsidRPr="00830602" w:rsidRDefault="00646F34" w:rsidP="00646F34">
      <w:pPr>
        <w:pStyle w:val="BodyTextIndent"/>
      </w:pPr>
      <w:r>
        <w:t>2. La présente Ordonnance abroge l’Ordonnance (2016:1041) sur les sacs en plastique à poignées.</w:t>
      </w:r>
    </w:p>
    <w:p w14:paraId="605E44B0" w14:textId="77777777" w:rsidR="0084605D" w:rsidRDefault="0084605D" w:rsidP="00C24693">
      <w:pPr>
        <w:pStyle w:val="BodyText"/>
        <w:keepNext/>
        <w:keepLines/>
      </w:pPr>
    </w:p>
    <w:p w14:paraId="41459E47" w14:textId="0F44E051" w:rsidR="00E95ADF" w:rsidRDefault="00E95ADF" w:rsidP="00C24693">
      <w:pPr>
        <w:pStyle w:val="BodyText"/>
        <w:keepNext/>
        <w:keepLines/>
      </w:pPr>
      <w:r>
        <w:t>Au nom du gouvernement</w:t>
      </w:r>
    </w:p>
    <w:p w14:paraId="26D5D373" w14:textId="77777777" w:rsidR="00E95ADF" w:rsidRDefault="00E95ADF" w:rsidP="00C24693">
      <w:pPr>
        <w:pStyle w:val="BodyText"/>
        <w:keepNext/>
        <w:keepLines/>
      </w:pPr>
    </w:p>
    <w:p w14:paraId="741DAB74" w14:textId="39EAF410" w:rsidR="00E95ADF" w:rsidRPr="003037A4" w:rsidRDefault="0084605D" w:rsidP="00C24693">
      <w:pPr>
        <w:pStyle w:val="BodyText"/>
        <w:keepNext/>
        <w:keepLines/>
        <w:rPr>
          <w:caps/>
        </w:rPr>
      </w:pPr>
      <w:r>
        <w:rPr>
          <w:caps/>
        </w:rPr>
        <w:t>PER BOLUND</w:t>
      </w:r>
    </w:p>
    <w:p w14:paraId="314788B0" w14:textId="490808DB" w:rsidR="00E95ADF" w:rsidRDefault="00E95ADF" w:rsidP="00C24693">
      <w:pPr>
        <w:pStyle w:val="BodyText"/>
        <w:keepNext/>
        <w:keepLines/>
        <w:tabs>
          <w:tab w:val="left" w:pos="3827"/>
        </w:tabs>
        <w:ind w:left="3827" w:hanging="3827"/>
        <w:jc w:val="left"/>
      </w:pPr>
      <w:r>
        <w:tab/>
        <w:t xml:space="preserve">Maria </w:t>
      </w:r>
      <w:proofErr w:type="spellStart"/>
      <w:r>
        <w:t>Jonsson</w:t>
      </w:r>
      <w:proofErr w:type="spellEnd"/>
    </w:p>
    <w:p w14:paraId="2053920B" w14:textId="63A1370F" w:rsidR="00E95ADF" w:rsidRDefault="00E95ADF" w:rsidP="00C24693">
      <w:pPr>
        <w:pStyle w:val="BodyText"/>
        <w:keepLines/>
        <w:tabs>
          <w:tab w:val="left" w:pos="3827"/>
        </w:tabs>
        <w:ind w:left="3827" w:hanging="3827"/>
        <w:jc w:val="left"/>
      </w:pPr>
      <w:r>
        <w:tab/>
        <w:t>(</w:t>
      </w:r>
      <w:proofErr w:type="gramStart"/>
      <w:r>
        <w:t>Ministère de l’environnement</w:t>
      </w:r>
      <w:proofErr w:type="gramEnd"/>
      <w:r>
        <w:t>)</w:t>
      </w:r>
    </w:p>
    <w:p w14:paraId="5ED46A6A" w14:textId="77777777" w:rsidR="00FE7D41" w:rsidRPr="00FE7D41" w:rsidRDefault="00FE7D41" w:rsidP="00FE7D41">
      <w:pPr>
        <w:pStyle w:val="BodyTextIndent"/>
      </w:pPr>
    </w:p>
    <w:sectPr w:rsidR="00FE7D41" w:rsidRPr="00FE7D41" w:rsidSect="00B045CC">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58C03" w14:textId="77777777" w:rsidR="0067278F" w:rsidRDefault="0067278F" w:rsidP="00680442">
      <w:r>
        <w:separator/>
      </w:r>
    </w:p>
  </w:endnote>
  <w:endnote w:type="continuationSeparator" w:id="0">
    <w:p w14:paraId="04DFCA16" w14:textId="77777777" w:rsidR="0067278F" w:rsidRDefault="0067278F" w:rsidP="00680442">
      <w:r>
        <w:continuationSeparator/>
      </w:r>
    </w:p>
  </w:endnote>
  <w:endnote w:type="continuationNotice" w:id="1">
    <w:p w14:paraId="11388EED" w14:textId="77777777" w:rsidR="0067278F" w:rsidRDefault="00672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4DED" w14:textId="77777777" w:rsidR="00CE5660" w:rsidRDefault="00CE5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AEBF" w14:textId="77777777" w:rsidR="00CE5660" w:rsidRDefault="00CE5660" w:rsidP="00CE05BB">
    <w:pPr>
      <w:pStyle w:val="Footer"/>
    </w:pPr>
    <w:r>
      <w:rPr>
        <w:noProof/>
      </w:rPr>
      <mc:AlternateContent>
        <mc:Choice Requires="wps">
          <w:drawing>
            <wp:anchor distT="0" distB="0" distL="114300" distR="114300" simplePos="0" relativeHeight="251657216" behindDoc="0" locked="0" layoutInCell="1" allowOverlap="1" wp14:anchorId="2FECE3E4" wp14:editId="2DEF5DB2">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492BE" w14:textId="77777777" w:rsidR="00CE5660" w:rsidRDefault="00CE5660" w:rsidP="004043E4">
                          <w:pPr>
                            <w:pStyle w:val="BodyText"/>
                            <w:jc w:val="right"/>
                          </w:pPr>
                          <w:r>
                            <w:fldChar w:fldCharType="begin"/>
                          </w:r>
                          <w:r>
                            <w:instrText>PAGE   \* MERGEFORMAT</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CE3E4"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1C5492BE" w14:textId="77777777" w:rsidR="00CE5660" w:rsidRDefault="00CE5660" w:rsidP="004043E4">
                    <w:pPr>
                      <w:pStyle w:val="BodyText"/>
                      <w:jc w:val="right"/>
                    </w:pPr>
                    <w:r>
                      <w:fldChar w:fldCharType="begin"/>
                    </w:r>
                    <w:r>
                      <w:instrText>PAGE   \* MERGEFORMAT</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BFE7" w14:textId="77777777" w:rsidR="00CE5660" w:rsidRDefault="00CE5660" w:rsidP="00CE05BB">
    <w:pPr>
      <w:pStyle w:val="Footer"/>
    </w:pPr>
    <w:r>
      <w:rPr>
        <w:noProof/>
      </w:rPr>
      <mc:AlternateContent>
        <mc:Choice Requires="wps">
          <w:drawing>
            <wp:anchor distT="0" distB="0" distL="114300" distR="114300" simplePos="0" relativeHeight="251656192" behindDoc="0" locked="0" layoutInCell="1" allowOverlap="1" wp14:anchorId="52EA5486" wp14:editId="02B970E0">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4C27F" w14:textId="77777777" w:rsidR="00CE5660" w:rsidRDefault="00CE5660" w:rsidP="005B2C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A548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P7dw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" fillcolor="white [3201]" stroked="f" strokeweight=".5pt">
              <v:textbox>
                <w:txbxContent>
                  <w:p w14:paraId="3434C27F" w14:textId="77777777" w:rsidR="00CE5660" w:rsidRDefault="00CE5660" w:rsidP="005B2C6E">
                    <w:pPr>
                      <w:pStyle w:val="Body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EB33B" w14:textId="77777777" w:rsidR="0067278F" w:rsidRDefault="0067278F" w:rsidP="00680442"/>
  </w:footnote>
  <w:footnote w:type="continuationSeparator" w:id="0">
    <w:p w14:paraId="526972DA" w14:textId="77777777" w:rsidR="0067278F" w:rsidRPr="00C26807" w:rsidRDefault="0067278F" w:rsidP="00C26807">
      <w:pPr>
        <w:pStyle w:val="Footer"/>
      </w:pPr>
    </w:p>
  </w:footnote>
  <w:footnote w:type="continuationNotice" w:id="1">
    <w:p w14:paraId="5BAE16E2" w14:textId="77777777" w:rsidR="0067278F" w:rsidRDefault="0067278F"/>
  </w:footnote>
  <w:footnote w:id="2">
    <w:p w14:paraId="4FE7E27D" w14:textId="77777777" w:rsidR="00CE5660" w:rsidRDefault="00CE5660" w:rsidP="00211C2C">
      <w:pPr>
        <w:pStyle w:val="FootnoteText"/>
      </w:pPr>
      <w:r>
        <w:rPr>
          <w:rStyle w:val="FootnoteReference"/>
        </w:rPr>
        <w:footnoteRef/>
      </w:r>
      <w:r>
        <w:t xml:space="preserve"> Cf. Directive (UE) 2019/904 du Parlement européen et du Conseil du 5 juin 2019 relative à la réduction de l’impact de certains produits plastiques sur l’environnement, dans la formulation originale. Directive (UE) 2015/1535 du Parlement européen et du Conseil du 9 septembre 2015 prévoyant une procédure d'information dans le domaine des dispositions réglementaires techniques et des règles relatives aux services de la Société de l'information (codification).</w:t>
      </w:r>
    </w:p>
    <w:p w14:paraId="6A98EB38" w14:textId="0DE8A2D1" w:rsidR="00CE5660" w:rsidRDefault="00CE56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10D4" w14:textId="77777777" w:rsidR="00CE5660" w:rsidRDefault="0067278F">
    <w:pPr>
      <w:pStyle w:val="Header"/>
    </w:pPr>
    <w:r>
      <w:pict w14:anchorId="24E92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DOCUMENT TEST, DOCUMENT NON VALID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2C90" w14:textId="77777777" w:rsidR="00CE5660" w:rsidRDefault="00CE5660" w:rsidP="00F77ABC">
    <w:pPr>
      <w:pStyle w:val="Header"/>
      <w:jc w:val="right"/>
    </w:pPr>
    <w:r>
      <w:rPr>
        <w:noProof/>
      </w:rPr>
      <mc:AlternateContent>
        <mc:Choice Requires="wps">
          <w:drawing>
            <wp:anchor distT="0" distB="0" distL="114300" distR="114300" simplePos="0" relativeHeight="251658240" behindDoc="0" locked="0" layoutInCell="1" allowOverlap="1" wp14:anchorId="20DA6EBC" wp14:editId="76D6F7C9">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BECD6" w14:textId="77777777" w:rsidR="00CE5660" w:rsidRPr="001974BD" w:rsidRDefault="00CE5660"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A6EBC"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1F2BECD6" w14:textId="77777777" w:rsidR="00CE5660" w:rsidRPr="001974BD" w:rsidRDefault="00CE5660" w:rsidP="00B90519">
                    <w:pPr>
                      <w:rPr>
                        <w:b/>
                        <w:sz w:val="22"/>
                        <w:szCs w:val="22"/>
                      </w:rPr>
                    </w:pPr>
                    <w:r>
                      <w:rPr>
                        <w:b/>
                        <w:sz w:val="22"/>
                      </w:rPr>
                      <w:t>SFS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51EC" w14:textId="77777777" w:rsidR="00CE5660" w:rsidRDefault="00CE5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641D6"/>
    <w:multiLevelType w:val="hybridMultilevel"/>
    <w:tmpl w:val="CDE461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01358037">
    <w:abstractNumId w:val="8"/>
  </w:num>
  <w:num w:numId="2" w16cid:durableId="990672244">
    <w:abstractNumId w:val="8"/>
  </w:num>
  <w:num w:numId="3" w16cid:durableId="2100833066">
    <w:abstractNumId w:val="3"/>
  </w:num>
  <w:num w:numId="4" w16cid:durableId="1677462014">
    <w:abstractNumId w:val="2"/>
  </w:num>
  <w:num w:numId="5" w16cid:durableId="1020663161">
    <w:abstractNumId w:val="1"/>
  </w:num>
  <w:num w:numId="6" w16cid:durableId="986976899">
    <w:abstractNumId w:val="0"/>
  </w:num>
  <w:num w:numId="7" w16cid:durableId="1112554533">
    <w:abstractNumId w:val="9"/>
  </w:num>
  <w:num w:numId="8" w16cid:durableId="2031906645">
    <w:abstractNumId w:val="7"/>
  </w:num>
  <w:num w:numId="9" w16cid:durableId="119736575">
    <w:abstractNumId w:val="6"/>
  </w:num>
  <w:num w:numId="10" w16cid:durableId="704674679">
    <w:abstractNumId w:val="5"/>
  </w:num>
  <w:num w:numId="11" w16cid:durableId="844201586">
    <w:abstractNumId w:val="4"/>
  </w:num>
  <w:num w:numId="12" w16cid:durableId="660231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hideGrammaticalErrors/>
  <w:proofState w:spelling="clean" w:grammar="clean"/>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34"/>
    <w:rsid w:val="00014844"/>
    <w:rsid w:val="000217E0"/>
    <w:rsid w:val="000309B4"/>
    <w:rsid w:val="00054B0D"/>
    <w:rsid w:val="00062643"/>
    <w:rsid w:val="00065778"/>
    <w:rsid w:val="000776E6"/>
    <w:rsid w:val="00087E73"/>
    <w:rsid w:val="00091696"/>
    <w:rsid w:val="0009400A"/>
    <w:rsid w:val="000963A0"/>
    <w:rsid w:val="000A1BCC"/>
    <w:rsid w:val="000A437D"/>
    <w:rsid w:val="000A6C2B"/>
    <w:rsid w:val="000B072E"/>
    <w:rsid w:val="000B36C7"/>
    <w:rsid w:val="000B7FEB"/>
    <w:rsid w:val="000C42B0"/>
    <w:rsid w:val="000D3E9A"/>
    <w:rsid w:val="000D56FC"/>
    <w:rsid w:val="000D5E85"/>
    <w:rsid w:val="000F3D5F"/>
    <w:rsid w:val="000F7435"/>
    <w:rsid w:val="00100E2C"/>
    <w:rsid w:val="00122CF5"/>
    <w:rsid w:val="00131A73"/>
    <w:rsid w:val="00132BD5"/>
    <w:rsid w:val="00135F8C"/>
    <w:rsid w:val="001409E8"/>
    <w:rsid w:val="001563DC"/>
    <w:rsid w:val="00162B76"/>
    <w:rsid w:val="00165B5E"/>
    <w:rsid w:val="00167E63"/>
    <w:rsid w:val="00175988"/>
    <w:rsid w:val="00181BC1"/>
    <w:rsid w:val="001974BD"/>
    <w:rsid w:val="001A716D"/>
    <w:rsid w:val="001B4DB6"/>
    <w:rsid w:val="001D2D45"/>
    <w:rsid w:val="001D7E3D"/>
    <w:rsid w:val="001E43C6"/>
    <w:rsid w:val="001F4FE9"/>
    <w:rsid w:val="00201C96"/>
    <w:rsid w:val="00205B38"/>
    <w:rsid w:val="00211C2C"/>
    <w:rsid w:val="002124E1"/>
    <w:rsid w:val="00215412"/>
    <w:rsid w:val="00224C44"/>
    <w:rsid w:val="00232439"/>
    <w:rsid w:val="0023447C"/>
    <w:rsid w:val="00236E12"/>
    <w:rsid w:val="002576A9"/>
    <w:rsid w:val="00264764"/>
    <w:rsid w:val="00267351"/>
    <w:rsid w:val="002767C4"/>
    <w:rsid w:val="00276BA7"/>
    <w:rsid w:val="002804CB"/>
    <w:rsid w:val="0029295C"/>
    <w:rsid w:val="002949DD"/>
    <w:rsid w:val="002A76C1"/>
    <w:rsid w:val="002B3871"/>
    <w:rsid w:val="002B452D"/>
    <w:rsid w:val="002C0BBF"/>
    <w:rsid w:val="002D247A"/>
    <w:rsid w:val="002D3D78"/>
    <w:rsid w:val="002F68D4"/>
    <w:rsid w:val="00301819"/>
    <w:rsid w:val="00311E20"/>
    <w:rsid w:val="003216FD"/>
    <w:rsid w:val="00323010"/>
    <w:rsid w:val="00330A7B"/>
    <w:rsid w:val="00332533"/>
    <w:rsid w:val="00333168"/>
    <w:rsid w:val="00333E47"/>
    <w:rsid w:val="00335129"/>
    <w:rsid w:val="00343A99"/>
    <w:rsid w:val="00344B4A"/>
    <w:rsid w:val="00350B0F"/>
    <w:rsid w:val="0035181A"/>
    <w:rsid w:val="00353EE4"/>
    <w:rsid w:val="00355D64"/>
    <w:rsid w:val="003627A1"/>
    <w:rsid w:val="003642F1"/>
    <w:rsid w:val="00364629"/>
    <w:rsid w:val="003661D1"/>
    <w:rsid w:val="00367C3F"/>
    <w:rsid w:val="0037085F"/>
    <w:rsid w:val="003A300E"/>
    <w:rsid w:val="003B4B65"/>
    <w:rsid w:val="003C1B39"/>
    <w:rsid w:val="003C5D66"/>
    <w:rsid w:val="003E4858"/>
    <w:rsid w:val="003E7C57"/>
    <w:rsid w:val="004043E4"/>
    <w:rsid w:val="00420647"/>
    <w:rsid w:val="0042754D"/>
    <w:rsid w:val="0044098C"/>
    <w:rsid w:val="00440A07"/>
    <w:rsid w:val="0044715B"/>
    <w:rsid w:val="00460C4D"/>
    <w:rsid w:val="00461C46"/>
    <w:rsid w:val="00461D7A"/>
    <w:rsid w:val="004630CE"/>
    <w:rsid w:val="00465E8F"/>
    <w:rsid w:val="00467E22"/>
    <w:rsid w:val="00467F48"/>
    <w:rsid w:val="0047191E"/>
    <w:rsid w:val="00475117"/>
    <w:rsid w:val="00475F84"/>
    <w:rsid w:val="00482DD1"/>
    <w:rsid w:val="00487A84"/>
    <w:rsid w:val="00496903"/>
    <w:rsid w:val="00496B57"/>
    <w:rsid w:val="004A3C1C"/>
    <w:rsid w:val="004A728C"/>
    <w:rsid w:val="004B6A07"/>
    <w:rsid w:val="004B7FD3"/>
    <w:rsid w:val="004C2E93"/>
    <w:rsid w:val="004E0106"/>
    <w:rsid w:val="004E0DAA"/>
    <w:rsid w:val="004E1ACE"/>
    <w:rsid w:val="004E4DE2"/>
    <w:rsid w:val="004F0BBC"/>
    <w:rsid w:val="004F112E"/>
    <w:rsid w:val="00506527"/>
    <w:rsid w:val="00527561"/>
    <w:rsid w:val="005373FC"/>
    <w:rsid w:val="0055154B"/>
    <w:rsid w:val="00561BFC"/>
    <w:rsid w:val="00562B95"/>
    <w:rsid w:val="00564C23"/>
    <w:rsid w:val="00565A67"/>
    <w:rsid w:val="00580393"/>
    <w:rsid w:val="00585B17"/>
    <w:rsid w:val="005B0C13"/>
    <w:rsid w:val="005B2C6E"/>
    <w:rsid w:val="005B3A26"/>
    <w:rsid w:val="005B7784"/>
    <w:rsid w:val="005C210E"/>
    <w:rsid w:val="005C6B0C"/>
    <w:rsid w:val="005E410F"/>
    <w:rsid w:val="005E781A"/>
    <w:rsid w:val="005F3664"/>
    <w:rsid w:val="005F5448"/>
    <w:rsid w:val="005F75D2"/>
    <w:rsid w:val="005F7A7D"/>
    <w:rsid w:val="006017CA"/>
    <w:rsid w:val="00601CF4"/>
    <w:rsid w:val="00615D62"/>
    <w:rsid w:val="006178BF"/>
    <w:rsid w:val="00624653"/>
    <w:rsid w:val="006413A7"/>
    <w:rsid w:val="0064475F"/>
    <w:rsid w:val="00646F34"/>
    <w:rsid w:val="0067278F"/>
    <w:rsid w:val="006734C6"/>
    <w:rsid w:val="0067379D"/>
    <w:rsid w:val="00674A58"/>
    <w:rsid w:val="00680442"/>
    <w:rsid w:val="0068520B"/>
    <w:rsid w:val="006856DB"/>
    <w:rsid w:val="00685BA1"/>
    <w:rsid w:val="00691E87"/>
    <w:rsid w:val="006972B7"/>
    <w:rsid w:val="006A189D"/>
    <w:rsid w:val="006A31EA"/>
    <w:rsid w:val="006A5C76"/>
    <w:rsid w:val="006A6EF2"/>
    <w:rsid w:val="006B1487"/>
    <w:rsid w:val="006B54FB"/>
    <w:rsid w:val="006C2353"/>
    <w:rsid w:val="006C3DF6"/>
    <w:rsid w:val="006C4712"/>
    <w:rsid w:val="006D0B9D"/>
    <w:rsid w:val="006E7380"/>
    <w:rsid w:val="006F3EF0"/>
    <w:rsid w:val="00701597"/>
    <w:rsid w:val="00705CF7"/>
    <w:rsid w:val="00711FBF"/>
    <w:rsid w:val="007141EE"/>
    <w:rsid w:val="00715836"/>
    <w:rsid w:val="00731454"/>
    <w:rsid w:val="0073211B"/>
    <w:rsid w:val="00732438"/>
    <w:rsid w:val="00732889"/>
    <w:rsid w:val="00732900"/>
    <w:rsid w:val="00736FD8"/>
    <w:rsid w:val="00753F80"/>
    <w:rsid w:val="007623A9"/>
    <w:rsid w:val="007708C2"/>
    <w:rsid w:val="0078709D"/>
    <w:rsid w:val="0078756A"/>
    <w:rsid w:val="007878C2"/>
    <w:rsid w:val="00790DED"/>
    <w:rsid w:val="007A10EE"/>
    <w:rsid w:val="007A4814"/>
    <w:rsid w:val="007A5642"/>
    <w:rsid w:val="007A61CF"/>
    <w:rsid w:val="007B32A1"/>
    <w:rsid w:val="007B5968"/>
    <w:rsid w:val="007C0C0F"/>
    <w:rsid w:val="007E6B31"/>
    <w:rsid w:val="007E75A3"/>
    <w:rsid w:val="007F7FC2"/>
    <w:rsid w:val="00805987"/>
    <w:rsid w:val="00831B5C"/>
    <w:rsid w:val="0083514C"/>
    <w:rsid w:val="00835AE2"/>
    <w:rsid w:val="00836C52"/>
    <w:rsid w:val="00836E0C"/>
    <w:rsid w:val="00837A93"/>
    <w:rsid w:val="0084384D"/>
    <w:rsid w:val="0084605D"/>
    <w:rsid w:val="008579BD"/>
    <w:rsid w:val="00865506"/>
    <w:rsid w:val="00870B91"/>
    <w:rsid w:val="00871B1E"/>
    <w:rsid w:val="0088045A"/>
    <w:rsid w:val="00887A99"/>
    <w:rsid w:val="008938FE"/>
    <w:rsid w:val="008A4F77"/>
    <w:rsid w:val="008A56A3"/>
    <w:rsid w:val="008B4876"/>
    <w:rsid w:val="008C6DE9"/>
    <w:rsid w:val="008D7DFB"/>
    <w:rsid w:val="008E3B11"/>
    <w:rsid w:val="008E6436"/>
    <w:rsid w:val="008E7A90"/>
    <w:rsid w:val="008F6E7A"/>
    <w:rsid w:val="008F6EEA"/>
    <w:rsid w:val="009105CE"/>
    <w:rsid w:val="00917859"/>
    <w:rsid w:val="009201AC"/>
    <w:rsid w:val="009331C6"/>
    <w:rsid w:val="00933D9C"/>
    <w:rsid w:val="00944A0C"/>
    <w:rsid w:val="009553B2"/>
    <w:rsid w:val="00984BC8"/>
    <w:rsid w:val="0098565F"/>
    <w:rsid w:val="0099266E"/>
    <w:rsid w:val="00993A25"/>
    <w:rsid w:val="009A32BD"/>
    <w:rsid w:val="009A51AC"/>
    <w:rsid w:val="009B701B"/>
    <w:rsid w:val="009C4782"/>
    <w:rsid w:val="009C5A21"/>
    <w:rsid w:val="009D070E"/>
    <w:rsid w:val="009D46CD"/>
    <w:rsid w:val="009D6C25"/>
    <w:rsid w:val="009D7413"/>
    <w:rsid w:val="009D7436"/>
    <w:rsid w:val="009E0463"/>
    <w:rsid w:val="009E6722"/>
    <w:rsid w:val="009E6D43"/>
    <w:rsid w:val="009F3E51"/>
    <w:rsid w:val="009F4194"/>
    <w:rsid w:val="009F4B8F"/>
    <w:rsid w:val="009F60E3"/>
    <w:rsid w:val="009F63BA"/>
    <w:rsid w:val="00A10981"/>
    <w:rsid w:val="00A11BA4"/>
    <w:rsid w:val="00A33D04"/>
    <w:rsid w:val="00A53593"/>
    <w:rsid w:val="00A619D9"/>
    <w:rsid w:val="00A71376"/>
    <w:rsid w:val="00A8757F"/>
    <w:rsid w:val="00A943CA"/>
    <w:rsid w:val="00A94B58"/>
    <w:rsid w:val="00A953B2"/>
    <w:rsid w:val="00AA35F7"/>
    <w:rsid w:val="00AA4011"/>
    <w:rsid w:val="00AC565C"/>
    <w:rsid w:val="00AE1FEB"/>
    <w:rsid w:val="00AF246E"/>
    <w:rsid w:val="00B045CC"/>
    <w:rsid w:val="00B13367"/>
    <w:rsid w:val="00B13451"/>
    <w:rsid w:val="00B178AA"/>
    <w:rsid w:val="00B316D7"/>
    <w:rsid w:val="00B32DD6"/>
    <w:rsid w:val="00B346FF"/>
    <w:rsid w:val="00B412A6"/>
    <w:rsid w:val="00B47C04"/>
    <w:rsid w:val="00B53E93"/>
    <w:rsid w:val="00B54292"/>
    <w:rsid w:val="00B60D5E"/>
    <w:rsid w:val="00B65511"/>
    <w:rsid w:val="00B7501B"/>
    <w:rsid w:val="00B90519"/>
    <w:rsid w:val="00B92773"/>
    <w:rsid w:val="00B92D7E"/>
    <w:rsid w:val="00B92EB6"/>
    <w:rsid w:val="00BA0591"/>
    <w:rsid w:val="00BA397F"/>
    <w:rsid w:val="00BA7AC5"/>
    <w:rsid w:val="00BC1B38"/>
    <w:rsid w:val="00BC1BFA"/>
    <w:rsid w:val="00BC3E60"/>
    <w:rsid w:val="00BC4608"/>
    <w:rsid w:val="00BC60E8"/>
    <w:rsid w:val="00BC6DC4"/>
    <w:rsid w:val="00BC7154"/>
    <w:rsid w:val="00BC79BB"/>
    <w:rsid w:val="00BD3925"/>
    <w:rsid w:val="00BE1774"/>
    <w:rsid w:val="00BF022A"/>
    <w:rsid w:val="00BF16AF"/>
    <w:rsid w:val="00C126DB"/>
    <w:rsid w:val="00C21A7B"/>
    <w:rsid w:val="00C221CE"/>
    <w:rsid w:val="00C24693"/>
    <w:rsid w:val="00C25750"/>
    <w:rsid w:val="00C25CB0"/>
    <w:rsid w:val="00C26807"/>
    <w:rsid w:val="00C47474"/>
    <w:rsid w:val="00C64668"/>
    <w:rsid w:val="00C6508D"/>
    <w:rsid w:val="00C71C42"/>
    <w:rsid w:val="00C728AE"/>
    <w:rsid w:val="00C73C3C"/>
    <w:rsid w:val="00C747CC"/>
    <w:rsid w:val="00C8494D"/>
    <w:rsid w:val="00C96BEF"/>
    <w:rsid w:val="00CB0127"/>
    <w:rsid w:val="00CB0950"/>
    <w:rsid w:val="00CE05BB"/>
    <w:rsid w:val="00CE5660"/>
    <w:rsid w:val="00CE5EC6"/>
    <w:rsid w:val="00CF03E7"/>
    <w:rsid w:val="00CF5001"/>
    <w:rsid w:val="00CF79ED"/>
    <w:rsid w:val="00D001EA"/>
    <w:rsid w:val="00D107EB"/>
    <w:rsid w:val="00D20572"/>
    <w:rsid w:val="00D25FEB"/>
    <w:rsid w:val="00D318CA"/>
    <w:rsid w:val="00D34DA7"/>
    <w:rsid w:val="00D3638D"/>
    <w:rsid w:val="00D4217D"/>
    <w:rsid w:val="00D42A87"/>
    <w:rsid w:val="00D441D7"/>
    <w:rsid w:val="00D44AC9"/>
    <w:rsid w:val="00D45C8D"/>
    <w:rsid w:val="00D50A6F"/>
    <w:rsid w:val="00D526A3"/>
    <w:rsid w:val="00D54E0F"/>
    <w:rsid w:val="00D65A6A"/>
    <w:rsid w:val="00D70F12"/>
    <w:rsid w:val="00D71BB8"/>
    <w:rsid w:val="00D72FA5"/>
    <w:rsid w:val="00D74117"/>
    <w:rsid w:val="00D810C9"/>
    <w:rsid w:val="00DB779F"/>
    <w:rsid w:val="00DD0175"/>
    <w:rsid w:val="00DD0E37"/>
    <w:rsid w:val="00DD64FA"/>
    <w:rsid w:val="00DE0B69"/>
    <w:rsid w:val="00DE4842"/>
    <w:rsid w:val="00DE5075"/>
    <w:rsid w:val="00DE5B23"/>
    <w:rsid w:val="00DF2B87"/>
    <w:rsid w:val="00DF648E"/>
    <w:rsid w:val="00DF68E0"/>
    <w:rsid w:val="00DF7898"/>
    <w:rsid w:val="00E1310A"/>
    <w:rsid w:val="00E20D3E"/>
    <w:rsid w:val="00E21E6F"/>
    <w:rsid w:val="00E373D5"/>
    <w:rsid w:val="00E37BB1"/>
    <w:rsid w:val="00E52CB7"/>
    <w:rsid w:val="00E65F76"/>
    <w:rsid w:val="00E80832"/>
    <w:rsid w:val="00E850EC"/>
    <w:rsid w:val="00E95ADF"/>
    <w:rsid w:val="00E967A2"/>
    <w:rsid w:val="00EA0AB8"/>
    <w:rsid w:val="00EA1496"/>
    <w:rsid w:val="00EA2933"/>
    <w:rsid w:val="00EA30FD"/>
    <w:rsid w:val="00EA76D7"/>
    <w:rsid w:val="00EB47C6"/>
    <w:rsid w:val="00ED763F"/>
    <w:rsid w:val="00EE6222"/>
    <w:rsid w:val="00EE684D"/>
    <w:rsid w:val="00EF16E1"/>
    <w:rsid w:val="00EF521D"/>
    <w:rsid w:val="00EF57BC"/>
    <w:rsid w:val="00EF6220"/>
    <w:rsid w:val="00F04DDD"/>
    <w:rsid w:val="00F1229F"/>
    <w:rsid w:val="00F177EF"/>
    <w:rsid w:val="00F24B78"/>
    <w:rsid w:val="00F277AA"/>
    <w:rsid w:val="00F32750"/>
    <w:rsid w:val="00F549CD"/>
    <w:rsid w:val="00F608ED"/>
    <w:rsid w:val="00F70F1F"/>
    <w:rsid w:val="00F76190"/>
    <w:rsid w:val="00F77ABC"/>
    <w:rsid w:val="00F8416E"/>
    <w:rsid w:val="00F94D97"/>
    <w:rsid w:val="00FA1C3B"/>
    <w:rsid w:val="00FA3FC2"/>
    <w:rsid w:val="00FA4314"/>
    <w:rsid w:val="00FB1396"/>
    <w:rsid w:val="00FB2CB0"/>
    <w:rsid w:val="00FD162D"/>
    <w:rsid w:val="00FD3A99"/>
    <w:rsid w:val="00FD5F95"/>
    <w:rsid w:val="00FD635B"/>
    <w:rsid w:val="00FD67E3"/>
    <w:rsid w:val="00FD71AE"/>
    <w:rsid w:val="00FD759F"/>
    <w:rsid w:val="00FE1F7B"/>
    <w:rsid w:val="00FE3076"/>
    <w:rsid w:val="00FE7D41"/>
    <w:rsid w:val="00FF11B7"/>
    <w:rsid w:val="00FF2358"/>
    <w:rsid w:val="00FF6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577B"/>
  <w15:docId w15:val="{1B6604E8-44A5-4D1E-9006-C01F1909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1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14"/>
    <w:qFormat/>
    <w:rsid w:val="008B4876"/>
  </w:style>
  <w:style w:type="character" w:customStyle="1" w:styleId="Rubrik4utannumreringChar">
    <w:name w:val="Rubrik 4 utan numrering Char"/>
    <w:basedOn w:val="Heading4Char"/>
    <w:link w:val="Rubrik4utannumrering"/>
    <w:uiPriority w:val="14"/>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qFormat/>
    <w:rsid w:val="008B4876"/>
    <w:pPr>
      <w:spacing w:after="60"/>
    </w:pPr>
    <w:rPr>
      <w:u w:val="single"/>
    </w:rPr>
  </w:style>
  <w:style w:type="character" w:customStyle="1" w:styleId="SlutstreckChar">
    <w:name w:val="Slutstreck Char"/>
    <w:basedOn w:val="BodyTextIndentChar"/>
    <w:link w:val="Slutstreck"/>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
    <w:name w:val="Hashtag"/>
    <w:basedOn w:val="DefaultParagraphFont"/>
    <w:uiPriority w:val="99"/>
    <w:semiHidden/>
    <w:rsid w:val="00646F34"/>
    <w:rPr>
      <w:color w:val="2B579A"/>
      <w:shd w:val="clear" w:color="auto" w:fill="E1DFDD"/>
    </w:rPr>
  </w:style>
  <w:style w:type="character" w:styleId="Mention">
    <w:name w:val="Mention"/>
    <w:basedOn w:val="DefaultParagraphFont"/>
    <w:uiPriority w:val="99"/>
    <w:semiHidden/>
    <w:rsid w:val="00646F34"/>
    <w:rPr>
      <w:color w:val="2B579A"/>
      <w:shd w:val="clear" w:color="auto" w:fill="E1DFDD"/>
    </w:rPr>
  </w:style>
  <w:style w:type="character" w:styleId="UnresolvedMention">
    <w:name w:val="Unresolved Mention"/>
    <w:basedOn w:val="DefaultParagraphFont"/>
    <w:uiPriority w:val="99"/>
    <w:semiHidden/>
    <w:rsid w:val="00646F34"/>
    <w:rPr>
      <w:color w:val="605E5C"/>
      <w:shd w:val="clear" w:color="auto" w:fill="E1DFDD"/>
    </w:rPr>
  </w:style>
  <w:style w:type="character" w:styleId="SmartHyperlink">
    <w:name w:val="Smart Hyperlink"/>
    <w:basedOn w:val="DefaultParagraphFont"/>
    <w:uiPriority w:val="99"/>
    <w:semiHidden/>
    <w:rsid w:val="00646F34"/>
    <w:rPr>
      <w:u w:val="dotted"/>
    </w:rPr>
  </w:style>
  <w:style w:type="character" w:styleId="SmartLink">
    <w:name w:val="Smart Link"/>
    <w:basedOn w:val="DefaultParagraphFont"/>
    <w:uiPriority w:val="99"/>
    <w:semiHidden/>
    <w:rsid w:val="00646F3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31D46B8C324B76B3CEC46700909471"/>
        <w:category>
          <w:name w:val="Allmänt"/>
          <w:gallery w:val="placeholder"/>
        </w:category>
        <w:types>
          <w:type w:val="bbPlcHdr"/>
        </w:types>
        <w:behaviors>
          <w:behavior w:val="content"/>
        </w:behaviors>
        <w:guid w:val="{99041850-4ADF-4F02-8010-C2C358BF3FE5}"/>
      </w:docPartPr>
      <w:docPartBody>
        <w:p w:rsidR="0083405B" w:rsidRDefault="00116015" w:rsidP="00116015">
          <w:r>
            <w:rPr>
              <w:rStyle w:val="PlaceholderText"/>
            </w:rPr>
            <w:t>Cliquez ici pour indiquer la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15"/>
    <w:rsid w:val="00116015"/>
    <w:rsid w:val="0083405B"/>
    <w:rsid w:val="00B878EB"/>
    <w:rsid w:val="00C203FE"/>
    <w:rsid w:val="00CC7F5C"/>
    <w:rsid w:val="00D127BF"/>
    <w:rsid w:val="00F050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F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2021-03-26</HeaderDate>
    <Office/>
    <Dnr>M2021/</Dnr>
    <ParagrafNr/>
    <DocumentTitle/>
    <VisitingAddress/>
    <Extra1>extrainfo för denna mallm</Extra1>
    <Extra2>mer extrainfo</Extra2>
    <Extra3/>
    <Number/>
    <Recipient/>
    <SenderText/>
    <DocNumber/>
    <Doclanguage>1053</Doclanguage>
    <Appendix/>
    <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TSDR5AECP2XP-1839530900-53935</_dlc_DocId>
    <_dlc_DocIdUrl xmlns="6a372189-8514-43a9-a668-4622024340fc">
      <Url>https://dhs.sp.regeringskansliet.se/yta/m-r/_layouts/15/DocIdRedir.aspx?ID=TSDR5AECP2XP-1839530900-53935</Url>
      <Description>TSDR5AECP2XP-1839530900-53935</Description>
    </_dlc_DocIdUrl>
    <RKOrdnaClass xmlns="d4acd662-17ce-4a3b-8e84-c7c9f280a23c" xsi:nil="true"/>
    <RKOrdnaCheckInComment xmlns="d4acd662-17ce-4a3b-8e84-c7c9f280a23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C5FA5B09-8678-40D5-A305-364511F55171}">
  <ds:schemaRefs>
    <ds:schemaRef ds:uri="http://lp/documentinfo/RK"/>
  </ds:schemaRefs>
</ds:datastoreItem>
</file>

<file path=customXml/itemProps3.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6a372189-8514-43a9-a668-4622024340fc"/>
    <ds:schemaRef ds:uri="d4acd662-17ce-4a3b-8e84-c7c9f280a23c"/>
  </ds:schemaRefs>
</ds:datastoreItem>
</file>

<file path=customXml/itemProps4.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5.xml><?xml version="1.0" encoding="utf-8"?>
<ds:datastoreItem xmlns:ds="http://schemas.openxmlformats.org/officeDocument/2006/customXml" ds:itemID="{F040F898-B3FB-4EB0-8C1F-F030ABB2D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39FB88-DAC8-4639-8EC7-CDA9CB424C97}">
  <ds:schemaRefs>
    <ds:schemaRef ds:uri="http://schemas.microsoft.com/sharepoint/events"/>
  </ds:schemaRefs>
</ds:datastoreItem>
</file>

<file path=customXml/itemProps7.xml><?xml version="1.0" encoding="utf-8"?>
<ds:datastoreItem xmlns:ds="http://schemas.openxmlformats.org/officeDocument/2006/customXml" ds:itemID="{DE41085F-F65A-4FFB-8541-203F539B31D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SFS</Template>
  <TotalTime>1</TotalTime>
  <Pages>7</Pages>
  <Words>2827</Words>
  <Characters>15158</Characters>
  <Application>Microsoft Office Word</Application>
  <DocSecurity>0</DocSecurity>
  <Lines>352</Lines>
  <Paragraphs>168</Paragraphs>
  <ScaleCrop>false</ScaleCrop>
  <HeadingPairs>
    <vt:vector size="2" baseType="variant">
      <vt:variant>
        <vt:lpstr>Rubrik</vt:lpstr>
      </vt:variant>
      <vt:variant>
        <vt:i4>1</vt:i4>
      </vt:variant>
    </vt:vector>
  </HeadingPairs>
  <TitlesOfParts>
    <vt:vector size="1" baseType="lpstr">
      <vt:lpstr>Förordning om engångsprodukter</vt:lpstr>
    </vt:vector>
  </TitlesOfParts>
  <Company>Regeringskansliet</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engångsprodukter</dc:title>
  <dc:creator>Anna Cedrum</dc:creator>
  <cp:keywords>class='Internal'</cp:keywords>
  <cp:lastModifiedBy>Ines Varvodic</cp:lastModifiedBy>
  <cp:revision>2</cp:revision>
  <cp:lastPrinted>2016-10-14T09:17:00Z</cp:lastPrinted>
  <dcterms:created xsi:type="dcterms:W3CDTF">2022-05-31T09:50:00Z</dcterms:created>
  <dcterms:modified xsi:type="dcterms:W3CDTF">2022-05-31T09:50:00Z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6f5561cd-0e8a-4334-820a-626a8f3e949f</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SFS1</vt:lpwstr>
  </property>
  <property fmtid="{D5CDD505-2E9C-101B-9397-08002B2CF9AE}" pid="8" name="Organisation">
    <vt:lpwstr/>
  </property>
  <property fmtid="{D5CDD505-2E9C-101B-9397-08002B2CF9AE}" pid="9" name="TaxKeyword">
    <vt:lpwstr/>
  </property>
  <property fmtid="{D5CDD505-2E9C-101B-9397-08002B2CF9AE}" pid="10" name="ActivityCategory">
    <vt:lpwstr/>
  </property>
  <property fmtid="{D5CDD505-2E9C-101B-9397-08002B2CF9AE}" pid="11" name="TaxKeywordTaxHTField">
    <vt:lpwstr/>
  </property>
</Properties>
</file>