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sz w:val="24"/>
        </w:rPr>
        <w:t>Udkast til</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b/>
          <w:sz w:val="24"/>
        </w:rPr>
        <w:t>LOV</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af.......................................2021,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r>
        <w:rPr>
          <w:rFonts w:ascii="Times New Roman" w:hAnsi="Times New Roman"/>
          <w:b/>
          <w:sz w:val="24"/>
        </w:rPr>
        <w:t>om ændring af lov nr. 79/2015 om affald og om ændringer af visse love, som ændret, og om ændring af lov nr. 302/2019 om pantordning for drikkevareemballage til engangsbrug og om ændringer af visse love, som ændret</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Det slovakiske parlament har vedtaget følgende lov:</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Artikel I</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Lov nr. 79/2015 om affald og om ændringer af visse love, som ændret ved lov nr. 91/2016, lov nr. 313/2016, lov nr. 90/2017, lov nr. 292/2017, lov nr. 106/2018, lov nr. 177/2018, lov nr. 208/2018, lov nr. 312/2018, lov nr. 302/2019, lov nr. 364/2019, lov nr. 460/2019, lov nr. 74/2020, lov nr. 218/2020, lov nr. 285/2020, lov nr. 9/2021 og lov nr. 46/2021, ændres således:</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 I § 27, stk. 1, ændres "syvende" til "ottende".</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 I § 52 udgår stk. 29 og 30.</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Stk. 31-35 omdøbes til stk. 29-33.</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 § 53a lyder:</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r>
        <w:rPr>
          <w:rFonts w:ascii="Times New Roman" w:hAnsi="Times New Roman"/>
          <w:sz w:val="24"/>
        </w:rPr>
        <w:t>"53a</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Statslige forvaltningsorganer må ikke anvende drikkevarer, der købes i engangsemballage i deres aktiviteter.".</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 § 73a udgår.</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 Efter §75 indsættes et nyt afsnit otte, som med titlen lyder:</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"Afsnit otte</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Specielle plastprodukter</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75a</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Grundbestemmelser</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Dette afsnit indeholder bestemmelser om krav og foranstaltninger til forebyggelse af miljøpåvirkninger fra visse engangsplastprodukter, navnlig for vandmiljøet, på menneskers sundhed, med henblik på at mindske den indvirkning og støtte overgangen til en cirkulær økonomi med innovative og bæredygtige forretningsmodeller, produkter og materialer.</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Bestemmelserne i dette afsnit finder anvendelse på engangsplastprodukter, der er opført i bilag 7a, oxo-nedbrydelige plastprodukter og fiskeredskaber, der indeholder plast.</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Medmindre andet er fastsat i dette afsnit, finder de almindelige bestemmelser i denne lov anvendelse på alle engangsplastprodukter og fiskeredskaber, der indeholder plast, der markedsføres eller distribueres i Slovakiet, og på håndtering af affald fra disse.</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(4) I dette afsnit forstås ved plast et materiale bestående af en polymer, </w:t>
      </w:r>
      <w:r>
        <w:rPr>
          <w:rFonts w:ascii="Times New Roman" w:hAnsi="Times New Roman"/>
          <w:sz w:val="24"/>
          <w:vertAlign w:val="superscript"/>
        </w:rPr>
        <w:t>72(a)</w:t>
      </w:r>
      <w:r>
        <w:rPr>
          <w:rFonts w:ascii="Times New Roman" w:hAnsi="Times New Roman"/>
          <w:sz w:val="24"/>
        </w:rPr>
        <w:t xml:space="preserve"> hvortil der kan være tilsat additiver eller andre stoffer, og som kan fungere som de færdige produkters hovedbestanddel, bortset fra naturlige polymerer, der ikke er kemisk modificerede.</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 Engangsplastprodukt er et produkt, der helt eller delvis er fremstillet af plast, og som ikke er konstrueret, fremstillet eller markedsført med henblik på inden for dets levetid at gennemføre flere cyklusser eller rotationer ved at blive returneret til en fabrikant til genopfyldning eller genanvendes til samme formål, som det er fremstillet til.</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(6) Oxo-nedbrydeligt plast er et plastmateriale, der indeholder additiver, der ved oxidation nedbryder plastmaterialet til mikrofragmenter eller kemisk dekomponerer det.</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Ved fiskeredskaber forstås enhver genstand eller et stykke udstyr, der anvendes til fiskeri eller akvakultur til at målrette, fange eller opdrætte havets biologiske ressourcer, eller som flyder på havoverfladen, og som anvendes med henblik på at tiltrække og fange eller opdrætte sådanne marine biologiske ressourcer.</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 Affald af fiskeredskaber betyder ethvert fiskeredskab, der er blevet til affald, herunder alle særskilte komponenter, stoffer eller materialer, der var en del af eller fastgjort til sådanne fiskeredskaber, da det blev kasseret, herunder når det blev efterladt eller tabt.</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Markedsføring er den første tilgængeliggørelse på markedet af et engangsplastprodukt eller fiskeredskaber, der indeholder plast, i Slovakiet.</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 At gøre tilgængelig på markedet betyder enhver levering af et engangsplastprodukt eller fiskeredskaber, der indeholder plast, og som er bestemt til distribution, forbrug eller anvendelse på det slovakiske marked som led i erhvervsaktiviteter, mod eller uden vederlag.</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(11) En harmoniseret standard er en harmoniseret standard i henhold til særlig lovgivning.</w:t>
      </w:r>
      <w:r>
        <w:rPr>
          <w:rFonts w:ascii="Times New Roman" w:hAnsi="Times New Roman"/>
          <w:sz w:val="24"/>
          <w:vertAlign w:val="superscript"/>
        </w:rPr>
        <w:t>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(12) Fabrikanten af et engangsplastprodukt eller fiskeredskaber, der indeholder plast, er enhver eneindehaver eller virksomhed, der uanset de anvendte salgsteknikker, herunder postordre- og internetsalg, bortset fra en virksomhed der driver fiskeri i henhold til særlig lovgivning,  </w:t>
      </w:r>
      <w:r>
        <w:rPr>
          <w:rFonts w:ascii="Times New Roman" w:hAnsi="Times New Roman"/>
          <w:sz w:val="24"/>
          <w:vertAlign w:val="superscript"/>
        </w:rPr>
        <w:t>96(b)</w:t>
      </w:r>
    </w:p>
    <w:p w14:paraId="077D1DA3" w14:textId="135D471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a) har sit vedtægtsmæssige hjemsted eller forretningssted i Slovakiet og fremstiller engangsplastprodukter og fiskeredskaber eller fremstiller engangsplastprodukter og fiskeredskaber og markedsfører dem</w:t>
      </w:r>
    </w:p>
    <w:p w14:paraId="65E6AD96" w14:textId="7A46189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b) har sit vedtægtsmæssige hjemsted eller forretningssted i Slovakiet og sælger engangsplastprodukter og fiskeredskaber i Slovakiet</w:t>
      </w:r>
    </w:p>
    <w:p w14:paraId="5D9E363F" w14:textId="3A103823"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c) har sit vedtægtsmæssige hjemsted eller forretningssted i Slovakiet og forsyner engangsplastprodukter eller forsyner engangsplastprodukter og markedsfører dem</w:t>
      </w:r>
    </w:p>
    <w:p w14:paraId="1993F82A"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lastRenderedPageBreak/>
        <w:t>d) har sit vedtægtsmæssige hjemsted eller forretningssted i Slovakiet og tilgængeliggøre engangsplastprodukter og fiskeredskaber fra en anden medlemsstat eller fra tredjelande på Slovakiets marked som led i erhvervsaktiviteter</w:t>
      </w:r>
    </w:p>
    <w:p w14:paraId="5CA41E99" w14:textId="5860CB8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e) sælger engangsplastprodukter og fiskeredskaber i Slovakiet ved fjernkommunikation direkte til husholdninger eller ikke-husholdningsbrugere og har sit vedtægtsmæssige hjemsted eller forretningssted i en anden medlemsstat eller i et andet tredjeland</w:t>
      </w:r>
    </w:p>
    <w:p w14:paraId="1F36CE64"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f) har sit vedtægtsmæssige hjemsted eller forretningssted i Slovakiet og sælger som led i sine aktiviteter engangsplastprodukter og fiskeredskaber direkte til en bruger i en anden medlemsstat på grundlag af en fjernaftale.</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 Bionedbrydelig plast er plast, der kan undergå fysisk og biologisk nedbrydning, således at det i sidste ende nedbrydes til kuldioxid (CO</w:t>
      </w:r>
      <w:r>
        <w:rPr>
          <w:rFonts w:ascii="Times New Roman" w:hAnsi="Times New Roman"/>
          <w:sz w:val="24"/>
          <w:vertAlign w:val="subscript"/>
        </w:rPr>
        <w:t>2</w:t>
      </w:r>
      <w:r>
        <w:rPr>
          <w:rFonts w:ascii="Times New Roman" w:hAnsi="Times New Roman"/>
          <w:sz w:val="24"/>
        </w:rPr>
        <w:t>), biomasse og vand og i overensstemmelse med europæiske standarder for emballage, som kan genvindes ved kompostering og anaerob nedbrydning.</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(14)</w:t>
      </w:r>
      <w:r>
        <w:rPr>
          <w:rFonts w:ascii="Times New Roman" w:hAnsi="Times New Roman"/>
          <w:sz w:val="24"/>
        </w:rPr>
        <w:tab/>
        <w:t xml:space="preserve">Havnemodtagelsesfaciliteter er havnemodtagelsesfaciliteter i henhold til særlig lovgivning. </w:t>
      </w:r>
      <w:r>
        <w:rPr>
          <w:rFonts w:ascii="Times New Roman" w:hAnsi="Times New Roman"/>
          <w:sz w:val="24"/>
          <w:vertAlign w:val="superscript"/>
        </w:rPr>
        <w:t>96 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(15) Tobaksprodukter er tobaksprodukter, der er defineret i henhold til særlig lovgivning. </w:t>
      </w:r>
      <w:r>
        <w:rPr>
          <w:rFonts w:ascii="Times New Roman" w:hAnsi="Times New Roman"/>
          <w:sz w:val="24"/>
          <w:vertAlign w:val="superscript"/>
        </w:rPr>
        <w:t>96, litra 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75b</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Reduktion af forbruget</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En fabrikant af engangsplastprodukter, der leverer engangsplastprodukter, der er opført i bilag nr. 7a i del A, til den endelige forbruger med henblik på indtagelse af fødevarer og drikkevarer på et andet sted end salgsstedet, er forpligtet til at</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a) levere dem mod betaling, fabrikanten underretter den endelige forbruger herom</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tilbyde et genanvendeligt alternativ til den endelige forbruger, eller</w:t>
      </w:r>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c) tilbyde et bionedbrydeligt alternativ.</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Forbrugerne må ikke modtage følgende med henblik på indtagelse af fødevarer og drikkevarer på salgsstedet:</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a) engangsplastprodukter i faste forretningssteder inden for offentlig forplejning og fastfoodforplejning</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engangsplasttallerkner ved offentlige arrangementer.</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 Ud over forbuddet i stk. 2, litra b), er organisatoren af et offentligt arrangement forpligtet til at sikre, at de efterfølgende særskilte indsamlinger finder sted, når det drejer sig om levering af bionedbrydelige produkter.</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t>(4) Fabrikanten af engangsplastprodukter, der er opført i bilag 7a, del A, skal føre og vedligeholde fortegnelser over individuelle produkter, der markedsføres i Slovakiet, og indberette data fra disse til ministeriet i det angivne omfang og opbevare de indberettede data.</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lastRenderedPageBreak/>
        <w:t>(5) Fabrikanten af et engangsplastprodukt, der er opført i bilag 7a, del A, udarbejder en rapport om de foranstaltninger, der er truffet for at reducere forbruget, og underretter senest den 30. april ministeriet om de fremskridt, der er gjort med hensyn til at reducere forbruget.</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Det er forbudt at markedsføre de engangsplastprodukter, der er anført i bilag 7a, del B, og oxo-nedbrydeligt plast.</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75d</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Krav til varerne</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Fabrikanten af et engangsplastprodukt er forpligtet til at tilgængeliggøre drikkevarebeholdere på det slovakiske marked, der er opført i bilag 7a, del C, forudsat at de kapsler eller låg fremstillet af plast forbliver fastgjort til drikkevarebeholderne under produktets påtænkte anvendelse.</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Drikkevarer, der er opført i bilag 7a, del C, og som er fremstillet i overensstemmelse med harmoniserede standarder, og hvis reference er offentliggjort i Den Europæiske Unions Tidende, betragtes som drikkevarebeholdere i overensstemmelse med kravene i stk. 1.</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Metalkapsler eller -låg med plastforseglinger anses ikke for at være fremstillet af plast.</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(4) Fabrikanten af et engangsplastprodukt, der er opført i bilag 7a, del F, er forpligtet til at markedsføre drikkeflasker i Slovakiet</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a) fremstillet af PET, og som indeholder mindst 25 % genanvendt plast af den samlede mængde PET-drikkeflasker, som fabrikanten markedsfører i Slovakiet</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b) med et minimumsindhold på 30 % genanvendt plast fra den samlede mængde plastdrikkeflasker, som fabrikanten markedsfører i Slovakiet.</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Fabrikanten af et engangsplastprodukt skal senest den 30. april for det foregående kalenderår forelægge ministeriet en rapport om indholdet af genvundet plast i henhold til stk. 4. Denne forpligtelse skal opfyldes, hvis der er tale om en emballagefabrikant, der markedsfører drikkevarer i returemballage til engangsbrug, af en virksomhed i henhold til særlig lovgivning.</w:t>
      </w:r>
      <w:r>
        <w:rPr>
          <w:rFonts w:ascii="Times New Roman" w:hAnsi="Times New Roman"/>
          <w:sz w:val="24"/>
          <w:vertAlign w:val="superscript"/>
        </w:rPr>
        <w:t>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75e</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Krav til mærkning</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Fabrikanten af et engangsplastprodukt, der er opført i bilag 7a, del D, er, før produktet markedsføres i Slovakiet, forpligtet til at mærke dette produkt med forbrugeroplysninger om</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a) de mest hensigtsmæssige metoder til bortskaffelse af produktet, når det bliver til affald i overensstemmelse med affaldshåndteringshierarkiet</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lastRenderedPageBreak/>
        <w:t>b) tilstedeværelsen af plast i produktet og dets negative miljøpåvirkninger, når produktet bliver til affald.</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Den i stk. 1 omhandlede mærkning anbringes på produktets emballage eller på selve produktet på en sådan måde, at den er væsentlig, læselig og uudslettelig.</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(3) Fabrikanten af et engangsplastprodukt, der er opført i bilag 7a, del D, er forpligtet til at sikre mærkningen af emballagen i henhold til stk. 1 i overensstemmelse med specifikationerne i henhold til særlig lovgivning.</w:t>
      </w:r>
      <w:r>
        <w:rPr>
          <w:rFonts w:ascii="Times New Roman" w:hAnsi="Times New Roman"/>
          <w:sz w:val="24"/>
          <w:vertAlign w:val="superscript"/>
        </w:rPr>
        <w:t>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 Mærkningen af tobaksprodukter som omhandlet i stk. 1 skal supplere mærkningen i henhold til særlig lovgivning.</w:t>
      </w:r>
      <w:r>
        <w:rPr>
          <w:rFonts w:ascii="Times New Roman" w:hAnsi="Times New Roman"/>
          <w:sz w:val="24"/>
          <w:vertAlign w:val="superscript"/>
        </w:rPr>
        <w:t>96(g</w:t>
      </w:r>
      <w:r>
        <w:rPr>
          <w:rFonts w:ascii="Times New Roman" w:hAnsi="Times New Roman"/>
          <w:color w:val="7030A0"/>
          <w:sz w:val="24"/>
          <w:vertAlign w:val="superscript"/>
        </w:rPr>
        <w:t>)</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75f</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Udvidet ansvar for fabrikanten af et særligt plastprodukt</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Ud over forpligtelserne i henhold til stk. 27 og 52 afholder fabrikanten af et engangsplastprodukt, der er opført i bilag 7a, del E, afsnit I, omkostningerne</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a) til foranstaltninger med henblik på at øge kendskabet til landets produkter, der markedsføres i Slovakiet</w:t>
      </w:r>
    </w:p>
    <w:p w14:paraId="37073616"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b) i forbindelse med indsamling, transport, nyttiggørelse, genvinding, behandling og bortskaffelse af affaldsprodukter</w:t>
      </w:r>
    </w:p>
    <w:p w14:paraId="2AB2BF1D"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c) i forbindelse med oprydning af affald fra disse produkter i områder, hvor de ikke er blevet smidt ud i lokale affaldsindsamlingssystemer.</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Fabrikanten af tobaksprodukter kan med henblik på forpligtelsen i stk. 1, litra b) oprette en særlig infrastruktur for indsamling af affald fra disse produkter.</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Fabrikanten af et engangsplastprodukt, der er opført i bilag 7a, del E, afsnit II og III, skal</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a) afholde udgifterne til foranstaltninger om bevidstgørelse vedrørende deres produkter, der markedsføres i Slovakiet</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b) afholde udgifterne til oprydning af affald fra disse produkter i områder, hvor de ikke er blevet smidt ud i lokale affaldsindsamlingssystemer</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c) føre og vedligeholde fortegnelser over produkter, der markedsføres i Slovakiet, og indberette data fra disse til ministeriet i det angivne omfang og opbevare de indberettede data.</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Fabrikanten af et engangsplastprodukt, der er opført i bilag 7a, del E, og fiskeredskaber, der indeholder plast, og som har sit vedtægtsmæssige hjemsted eller forretningssted i Slovakiet og sælger disse produkter i en anden medlemsstat, udpeger en bemyndiget repræsentant i den pågældende medlemsstat til at udføre sine opgaver med hensyn til disse produkter.</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t>(5) Fabrikanten af fiskeredskaber, der indeholder plast, skal føre og vedligeholde fortegnelser over fiskeredskaber, der markedsføres i Slovakiet, og indberette data fra disse til ministeriet og opbevare de indberettede data.</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t>§ 75g</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Bevidstgørelse</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Fabrikanten af en engangsplastprodukt, der er opført i bilag 7a, del G, og af fiskeredskaber, der indeholder plast, skal informere og motivere slutbrugerne af engangsplastproduktet til at opføre sig ansvarligt med henblik på at reducere miljøforureningen fra affald fra disse produkter</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r>
        <w:rPr>
          <w:rFonts w:ascii="Times New Roman" w:hAnsi="Times New Roman"/>
          <w:sz w:val="24"/>
        </w:rPr>
        <w:t>at anvende tilgængelige genanvendelige alternativer</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r>
        <w:rPr>
          <w:rFonts w:ascii="Times New Roman" w:hAnsi="Times New Roman"/>
          <w:sz w:val="24"/>
        </w:rPr>
        <w:t>den korrekte måde at bortskaffe produkter på, når de bliver til affald</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om uhensigtsmæssig bortskaffelse af affald fra engangsplastprodukter og fiskeredskaber, der indeholder plast, for miljøet</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virkningen på spildevandet af uhensigtsmæssig bortskaffelse af disse produkter, når de bliver til affald.</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Fodnote 96a til 96e lød:</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sz w:val="24"/>
        </w:rPr>
        <w:t>„</w:t>
      </w:r>
      <w:r>
        <w:rPr>
          <w:rFonts w:ascii="Times New Roman" w:hAnsi="Times New Roman"/>
          <w:sz w:val="24"/>
          <w:vertAlign w:val="superscript"/>
        </w:rPr>
        <w:t>96(a)</w:t>
      </w:r>
      <w:r>
        <w:rPr>
          <w:rFonts w:ascii="Times New Roman" w:hAnsi="Times New Roman"/>
          <w:sz w:val="24"/>
        </w:rPr>
        <w:t xml:space="preserve"> Artikel 2, stk. 1, litra a) og d), i Europa-Parlamentets og Rådets forordning (EU) nr. 1025/2012 af 25. oktober 2012 om europæisk standardisering, om ændring af Rådets direktiv 89/686/EØF og 93/15/EØF og EuropaParlamentets og Rådets direktiv 94/9/EF, 94/25/EF, 95/16/EF, 97/23/EF, 98/34/EF, 2004/22/EF,</w:t>
      </w:r>
      <w:r>
        <w:rPr>
          <w:rFonts w:ascii="Times New Roman" w:hAnsi="Times New Roman"/>
          <w:sz w:val="24"/>
        </w:rPr>
        <w:br/>
        <w:t>2007/23/EF, 2009/23/EF og 2009/105/EF og om ophævelse af Rådets beslutning 87/95/EØF og Europa-Parlamentets og Rådets afgørelse nr. 1673/2006/EF (EUT L 316 af 14. november 2012), som ændret.</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sz w:val="24"/>
          <w:vertAlign w:val="superscript"/>
        </w:rPr>
        <w:t>96(b)</w:t>
      </w:r>
      <w:r>
        <w:rPr>
          <w:rFonts w:ascii="Times New Roman" w:hAnsi="Times New Roman"/>
          <w:sz w:val="24"/>
        </w:rPr>
        <w:t xml:space="preserve"> Artikel 4, stk. 1, stk. 28, i Europa-Parlamentets og Rådets forordning (EU) nr. 1380/2013 af 11. december 2013 om den fælles fiskeripolitik, ændring af Rådets forordning (EF) nr. 1954/2003 og (EF) nr. 1224/2009 og ophævelse af Rådets forordning (EF) nr. 2371/2002 og (EF) nr. 639/2004 samt Rådets afgørelse 2004/585/EF (EUT L 354 af 28.12.2013) som ændret.</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sz w:val="24"/>
          <w:vertAlign w:val="superscript"/>
        </w:rPr>
        <w:t>96(c)</w:t>
      </w:r>
      <w:r>
        <w:rPr>
          <w:rFonts w:ascii="Times New Roman" w:hAnsi="Times New Roman"/>
          <w:sz w:val="24"/>
        </w:rPr>
        <w:t xml:space="preserve"> § 2(1)(c) i Slovakiets regerings forordning nr. 66/2007 om havnemodtagelsesfaciliteter for driftsaffald og lastrester fra skibe.</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sz w:val="24"/>
          <w:vertAlign w:val="superscript"/>
        </w:rPr>
        <w:t>96(d)</w:t>
      </w:r>
      <w:r>
        <w:rPr>
          <w:rFonts w:ascii="Times New Roman" w:hAnsi="Times New Roman"/>
          <w:sz w:val="24"/>
        </w:rPr>
        <w:t xml:space="preserve"> § 2, stk. 3, i lov nr. 89/2016 om produktion, mærkning og salg af tobaksvarer og dermed forbundne produkter og om ændringer af visse love, som ændret ved lov nr. 92/2019</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sz w:val="24"/>
          <w:vertAlign w:val="superscript"/>
        </w:rPr>
        <w:t xml:space="preserve">96(e) </w:t>
      </w:r>
      <w:r>
        <w:rPr>
          <w:rFonts w:ascii="Times New Roman" w:hAnsi="Times New Roman"/>
          <w:sz w:val="24"/>
        </w:rPr>
        <w:t>§ 7(1)(v) i lov nr. 302/2019 om pantordning for drikkevareemballage til engangsbrug og om ændringer af visse love.</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sz w:val="24"/>
          <w:vertAlign w:val="superscript"/>
        </w:rPr>
        <w:t>96(f)</w:t>
      </w:r>
      <w:r>
        <w:rPr>
          <w:rFonts w:ascii="Times New Roman" w:hAnsi="Times New Roman"/>
          <w:sz w:val="24"/>
        </w:rPr>
        <w:t xml:space="preserve"> Kommissionens gennemførelsesforordning (EU) 2020/2151 af 17. december 2020 om fastsættelse af harmoniserede specifikationer for mærkning af engangsplastprodukter opført i del D i bilaget til Europa-Parlamentets og Rådets direktiv (EU) 2019/904 om reduktion af visse plastprodukters miljøpåvirkning (EUT L 428 af 18.12.2020).</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sz w:val="24"/>
          <w:vertAlign w:val="superscript"/>
        </w:rPr>
        <w:t>96(g)</w:t>
      </w:r>
      <w:r>
        <w:rPr>
          <w:rFonts w:ascii="Times New Roman" w:hAnsi="Times New Roman"/>
          <w:sz w:val="24"/>
        </w:rPr>
        <w:t xml:space="preserve"> lov nr. 89/2016, som ændret ved lov nr. 92/2019.".</w:t>
      </w:r>
    </w:p>
    <w:p w14:paraId="64D51D19" w14:textId="7262C10B" w:rsidR="00C706F9" w:rsidRPr="00004A53" w:rsidRDefault="00D515A4" w:rsidP="00004A53">
      <w:pPr>
        <w:jc w:val="both"/>
        <w:rPr>
          <w:rFonts w:ascii="Times New Roman" w:hAnsi="Times New Roman" w:cs="Times New Roman"/>
          <w:sz w:val="24"/>
          <w:szCs w:val="24"/>
        </w:rPr>
      </w:pPr>
      <w:r>
        <w:rPr>
          <w:rFonts w:ascii="Times New Roman" w:hAnsi="Times New Roman"/>
          <w:sz w:val="24"/>
        </w:rPr>
        <w:t>6. I § 105, stk. 3, indsættes følgende som litra ad):</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"ad) De mærkningsspecifikationer, der er omhandlet i § 75e</w:t>
      </w:r>
      <w:r>
        <w:rPr>
          <w:rFonts w:ascii="Times New Roman" w:hAnsi="Times New Roman"/>
          <w:color w:val="00B050"/>
          <w:sz w:val="24"/>
        </w:rPr>
        <w:t>.</w:t>
      </w:r>
      <w:r>
        <w:rPr>
          <w:rFonts w:ascii="Times New Roman" w:hAnsi="Times New Roman"/>
          <w:sz w:val="24"/>
        </w:rPr>
        <w:t>"</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 I § 106, litra h), ændres "§ 53a, § 73a" til "§ 75c".</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t>8. I § 110, stk. 1, litra a), udgår "Afsnit 53a", og "§ 73a og 135 g" ændres til "§ 75b, § 75c, § 75d, § 75e og § 135 g, § 135i".</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t>9. I § 111, stk. 6, ændres "§ 53a og 73a" til "§ 75c".</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lastRenderedPageBreak/>
        <w:t>10. § 117(6) lyder:</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"6) Det relevante statslige affaldsforvaltningsråd pålægger en virksomhed eller en eneindehaver, der overtræder forpligtelsen i henhold til § 13, stk. 16, stk. 5, stk. 10, § 19, stk. 1, litra f), § 21, stk. 2 § 21, stk. 3, litra f), g) § 25, stk. 1, nr. 7) § 27, stk. 25 § 28, stk. 9, litra e) § 31a, stk. 2, stk. 6, stk. 8 § 33; § 43; § 53, stk. 3 § 62, stk. 6 § 75c § 75d § 75e § 75f § 75 g § 76, stk. 4 § 79, stk. 16, nr. 24) § 84, stk. 3, nr. 5) § 135e, stk. 1, stk. 2, stk. 3, stk. 4, § 135g, en bøde på mellem 4 EUR og 350 EUR.".</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 I § 135 g indsættes "del B" efter "7a".</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 Efter § 135h indsættes en ny § 135i, som med titlen lyder:</w:t>
      </w:r>
    </w:p>
    <w:p w14:paraId="3FD042DC" w14:textId="22E4CA3C" w:rsidR="00057657" w:rsidRPr="00057657" w:rsidRDefault="00E10B19" w:rsidP="00771547">
      <w:pPr>
        <w:pStyle w:val="ListParagraph"/>
        <w:ind w:left="360"/>
        <w:jc w:val="center"/>
        <w:rPr>
          <w:rFonts w:ascii="Times New Roman" w:hAnsi="Times New Roman" w:cs="Times New Roman"/>
          <w:sz w:val="24"/>
          <w:szCs w:val="24"/>
        </w:rPr>
      </w:pPr>
      <w:r>
        <w:rPr>
          <w:rFonts w:ascii="Times New Roman" w:hAnsi="Times New Roman"/>
          <w:sz w:val="24"/>
        </w:rPr>
        <w:t>"</w:t>
      </w:r>
      <w:r w:rsidR="00057657">
        <w:rPr>
          <w:rFonts w:ascii="Times New Roman" w:hAnsi="Times New Roman"/>
          <w:sz w:val="24"/>
        </w:rPr>
        <w:t>§ 135i</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Overgangsbestemmelser vedrørende de ændringer, der er gældende fra den 1. juli 2021</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Produkter, der er omfattet af mærkningspligten i henhold til § 75e, og som ikke opfylder kravene i denne lov, kan distribueres indtil den 31. januar 2022.</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t>13. Bilag 7a, med overskriften, lyder:</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"Bilag 7a</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til lov nr. 79/2015</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A</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Engangsplastprodukter, hvis forbrug skal reduceres</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Drikkekopper, herunder deres kapsler og låg</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Fødevarebeholdere, dvs. beholdere som f.eks. æsker, med eller uden låg, til fødevarer, der er</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bestemt til umiddelbar fortæring enten på salgsstedet eller på et andet sted end salgsstedet</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typisk fortæres fra denne beholder og</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er klar til at blive fortæret uden yderligere tilberedning såsom stegning, kogning eller opvarmning</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herunder fødevarebeholdere, der anvendes til fastfood, eller andre måltider, som er klar til umiddelbar fortæring, undtagen drikkevarebeholdere, tallerkener og indpakningsposer og -folier, der indeholder fødevarer.</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B</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Det er forbudt at markedsføre disse engangsplastprodukter i Slovakiet</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1. vatpinde, der ikke er omfattet af særlig lovgivning</w:t>
      </w:r>
      <w:r>
        <w:rPr>
          <w:rFonts w:ascii="Times New Roman" w:hAnsi="Times New Roman"/>
          <w:sz w:val="24"/>
          <w:vertAlign w:val="superscript"/>
        </w:rPr>
        <w:t>162)</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 bestik (gafler, knive, skeer, spisepinde)</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3. tallerkener</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sugerør, der ikke er omfattet af særlig lovgivning;</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omrørere til drikkevarer</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 pinde der fastgøres til balloner som understøttelse, med undtagelse af balloner til industriel eller anden erhvervsmæssig anvendelse samt anvendelser, der ikke distribueres til forbrugere, herunder mekanismerne til sådanne pinde</w:t>
      </w:r>
    </w:p>
    <w:p w14:paraId="399898CE" w14:textId="7DEB6E6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7</w:t>
      </w:r>
      <w:r w:rsidR="00CC5C7A">
        <w:rPr>
          <w:rFonts w:ascii="Times New Roman" w:hAnsi="Times New Roman"/>
          <w:sz w:val="24"/>
        </w:rPr>
        <w:t>.</w:t>
      </w:r>
      <w:r>
        <w:rPr>
          <w:rFonts w:ascii="Times New Roman" w:hAnsi="Times New Roman"/>
          <w:sz w:val="24"/>
        </w:rPr>
        <w:t xml:space="preserve"> fødevarebeholdere af ekspanderet polystyren, dvs. beholdere som f.eks. æsker, med eller uden låg, til fødevarer, der er</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lastRenderedPageBreak/>
        <w:t>a) bestemt til umiddelbar fortæring enten på salgsstedet eller på et andet sted end salgsstedet</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b) typisk fortæres fra denne beholder og</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c) er klar til at blive fortæret uden yderligere tilberedning såsom stegning, kogning eller opvarmning</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r>
        <w:rPr>
          <w:rFonts w:ascii="Times New Roman" w:hAnsi="Times New Roman"/>
          <w:sz w:val="24"/>
        </w:rPr>
        <w:t>herunder fødevarebeholdere, der anvendes til fastfood, eller andre måltider, som er klar til umiddelbar fortæring, undtagen drikkevarebeholdere, tallerkener og indpakningsposer og -folier, der indeholder fødevarer</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drikkevarebeholdere af ekspanderet polystyren, herunder kapsler og låg til disse</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kopper til drikkevarer af ekspanderet polystyren, herunder kapsler og låg.</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C</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Engangsplastprodukter, der kan markedsføres i overensstemmelse med kravet i henhold til lovens § 75d, stk. 1</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Drikkevarebeholdere på højst tre liter, dvs. beholdere til væsker, f.eks. drikkeflasker, herunder kapsler og låg, samt drikkevarebeholdere, herunder kapsler og låg, undtagen:</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drikkevarebeholdere af glas eller metal med plastkapsler og -låg</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t>b) drikkevarebeholdere, der er beregnet til og anvendes til fødevare til særlige medicinske formål i flydende form, med forbehold af særlig lovgivning.</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D</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Engangsplastprodukter, der skal opfylde mærkningskravet i henhold til lovens § 75e</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Hygiejnebind, tamponer og indføringsanordninger til tamponer</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Vådservietter, dvs. allerede fugtede personlige hygiejneservietter og husholdningsservietter</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Tobaksprodukter indeholdende filtre og filtre, der sælges til brug i kombination med tobaksprodukter</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 drikkekopper.</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E</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 Engangsplastprodukter omfattet af lovens § 75f, stk. 1 og 4</w:t>
      </w:r>
    </w:p>
    <w:p w14:paraId="3B475B1F"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Fødevarebeholdere, dvs. beholdere som f.eks. æsker, med eller uden låg, til fødevarer, der</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bestemt til umiddelbar fortæring enten på salgsstedet eller på et andet sted end salgsstedet</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typisk fortæres fra denne beholder og</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er klar til at blive fortæret uden yderligere tilberedning såsom stegning, kogning eller opvarmning,</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herunder fødevarebeholdere, der anvendes til fastfood, eller andre måltider, som er klar til umiddelbar fortæring, undtagen drikkevarebeholdere, tallerkener og indpakningsposer og -folier, der indeholder fødevarer</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pakker og indpakninger fremstillet af fleksibelt materiale, der indeholder fødevarer, som er bestemt til umiddelbar fortæring fra pakningen eller indpakningen uden yderligere tilberedning</w:t>
      </w:r>
    </w:p>
    <w:p w14:paraId="4DC8407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3. drikkevarebeholdere med et rumindhold på op til tre liter, dvs. beholdere, der anvendes til at indeholde væske, f.eks. drikkeflasker, herunder kapsler og låg, og kompositemballage af drikkevarer, herunder kapsler og låg, men ikke drikkevarebeholdere af glas eller metal, der er forsynet med plastkapsler og -låg</w:t>
      </w:r>
    </w:p>
    <w:p w14:paraId="165D974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drikkekopper, herunder kapsler og låg</w:t>
      </w:r>
    </w:p>
    <w:p w14:paraId="1F806EC8"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letvægtsplastbæreposer.</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 Engangsplastprodukter omfattet af lovens § 75f, stk. 1, 3 og 4</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Vådservietter, dvs. allerede fugtede personlige hygiejneservietter, og husholdningsservietter</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 balloner, undtagen balloner til industriel eller anden erhvervsmæssig brug og anvendelser, der ikke distribueres til forbrugerne.</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III. Andre engangsplastprodukter, der er omfattet af lovens § 75f, stk. 1-4</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t>Tobaksprodukter, der indeholder filtre, og filtre, der sælges til anvendelse sammen med tobaksprodukter.</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F</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Engangsplastprodukter, der kan markedsføres i overensstemmelse med kravet i henhold til lovens § 75d, stk. 4</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Drikkevarer på op til tre liter, herunder kapsler og låg, undtagen:</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a) flasker af glas eller metal med plastkapsler og -låg</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 drikkeflasker, der er bestemt til og anvendes til fødevare til særlige medicinske formål i flydende form, og som er omfattet af særlig lovgivning,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DEL G</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Engangsplastprodukter omfattet af lovens § 75 g</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Fødevarebeholdere, dvs. beholdere som f.eks. æsker, med eller uden låg, til fødevarer, der er</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a) bestemt til umiddelbar fortæring enten på salgsstedet eller på et andet sted end salgsstedet</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b) typisk fortæres fra denne beholder og</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c) er klar til at blive fortæret uden yderligere tilberedning såsom stegning, kogning eller opvarmning</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herunder fødevarebeholdere, der anvendes til fastfood, eller andre måltider, som er klar til umiddelbar fortæring, undtagen drikkevarebeholdere, tallerkener og indpakningsposer og -folier, der indeholder fødevarer</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pakker og indpakninger fremstillet af fleksibelt materiale, der indeholder fødevarer, som er bestemt til umiddelbar fortæring fra pakningen eller indpakningen uden yderligere tilberedning</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drikkevarebeholdere med et rumindhold på op til tre liter, dvs. beholdere, der anvendes til at indeholde væske, f.eks. drikkeflasker, herunder kapsler og låg, og kompositemballage af drikkevarer, herunder kapsler og låg, men ikke drikkevarebeholdere af glas eller metal, der er forsynet med plastkapsler og -låg</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drikkekopper, herunder kapsler og låg</w:t>
      </w:r>
    </w:p>
    <w:p w14:paraId="1A1B8914" w14:textId="5F6C2990" w:rsidR="00CE5B7D" w:rsidRPr="00CE5B7D" w:rsidRDefault="00F1242E"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 xml:space="preserve">5. </w:t>
      </w:r>
      <w:r w:rsidR="00CE5B7D">
        <w:rPr>
          <w:rFonts w:ascii="Times New Roman" w:hAnsi="Times New Roman"/>
          <w:sz w:val="24"/>
        </w:rPr>
        <w:t>tobaksprodukter, der indeholder filtre, og filtre, der sælges til anvendelse sammen med tobaksprodukter</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6. vådservietter, dvs. allerede fugtede personlige hygiejneservietter og husholdningsservietter</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balloner, undtagen balloner til industriel eller anden erhvervsmæssig brug og anvendelser, der ikke distribueres til forbrugerne</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letvægtsplastbæreposer</w:t>
      </w:r>
    </w:p>
    <w:p w14:paraId="6DFA425D" w14:textId="5C255375"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w:t>
      </w:r>
      <w:r w:rsidR="002D4219">
        <w:rPr>
          <w:rFonts w:ascii="Times New Roman" w:hAnsi="Times New Roman"/>
          <w:sz w:val="24"/>
        </w:rPr>
        <w:t>.</w:t>
      </w:r>
      <w:r>
        <w:rPr>
          <w:rFonts w:ascii="Times New Roman" w:hAnsi="Times New Roman"/>
          <w:sz w:val="24"/>
        </w:rPr>
        <w:t xml:space="preserve"> hygiejnebind, tamponer og indføringsanordninger til tamponer.".</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Fodnote 162 og 163 affattes således:</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162</w:t>
      </w:r>
      <w:r>
        <w:rPr>
          <w:rFonts w:ascii="Times New Roman" w:hAnsi="Times New Roman"/>
          <w:sz w:val="24"/>
        </w:rPr>
        <w:t>)For eksempel lov nr. 362/2011 om lægemidler og medicinsk udstyr og om ændringer af visse love, som ændret, Slovakiets regerings forordning nr. 527/2008 om nærmere oplysninger om tekniske krav og procedurer for overensstemmelsesvurdering af aktivt, implantabelt medicinsk udstyr.</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t>163)</w:t>
      </w:r>
      <w:r>
        <w:rPr>
          <w:rFonts w:ascii="Times New Roman" w:hAnsi="Times New Roman"/>
          <w:sz w:val="24"/>
        </w:rPr>
        <w:t xml:space="preserve">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 (EFT L 181 af 29.6.2013), som ændret."</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Artikel II</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t>I lov nr. 302/2019 om pantordning for drikkevareemballage til engangsbrug og om ændringer af visse love, som ændret ved lov nr. 74/2020 og lov nr. 285/2020, foretages følgende ændringer:</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 I § 4, stk. 1, litra h), ændres "l) og m)" til "l), m) og v)".</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 I § 7, stk. 1, indsættes følgende som litra v):</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"v) rapporterer til ministeriet om indholdet af genvundet plast i produkter i overensstemmelse med en emballagefabrikants forpligtelser i henhold til særlig lovgivning</w:t>
      </w:r>
      <w:r>
        <w:rPr>
          <w:rFonts w:ascii="Times New Roman" w:hAnsi="Times New Roman"/>
          <w:sz w:val="24"/>
          <w:vertAlign w:val="superscript"/>
        </w:rPr>
        <w:t>11(a)</w:t>
      </w:r>
      <w:r>
        <w:rPr>
          <w:rFonts w:ascii="Times New Roman" w:hAnsi="Times New Roman"/>
          <w:sz w:val="24"/>
        </w:rPr>
        <w:t xml:space="preserve"> senest den 30. april for det foregående kalenderår.".</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Fodnote 11a får følgende ordlyd:</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11(a)</w:t>
      </w:r>
      <w:r>
        <w:rPr>
          <w:rFonts w:ascii="Times New Roman" w:hAnsi="Times New Roman"/>
          <w:sz w:val="24"/>
        </w:rPr>
        <w:t xml:space="preserve"> § 75d, stk. 4 og 5, i lov nr. 79/2015 om affald og om ændringer af visse love, som ændret."</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 I § 13, litra j), ændres "og u)" til "u) og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 Den eksisterende tekst i bilag 2 mærkes som punkt et, og følgende indsættes som punkt to:</w:t>
      </w:r>
    </w:p>
    <w:p w14:paraId="694F0BF0" w14:textId="77777777" w:rsidR="00B77707" w:rsidRPr="00E61F9E" w:rsidRDefault="00B77707" w:rsidP="00B77707">
      <w:pPr>
        <w:pStyle w:val="NormalWeb"/>
        <w:spacing w:before="0" w:beforeAutospacing="0" w:after="0" w:afterAutospacing="0"/>
        <w:jc w:val="both"/>
      </w:pPr>
      <w:r>
        <w:t>"2.Europa-Parlamentets og Rådets direktiv (EU) 2019/904 af 5. juni 2019 om reduktion af visse plastprodukters miljøpåvirkning (EUT L 155 af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Artikel III</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 xml:space="preserve">Denne lov træder i kraft den 3. juli 2021, bortset fra artikel I, nr. 3, som træder i kraft den 1. januar 2022, artikel I, nr. 5, stk. 75f, som træder i kraft den 1. januar 2023, artikel I, nr. 5, nr. </w:t>
      </w:r>
      <w:r>
        <w:rPr>
          <w:rFonts w:ascii="Times New Roman" w:hAnsi="Times New Roman"/>
          <w:sz w:val="24"/>
        </w:rPr>
        <w:lastRenderedPageBreak/>
        <w:t>75d, stk. 1, der træder i kraft den 3. juli 2024, artikel I, nr. 5, nr. 75d, litra a), som træder i kraft den 1. januar 2025, og artikel I, nr. 5, nr. 75, litra b), som træder i kraft den 1. januar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9869" w14:textId="77777777" w:rsidR="00507762" w:rsidRDefault="00507762" w:rsidP="009C76C7">
      <w:pPr>
        <w:spacing w:after="0" w:line="240" w:lineRule="auto"/>
      </w:pPr>
      <w:r>
        <w:separator/>
      </w:r>
    </w:p>
  </w:endnote>
  <w:endnote w:type="continuationSeparator" w:id="0">
    <w:p w14:paraId="481AEDEC" w14:textId="77777777" w:rsidR="00507762" w:rsidRDefault="00507762"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F6C9" w14:textId="77777777" w:rsidR="00507762" w:rsidRDefault="00507762" w:rsidP="009C76C7">
      <w:pPr>
        <w:spacing w:after="0" w:line="240" w:lineRule="auto"/>
      </w:pPr>
      <w:r>
        <w:separator/>
      </w:r>
    </w:p>
  </w:footnote>
  <w:footnote w:type="continuationSeparator" w:id="0">
    <w:p w14:paraId="7BD9FE2A" w14:textId="77777777" w:rsidR="00507762" w:rsidRDefault="00507762"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219"/>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62"/>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5C7A"/>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0B19"/>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42E"/>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11</Pages>
  <Words>3608</Words>
  <Characters>20569</Characters>
  <Application>Microsoft Office Word</Application>
  <DocSecurity>0</DocSecurity>
  <Lines>171</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193</cp:revision>
  <cp:lastPrinted>2021-03-11T06:47:00Z</cp:lastPrinted>
  <dcterms:created xsi:type="dcterms:W3CDTF">2021-03-09T13:09:00Z</dcterms:created>
  <dcterms:modified xsi:type="dcterms:W3CDTF">2021-05-03T13:31:00Z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