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3C4B9FD2" w:rsidR="00E30B60" w:rsidRDefault="00CB547F">
      <w:pPr>
        <w:spacing w:before="6"/>
        <w:ind w:left="105" w:right="225"/>
        <w:jc w:val="center"/>
        <w:rPr>
          <w:sz w:val="46"/>
        </w:rPr>
      </w:pPr>
      <w:r>
        <w:rPr>
          <w:sz w:val="46"/>
        </w:rPr>
        <w:t xml:space="preserve">SLOVAKI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29449E">
        <w:rPr>
          <w:sz w:val="46"/>
        </w:rPr>
        <w:t xml:space="preserve"> </w:t>
      </w:r>
      <w:r>
        <w:rPr>
          <w:sz w:val="46"/>
        </w:rPr>
        <w:t>VABARIIGI</w:t>
      </w:r>
    </w:p>
    <w:p w14:paraId="350B1BBF" w14:textId="77777777" w:rsidR="00E30B60" w:rsidRDefault="00CB547F">
      <w:pPr>
        <w:spacing w:before="66"/>
        <w:ind w:left="105" w:right="105"/>
        <w:jc w:val="center"/>
        <w:rPr>
          <w:sz w:val="34"/>
        </w:rPr>
      </w:pPr>
      <w:r>
        <w:rPr>
          <w:sz w:val="34"/>
        </w:rPr>
        <w:t>SEADUSTE KOGU</w:t>
      </w:r>
    </w:p>
    <w:p w14:paraId="06343233" w14:textId="77777777" w:rsidR="00E30B60" w:rsidRDefault="00870329">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2021. aasta köide</w:t>
      </w:r>
    </w:p>
    <w:p w14:paraId="0B8D25E3" w14:textId="42FE8CCD" w:rsidR="00D0358C" w:rsidRDefault="00CB547F">
      <w:pPr>
        <w:tabs>
          <w:tab w:val="left" w:pos="4781"/>
        </w:tabs>
        <w:spacing w:before="38" w:line="403" w:lineRule="auto"/>
        <w:ind w:left="105" w:right="103"/>
        <w:jc w:val="center"/>
      </w:pPr>
      <w:r>
        <w:t xml:space="preserve">Kehtestatud: 26.11.2021 </w:t>
      </w:r>
      <w:r w:rsidR="0029449E">
        <w:t xml:space="preserve">                     </w:t>
      </w:r>
      <w:r>
        <w:t>Õigusakti ajaline versioon kehtib alates:1.01.2030</w:t>
      </w:r>
    </w:p>
    <w:p w14:paraId="1B7690C4" w14:textId="22EA24A9" w:rsidR="00E30B60" w:rsidRDefault="00CB547F">
      <w:pPr>
        <w:tabs>
          <w:tab w:val="left" w:pos="4781"/>
        </w:tabs>
        <w:spacing w:before="38" w:line="403" w:lineRule="auto"/>
        <w:ind w:left="105" w:right="103"/>
        <w:jc w:val="center"/>
      </w:pPr>
      <w:r>
        <w:t xml:space="preserve"> Dokumendi sisu on õiguslikult siduv.</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S E A D U S,</w:t>
      </w:r>
    </w:p>
    <w:p w14:paraId="319B4591" w14:textId="77777777" w:rsidR="00E30B60" w:rsidRDefault="00CB547F">
      <w:pPr>
        <w:pStyle w:val="BodyText"/>
        <w:spacing w:before="60"/>
        <w:ind w:left="105" w:right="105"/>
        <w:jc w:val="center"/>
      </w:pPr>
      <w:r>
        <w:t>2. november 2021,</w:t>
      </w:r>
    </w:p>
    <w:p w14:paraId="2CC89435" w14:textId="77777777" w:rsidR="00E30B60" w:rsidRDefault="00CB547F">
      <w:pPr>
        <w:pStyle w:val="BodyText"/>
        <w:spacing w:before="93" w:line="244" w:lineRule="auto"/>
        <w:ind w:left="1230" w:right="1228"/>
        <w:jc w:val="center"/>
        <w:rPr>
          <w:b/>
        </w:rPr>
      </w:pPr>
      <w:r>
        <w:rPr>
          <w:b/>
        </w:rPr>
        <w:t>millega muudetakse seadust nr 79/2015 jäätmete ja teatavate õigusaktide muutmise kohta (muudetud kujul) ning muudetakse seadust nr 302/2019 ühekordselt kasutatavate joogipakendite tagatisraha süsteemi ja teatavate õigusaktide muutmise kohta (muudetud kujul)</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Slovakkia Rahvuskogu on võtnud vastu alljärgneva seaduse.</w:t>
      </w:r>
    </w:p>
    <w:p w14:paraId="5C1BC0D2" w14:textId="77777777" w:rsidR="00E30B60" w:rsidRDefault="00CB547F">
      <w:pPr>
        <w:pStyle w:val="BodyText"/>
        <w:spacing w:before="208"/>
        <w:ind w:left="105" w:right="105"/>
        <w:jc w:val="center"/>
        <w:rPr>
          <w:b/>
        </w:rPr>
      </w:pPr>
      <w:r>
        <w:rPr>
          <w:b/>
        </w:rPr>
        <w:t>I artikkel</w:t>
      </w:r>
    </w:p>
    <w:p w14:paraId="2FC10E75" w14:textId="4EC5C8BF" w:rsidR="00E30B60" w:rsidRDefault="00CB547F">
      <w:pPr>
        <w:pStyle w:val="BodyText"/>
        <w:spacing w:before="217" w:line="276" w:lineRule="auto"/>
        <w:ind w:left="105" w:right="103" w:firstLine="226"/>
        <w:jc w:val="both"/>
      </w:pPr>
      <w:r>
        <w:t>Seadust nr 79/2015 jäätmete ja teatavate õigusaktide muutmise kohta, mida on muudetud seadusega nr 91/2016, seadusega nr 313/2016, seadusega nr 90/2017, seadusega nr 292/2017, seadusega nr 106/2018, seadusega nr 177/2018, seadusega nr 208/2018, seadusega nr 312/2018, seadusega nr 302/2019, seadusega nr 364/2019, seadusega nr 460/2019, seadusega nr 74/2020, seadusega nr 218/2020, seadusega nr 285/2020, seadusega nr 9/2021</w:t>
      </w:r>
    </w:p>
    <w:p w14:paraId="1C547400" w14:textId="235D3DB4" w:rsidR="00E30B60" w:rsidRDefault="00CB547F">
      <w:pPr>
        <w:pStyle w:val="BodyText"/>
        <w:spacing w:line="276" w:lineRule="auto"/>
        <w:ind w:left="105" w:right="193"/>
      </w:pPr>
      <w:r>
        <w:t>46/2021, Seadust nr 128/2021, seadust nr 216/2021 ja seadust nr 372/2021 muudetakse järgmiselt:</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Paragrahvi 27 lõikes 1 asendatakse sõna „seitsmes“ sõnaga „kaheksas“.</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Paragrahvis 52 jäetakse välja lõiked 29 ja 30.</w:t>
      </w:r>
    </w:p>
    <w:p w14:paraId="731629A1" w14:textId="77777777" w:rsidR="00E30B60" w:rsidRDefault="00CB547F">
      <w:pPr>
        <w:pStyle w:val="BodyText"/>
        <w:spacing w:before="105"/>
        <w:ind w:left="729"/>
      </w:pPr>
      <w:r>
        <w:t>Lõiked 31 kuni 35 muutuvad lõigeteks 29 kuni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Paragrahvi 53 järele lisatakse paragrahv 53aa, mis on sõnastatud järgmiselt:</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 53aa</w:t>
      </w:r>
    </w:p>
    <w:p w14:paraId="78A7988B" w14:textId="0782E007" w:rsidR="00E30B60" w:rsidRDefault="00CB547F">
      <w:pPr>
        <w:pStyle w:val="BodyText"/>
        <w:spacing w:before="217" w:line="276" w:lineRule="auto"/>
        <w:ind w:left="502" w:right="193" w:firstLine="226"/>
      </w:pPr>
      <w:r>
        <w:t>Riigiasutused ei tohi oma tegevuses korraldada ühekordselt kasutatavas pakendis jookide ostmist.“</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 53a jäetakse välja.</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 73a jäetakse välja.</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Pärast paragrahvi 75 lisatakse uus kaheksas jagu, mis koos pealkirjaga on järgmine:</w:t>
      </w:r>
    </w:p>
    <w:p w14:paraId="2697A68C" w14:textId="77777777" w:rsidR="00E30B60" w:rsidRDefault="00CB547F">
      <w:pPr>
        <w:pStyle w:val="BodyText"/>
        <w:spacing w:before="208" w:line="302" w:lineRule="auto"/>
        <w:ind w:left="3793" w:right="3380" w:firstLine="657"/>
        <w:rPr>
          <w:b/>
        </w:rPr>
      </w:pPr>
      <w:r>
        <w:rPr>
          <w:b/>
        </w:rPr>
        <w:t>„Kaheksas jagu</w:t>
      </w:r>
      <w:r>
        <w:rPr>
          <w:b/>
        </w:rPr>
        <w:br/>
        <w:t>Spetsiaalsed plasttooted</w:t>
      </w:r>
    </w:p>
    <w:p w14:paraId="22DCFF1C" w14:textId="1F4E736B" w:rsidR="00E30B60" w:rsidRDefault="00CB547F">
      <w:pPr>
        <w:pStyle w:val="BodyText"/>
        <w:spacing w:before="245" w:line="280" w:lineRule="auto"/>
        <w:ind w:left="4014" w:right="3603" w:firstLine="852"/>
        <w:rPr>
          <w:b/>
        </w:rPr>
      </w:pPr>
      <w:r>
        <w:rPr>
          <w:b/>
        </w:rPr>
        <w:t>§ 75a</w:t>
      </w:r>
      <w:r>
        <w:rPr>
          <w:b/>
        </w:rPr>
        <w:br/>
      </w:r>
      <w:r w:rsidR="0029449E">
        <w:rPr>
          <w:b/>
        </w:rPr>
        <w:t xml:space="preserve">        </w:t>
      </w:r>
      <w:r>
        <w:rPr>
          <w:b/>
        </w:rPr>
        <w:t>Põhisätted</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Käesoleva jaoga reguleeritakse nõudeid ja meetmeid, et vältida teatavate ühekordselt kasutatavate plasttoodete keskkonnamõju, eelkõige veekeskkonnale ja</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inimeste tervisele, et vähendada seda mõju ning toetada üleminekut ringmajandusele, millel on uuenduslikud ja kestlikud ärimudelid, tooted ja materjalid.</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Käesoleva jao sätteid kohaldatakse lisas 7a loetletud ühekordselt kasutatavate plasttoodete, oksüdantide toimel lagunevate plasttoodete ja plasti sisaldavate püügivahendite suhtes.</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Kui käesolevas jaos ei ole sätestatud teisiti, kohaldatakse käesoleva seaduse üldsätteid kõigi Slovaki Vabariigis turule lastavate või turustamiseks mõeldud ühekordselt kasutatavate plasttoodete ja plasti sisaldavate püügivahendite ning nendest pärinevate jäätmete käitlemise suhtes.</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Käesolevas jaos tähendab plast materjali, mis koosneb polümeerist </w:t>
      </w:r>
      <w:r>
        <w:rPr>
          <w:sz w:val="10"/>
        </w:rPr>
        <w:t>72(a,)</w:t>
      </w:r>
      <w:r>
        <w:rPr>
          <w:sz w:val="20"/>
        </w:rPr>
        <w:t xml:space="preserve"> millele võib olla lisatud lisaaineid või muid aineid ja mis võib olla lõpptoote põhikoostisosa, välja arvatud looduslikud polümeerid, mida ei ole keemiliselt modifitseeritud.</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„Ühekordselt kasutatav plasttoode“ – täielikult või osaliselt plastist valmistatud toode, mis ei ole kavandatud, valmistatud ega turule lastud nii, et see tagastataks tootjale uuesti täitmiseks või korduskasutamiseks samal eesmärgil, milleks toodet toodeti, et saavutada kasutusea jooksul mitu tsüklit või rotatsiooni.</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„Oksüdantide toimel lagunev plast“ – plastmaterjal, mis sisaldab lisaaineid, mis oksüdatsiooni teel lagundavad plastmaterjali mikrofragmentideks või lagundavad need keemiliselt.</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„Püügivahendid“ – mis tahes esemed või seadmed, mida kasutatakse kalapüügis või vesiviljeluses mere bioloogiliste ressursside sihtimiseks, püüdmiseks või kasvatamiseks või mis ujuvad merepinnal ning mille eesmärk on meelitada ligi ja püüda või koguda selliseid mere bioloogilisi ressursse.</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„Kasutuselt kõrvaldatud püügivahendid“ – mis tahes püügivahendid, mis on muutunud jäätmeteks, kaasa arvatud kõik eraldi komponendid, ained või materjalid, mis olid vette tagasi lastud püügivahendites või nende külge kinnitatud, kaasa arvatud siis, kui need hüljati või need kadusid.</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„Turule laskmine“ – plasti sisaldava ühekordselt kasutatava plasttoote või püügivahendite esmakordne turul kättesaadavaks tegemine Slovaki Vabariigis.</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„Turul kättesaadavaks tegemine“ – Slovaki Vabariigis äritegevuse raames turustamiseks, tarbimiseks või kasutamiseks ettenähtud plasti sisaldava ühekordselt kasutatava plasttoote või püügivahendite tarnimine tasu eest või tasuta.</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Ühtlustatud standard on Euroopa standard, mis on vastu võetud komisjoni nõuete alusel ELi ühtlustatud õigusaktide kohaldamiseks.</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„Ühekordselt kasutatava plasttoote või plastist püügivahendi tootja“ – mis tahes füüsilisest isikust ettevõtja või äriühing, olenemata kasutatud müügitehnikast, sealhulgas postimüügist ja internetimüügist, </w:t>
      </w:r>
      <w:r>
        <w:rPr>
          <w:sz w:val="10"/>
        </w:rPr>
        <w:t>96b</w:t>
      </w:r>
      <w:r>
        <w:rPr>
          <w:sz w:val="20"/>
        </w:rPr>
        <w:t xml:space="preserve">) välja arvatud eriõigusaktide alusel kalapüügiga tegelev üksus,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kelle registrijärgne asukoht või tegevuskoht on Slovaki Vabariigis ning kes toodab ühekordselt kasutatavaid plasttooteid ja püügivahendeid või laseb valmistada ühekordselt kasutatavaid plasttooteid ja püügivahendeid ning laseb need turule;</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kelle registrijärgne asukoht või tegevuskoht on Slovaki Vabariigis ning kes müüb ühekordselt kasutatavaid plasttooteid ja püügivahendeid Slovaki Vabariigis;</w:t>
      </w:r>
    </w:p>
    <w:p w14:paraId="207B1B2A" w14:textId="77777777" w:rsidR="00E30B60" w:rsidRDefault="00CB547F">
      <w:pPr>
        <w:pStyle w:val="ListParagraph"/>
        <w:numPr>
          <w:ilvl w:val="0"/>
          <w:numId w:val="21"/>
        </w:numPr>
        <w:tabs>
          <w:tab w:val="left" w:pos="786"/>
        </w:tabs>
        <w:spacing w:before="100" w:line="276" w:lineRule="auto"/>
        <w:jc w:val="both"/>
        <w:rPr>
          <w:sz w:val="20"/>
        </w:rPr>
      </w:pPr>
      <w:r>
        <w:rPr>
          <w:sz w:val="20"/>
        </w:rPr>
        <w:t>kelle registrijärgne asukoht või tegevuskoht on Slovaki Vabariigis ning kes täidab ühekordselt kasutatavaid plasttooteid või laseb ühekordselt kasutatavaid plasttooteid täita, ja laseb need turule;</w:t>
      </w:r>
    </w:p>
    <w:p w14:paraId="2DCDDA8C"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pgNumType w:start="2"/>
          <w:cols w:space="720"/>
        </w:sectPr>
      </w:pPr>
    </w:p>
    <w:p w14:paraId="4D4600DA" w14:textId="77777777" w:rsidR="00E30B60" w:rsidRDefault="00E30B60">
      <w:pPr>
        <w:pStyle w:val="BodyText"/>
        <w:spacing w:before="3"/>
        <w:rPr>
          <w:sz w:val="19"/>
        </w:rPr>
      </w:pP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kelle registrijärgne asukoht või tegevuskoht on Slovaki Vabariigis ning kes laseb äritegevuse osana teisest liikmesriigist või kolmandast riigist pärit ühekordselt kasutatavad plasttooted ja kalapüügivahendid Slovaki Vabariigi turule;</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kes müüb Slovaki Vabariigis kaugsidevahendite abil ühekordselt kasutatavaid plasttooteid ja püügivahendeid otse kodumajapidamistele või mitte-kodukasutajatele ning kelle registrijärgne asukoht või tegevuskoht on teises liikmesriigis või muus kolmandas riigis;</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kelle registrijärgne asukoht või tegevuskoht asub Slovaki Vabariigis ja kes müüb oma äritegevuse raames kauglepingu alusel otse teises liikmesriigis asuvale kasutajale ühekordselt kasutatavaid plasttooteid ja püügivahendeid.</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„Biolagunev plast“ – plast, mis on võimeline läbima füüsilise ja bioloogilise lagunemise, nii et see laguneb lõpuks süsinikdioksiidiks (CO</w:t>
      </w:r>
      <w:r>
        <w:rPr>
          <w:sz w:val="14"/>
        </w:rPr>
        <w:t>2</w:t>
      </w:r>
      <w:r>
        <w:rPr>
          <w:sz w:val="20"/>
        </w:rPr>
        <w:t>), biomassiks ja veeks ning on vastavalt Euroopa pakendamisstandarditele taaskasutatav kompostimise ja anaeroobse kääritamise teel.</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„Sadama vastuvõtuseadmed ja -rajatised“ – vastavalt eriõigusaktidele sadama vastuvõtuseadmed ja -rajatised.</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„Tubakatooted“ – tubakatooted, mis on määratletud eriõigusaktide kohaselt.</w:t>
      </w:r>
      <w:r>
        <w:rPr>
          <w:sz w:val="10"/>
        </w:rPr>
        <w:t>96e</w:t>
      </w:r>
      <w:r>
        <w:rPr>
          <w:sz w:val="20"/>
        </w:rPr>
        <w:t>)</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 75b</w:t>
      </w:r>
      <w:r>
        <w:rPr>
          <w:b/>
        </w:rPr>
        <w:br/>
        <w:t>Tarbimise vähendamine</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Ühekordselt kasutatava plasttoote tootja, kes pakub lõpptarbijale A osa lisas 7a loetletud ühekordselt kasutatavaid plasttooteid toidu ja jookide tarbimiseks mujal kui müügikohas, on kohustatud:</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esitama need tasu eest; ta peab sellest lõpptarbijat teavitama;</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pakkuma lõpptarbijale korduvkasutatavat alternatiivi; või</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pakkuma biolagundatavat alternatiivi.</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Tarbijatele ei tohi müügikohas toidu ja joogi tarbimiseks pakkuda järgmist:</w:t>
      </w:r>
    </w:p>
    <w:p w14:paraId="4734A695" w14:textId="77777777" w:rsidR="00E30B60" w:rsidRDefault="00CB547F">
      <w:pPr>
        <w:pStyle w:val="ListParagraph"/>
        <w:numPr>
          <w:ilvl w:val="0"/>
          <w:numId w:val="18"/>
        </w:numPr>
        <w:tabs>
          <w:tab w:val="left" w:pos="786"/>
        </w:tabs>
        <w:spacing w:before="100"/>
        <w:ind w:right="0"/>
        <w:rPr>
          <w:sz w:val="20"/>
        </w:rPr>
      </w:pPr>
      <w:r>
        <w:rPr>
          <w:sz w:val="20"/>
        </w:rPr>
        <w:t>ühekordselt kasutatavaid plasttooteid püsivates avalikes ja kiirtoitlustusettevõtetes;</w:t>
      </w:r>
    </w:p>
    <w:p w14:paraId="49E77A18" w14:textId="77777777" w:rsidR="00E30B60" w:rsidRDefault="00CB547F">
      <w:pPr>
        <w:pStyle w:val="ListParagraph"/>
        <w:numPr>
          <w:ilvl w:val="0"/>
          <w:numId w:val="18"/>
        </w:numPr>
        <w:tabs>
          <w:tab w:val="left" w:pos="786"/>
        </w:tabs>
        <w:spacing w:before="135"/>
        <w:ind w:right="0"/>
        <w:rPr>
          <w:sz w:val="20"/>
        </w:rPr>
      </w:pPr>
      <w:r>
        <w:rPr>
          <w:sz w:val="20"/>
        </w:rPr>
        <w:t>ühekordselt kasutatavaid plastnõusid avalikel üritustel.</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Lisaks lõike 2 punktis b sätestatud keelule on avaliku ürituse korraldaja biolagunevate toodete pakkumise korral kohustatud tagama nende edasise liigiti kogumise.</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Lisa 7a osas A loetletud ühekordselt kasutatava plasttoote tootja peab Slovaki Vabariigis turule lastud üksiktoodete kohta arvestust ning edastab andmed kindlaksmääratud ulatuses ministeeriumile ning säilitab esitatud andmeid.</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Lisa 7a osas A loetletud ühekordselt kasutatava plasttoote tootja koostab aruande tarbimise vähendamiseks võetud meetmete kohta ja teatab ministeeriumile hiljemalt 30. aprilliks tarbimise vähendamisel tehtud edusammudest.</w:t>
      </w: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 75c</w:t>
      </w:r>
    </w:p>
    <w:p w14:paraId="38A6FDAC" w14:textId="77777777" w:rsidR="00E30B60" w:rsidRDefault="00CB547F">
      <w:pPr>
        <w:pStyle w:val="BodyText"/>
        <w:spacing w:before="218" w:line="276" w:lineRule="auto"/>
        <w:ind w:left="502" w:right="110" w:firstLine="226"/>
      </w:pPr>
      <w:r>
        <w:t>Slovaki Vabariigis on keelatud lisa 7a osas B loetletud ühekordselt kasutatavate plasttoodete ja oksüdantide toimel laguneva plasti turule laskmine.</w:t>
      </w:r>
    </w:p>
    <w:p w14:paraId="795E8A85" w14:textId="77777777" w:rsidR="00E30B60" w:rsidRDefault="00E30B60">
      <w:pPr>
        <w:spacing w:line="276" w:lineRule="auto"/>
        <w:sectPr w:rsidR="00E30B60">
          <w:pgSz w:w="11910" w:h="16840"/>
          <w:pgMar w:top="1160" w:right="1000" w:bottom="280" w:left="1000" w:header="796" w:footer="0" w:gutter="0"/>
          <w:cols w:space="720"/>
        </w:sectPr>
      </w:pP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 75d</w:t>
      </w:r>
    </w:p>
    <w:p w14:paraId="223D1A26" w14:textId="77777777" w:rsidR="00E30B60" w:rsidRDefault="00CB547F">
      <w:pPr>
        <w:pStyle w:val="BodyText"/>
        <w:spacing w:before="40"/>
        <w:ind w:left="1230" w:right="834"/>
        <w:jc w:val="center"/>
        <w:rPr>
          <w:b/>
        </w:rPr>
      </w:pPr>
      <w:r>
        <w:rPr>
          <w:b/>
        </w:rPr>
        <w:t>Nõuded ühekordselt kasutatavatele plasttoodetele</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Ühekordselt kasutatava plasttoote tootja on kohustatud laskma turule Slovaki Vabariigi lisa 7a osas C loetletud joogipakendeid, tingimusel et plastist korgid või kaaned jäävad toote ettenähtud kasutuse ajal joogipakendi külge kinnitatuks.</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Lisa 7a osas C loetletud joogipakendeid, mis on valmistatud kooskõlas harmoneeritud standarditega ja mille viide on avaldatud Euroopa Liidu Teatajas, käsitatakse vastavalt lõikes 1 sätestatud nõudele joogipakenditena.</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Plasttihenditega metallkorke või -kaasi ei loeta plastist valmistatud toodeteks.</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Lisa 7a osas F loetletud ühekordselt kasutatava plasttoote tootja on kohustatud laskma Slovaki Vabariigi turule joogipudelid,</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mis on valmistatud polüetüleentereftalaadist (edaspidi „PET-joogipudelid“), mis sisaldab vähemalt 25 % ulatuses ringlussevõetud plasti kogu PET-joogipudelitest, mida ta Slovaki Vabariigis turule laseb;</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mille ringlussevõetud plasti sisaldus on vähemalt 30 % Slovaki Vabariigis turule lastavate plastist joogipudelite üldkogusest.</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Ühekordselt kasutatava plasttoote tootja esitab vastavalt lõikele 4 ministeeriumile aruande ringlussevõetud plasti sisalduse kohta eelmise kalendriaasta kohta hiljemalt 30. aprilliks. See kohustus on täidetud pakenditootja puhul, kes laseb joogid turule tagastatavas ühekordselt kasutatavas pakendis, vastavalt eriõigusaktidele.</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 75e</w:t>
      </w:r>
    </w:p>
    <w:p w14:paraId="44678E85" w14:textId="77777777" w:rsidR="00E30B60" w:rsidRDefault="00CB547F">
      <w:pPr>
        <w:pStyle w:val="BodyText"/>
        <w:spacing w:before="39"/>
        <w:ind w:left="1230" w:right="834"/>
        <w:jc w:val="center"/>
        <w:rPr>
          <w:b/>
        </w:rPr>
      </w:pPr>
      <w:r>
        <w:rPr>
          <w:b/>
        </w:rPr>
        <w:t>Toote märgistamise nõuded</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Lisa 7a osas D loetletud ühekordselt kasutatava plasttoote tootja on enne toote turule laskmist kohustatud märgistama kõnealuse toote tarbijatele antava teabega:</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kõige asjakohasemad viisid toote kõrvaldamiseks või jäätmete kõrvaldamise viisid, mida tuleb vältida asjakohase toote puhul, kui see muutub jäätmeks vastavalt jäätmekäitlushierarhiale;</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plasti olemasolu tootes ja selle negatiivne keskkonnamõju, kui toode muutub jäätmeks.</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Lõikes 1 osutatud märgistus kinnitatakse toote pakendile, toote tarbijapakenditele või tootele endale nii, et see on silmatorkav, loetav ja kustumatu.</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Lisa 7a osas D loetletud ühekordselt kasutatava plasttoote tootja on kohustatud tagama pakendi märgistamise vastavalt lõikele 1 vastavalt eriõigusaktidele.</w:t>
      </w:r>
      <w:r>
        <w:rPr>
          <w:sz w:val="10"/>
        </w:rPr>
        <w:t>96g</w:t>
      </w:r>
      <w:r>
        <w:rPr>
          <w:sz w:val="20"/>
        </w:rP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Lõikes 1 osutatud tubakatoodete märgistamine täiendab märgistamist vastavalt eriõigusaktidele.</w:t>
      </w:r>
      <w:r>
        <w:rPr>
          <w:sz w:val="10"/>
        </w:rPr>
        <w:t>96h</w:t>
      </w:r>
      <w:r>
        <w:rPr>
          <w:sz w:val="20"/>
        </w:rPr>
        <w:t>)</w:t>
      </w:r>
    </w:p>
    <w:p w14:paraId="37040F9F" w14:textId="77777777" w:rsidR="00E30B60" w:rsidRDefault="00E30B60">
      <w:pPr>
        <w:spacing w:line="276" w:lineRule="auto"/>
        <w:jc w:val="both"/>
        <w:rPr>
          <w:sz w:val="20"/>
        </w:rPr>
        <w:sectPr w:rsidR="00E30B60">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 75f</w:t>
      </w:r>
    </w:p>
    <w:p w14:paraId="29563519" w14:textId="77777777" w:rsidR="00E30B60" w:rsidRDefault="00CB547F">
      <w:pPr>
        <w:pStyle w:val="BodyText"/>
        <w:spacing w:before="40"/>
        <w:ind w:left="1230" w:right="834"/>
        <w:jc w:val="center"/>
        <w:rPr>
          <w:b/>
        </w:rPr>
      </w:pPr>
      <w:r>
        <w:rPr>
          <w:b/>
        </w:rPr>
        <w:t>Spetsiaalse plasttoote tootja laiendatud vastutus</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Lisaks lõigetest 27 ja 52 tulenevatele kohustustele kannab ühekordselt kasutatava plasttoote tootja lisa 7a osa E I jaos loetletud kulud, mis on</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seotud meetmetega, mille eesmärk on suurendada teadlikkust Slovaki Vabariigis turule lastud toodetest;</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seotud jäätmete kogumise, transpordi, taaskasutamise, ringlussevõtu, töötlemise ja kõrvaldamisega;</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seotud nende toodete prügi koristamisega piirkondades, kus neid ei ole visatud kohalikesse jäätmekogumissüsteemidesse.</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Tubakatoodete tootja võib lõike 1 punktis b sätestatud kohustuse täitmiseks luua eriinfrastruktuuri nendest toodetest tekkinud jäätmete kogumiseks.</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Lisa 7a osa E II ja III jaos loetletud ühekordselt kasutatava plasttoote tootja on kohustatud:</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kandma Slovaki Vabariigis turule lastud toodetega seotud teadlikkuse tõstmisega seotud kulud;</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kandma kulud, mis on seotud nende toodete prügi koristamisega piirkondades, kus neid ei ole visatud kohalikesse jäätmekogumissüsteemidesse;</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pidama arvestust Slovaki Vabariigi turule lastud toodete üle ning esitama kindlaksmääratud ulatuses ministeeriumile andmed ja säilitama esitatud andmed.</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Lisa 7a osas E loetletud ühekordselt kasutatava plasttoote ja plasti sisaldava püügivahendite tootja, kelle registrijärgne asukoht või tegevuskoht on Slovaki Vabariigis ja kes müüb neid tooteid teises liikmesriigis, määrab volitatud esindaja kõnealuses liikmesriigis, kes täidab oma kohustusi seoses kõnealuste toodetega.</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Plasti sisaldavate püügivahendite tootja peab arvestust Slovaki Vabariigis turule lastud püügivahendite kohta ja säilitab nende andmeid ning edastab selle andmed ministeeriumile ja säilitab esitatud andmed.</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Plasti sisaldavate kalapüügivahendite tootja on kohustatud katma asjaomastes sadama vastuvõtuseadmetes või muudes samaväärsetes vastuvõtusüsteemides lossitud plasti sisaldavate kalapüügivahendite liigiti kogumise, transpordi, ringlussevõtu, taaskasutamise või kõrvaldamisega seotud kulud.</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 75g</w:t>
      </w:r>
      <w:r>
        <w:rPr>
          <w:b/>
        </w:rPr>
        <w:br/>
        <w:t>Teadlikkuse tõstmine</w:t>
      </w:r>
    </w:p>
    <w:p w14:paraId="20D90145" w14:textId="1BEFC6E3" w:rsidR="00E30B60" w:rsidRDefault="00CB547F">
      <w:pPr>
        <w:pStyle w:val="BodyText"/>
        <w:spacing w:before="193" w:line="276" w:lineRule="auto"/>
        <w:ind w:left="502" w:right="103" w:firstLine="226"/>
        <w:jc w:val="both"/>
      </w:pPr>
      <w:r>
        <w:t>Lisa 7a osas G loetletud ühekordselt kasutatava plasttoote ja plasti sisaldava püügivahendite tootja teavitab ja motiveerib ühekordselt kasutatava plasttoote lõppkasutajaid käituma vastutustundlikult, et vähendada nende toodete jäätmetest tulenevat keskkonnareostust;</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kasutama olemasolevaid korduvkasutatavaid alternatiive;</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jäätmeteks muutudes toodete õiget kõrvaldamise viisi;</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ühekordselt kasutatavate plasttoodete ja plasti sisaldavate püügivahendite jäätmete ebakohase kõrvaldamise mõjust keskkonnale;</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jäätmeks muutunud toodete ebakohase kõrvaldamise mõjust reoveele.</w:t>
      </w:r>
    </w:p>
    <w:p w14:paraId="5D2E916C" w14:textId="77777777" w:rsidR="00E30B60" w:rsidRDefault="00CB547F">
      <w:pPr>
        <w:pStyle w:val="BodyText"/>
        <w:spacing w:before="85"/>
        <w:ind w:left="729"/>
        <w:jc w:val="both"/>
      </w:pPr>
      <w:r>
        <w:t>Joonealused märkused 96a–96h on sõnastatud järgmiselt:</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Euroopa Parlamendi ja nõukogu 25. oktoobri 2012. aasta määruse (EL) nr 1025/2012 (Euroopa standardimise kohta, millega muudetakse nõukogu direktiive 89/686/EMÜ ja 93/15/EMÜ ning Euroopa Parlamendi ja nõukogu direktiive 94/9/EÜ, 94/25/EÜ, 95/16/EÜ, 97/23/EÜ, 98/34/EÜ, 2004/22/EÜ, 2007/23/EÜ, 2009/23/EÜ ja 2009/105/EÜ ning millega tunnistatakse kehtetuks nõukogu otsus 87/95/EMÜ ning Euroopa Parlamendi ja nõukogu otsus nr 1673/2006/EÜ), muudetud kujul, artikli 2 lõike 1 punkt c.</w:t>
      </w:r>
    </w:p>
    <w:p w14:paraId="7D526B49" w14:textId="77777777" w:rsidR="00E30B60" w:rsidRDefault="00CB547F">
      <w:pPr>
        <w:spacing w:before="103" w:line="244" w:lineRule="auto"/>
        <w:ind w:left="729" w:right="103"/>
        <w:jc w:val="both"/>
        <w:rPr>
          <w:sz w:val="18"/>
        </w:rPr>
      </w:pPr>
      <w:r>
        <w:rPr>
          <w:sz w:val="10"/>
        </w:rPr>
        <w:t>96b</w:t>
      </w:r>
      <w:r>
        <w:rPr>
          <w:sz w:val="18"/>
        </w:rPr>
        <w:t>) Seadus nr 102/2014 tarbijakaitse kohta kaupade müügil või teenuste osutamisel müüja kauglepingu või väljaspool äriruume sõlmitud lepingu alusel ning millega muudetakse teatavaid õigusakte, muudetud kujul.</w:t>
      </w:r>
    </w:p>
    <w:p w14:paraId="5DEAD916" w14:textId="69DCB80D" w:rsidR="00E30B60" w:rsidRDefault="00CB547F">
      <w:pPr>
        <w:spacing w:before="102" w:line="244" w:lineRule="auto"/>
        <w:ind w:left="729" w:right="103"/>
        <w:jc w:val="both"/>
        <w:rPr>
          <w:sz w:val="18"/>
        </w:rPr>
      </w:pPr>
      <w:r>
        <w:rPr>
          <w:sz w:val="10"/>
        </w:rPr>
        <w:t>96c</w:t>
      </w:r>
      <w:r>
        <w:rPr>
          <w:sz w:val="18"/>
        </w:rPr>
        <w:t>) Euroopa Parlamendi ja nõukogu 11. detsembri 2013. aasta määruse (EL) nr 1380/2013 (ühise kalanduspoliitika kohta, millega muudetakse nõukogu määruseid (EÜ) nr 1954/2003 ja (EÜ) nr 1224/2009 ning tunnistatakse kehtetuks nõukogu määrused (EÜ) nr 2371/2002 ja (EÜ) nr 639/2004 ning nõukogu otsus 2004/585/EÜ) (ELT L 354, 28.12.2013), muudetud kujul, artikli 4 lõike 1 punkt 28.</w:t>
      </w:r>
    </w:p>
    <w:p w14:paraId="15970DB7" w14:textId="77777777" w:rsidR="00E30B60" w:rsidRDefault="00CB547F">
      <w:pPr>
        <w:spacing w:before="102"/>
        <w:ind w:left="729"/>
        <w:jc w:val="both"/>
        <w:rPr>
          <w:sz w:val="18"/>
        </w:rPr>
      </w:pPr>
      <w:r>
        <w:rPr>
          <w:sz w:val="10"/>
        </w:rPr>
        <w:t>96d</w:t>
      </w:r>
      <w:r>
        <w:rPr>
          <w:sz w:val="18"/>
        </w:rPr>
        <w:t>) Meresõiduseadus nr 435/2000, muudetud kujul.</w:t>
      </w:r>
    </w:p>
    <w:p w14:paraId="5EF5EE76" w14:textId="58A6960E" w:rsidR="00E30B60" w:rsidRDefault="00CB547F">
      <w:pPr>
        <w:spacing w:before="105" w:line="244" w:lineRule="auto"/>
        <w:ind w:left="729" w:right="103"/>
        <w:jc w:val="both"/>
        <w:rPr>
          <w:sz w:val="18"/>
        </w:rPr>
      </w:pPr>
      <w:r>
        <w:rPr>
          <w:sz w:val="10"/>
        </w:rPr>
        <w:t>96e</w:t>
      </w:r>
      <w:r>
        <w:rPr>
          <w:sz w:val="18"/>
        </w:rPr>
        <w:t>) Tubaka- ja seonduvate toodete tootmist, märgistamist ja müüki ning teatavate seaduste muutmist käsitleva seaduse nr 89/2016 (muudetud seadusega nr 92/2019) paragrahvi 2 lõige 3</w:t>
      </w:r>
    </w:p>
    <w:p w14:paraId="1BC9FB90" w14:textId="28B52A0A" w:rsidR="00E30B60" w:rsidRDefault="00CB547F">
      <w:pPr>
        <w:spacing w:before="101" w:line="244" w:lineRule="auto"/>
        <w:ind w:left="729" w:right="103"/>
        <w:jc w:val="both"/>
        <w:rPr>
          <w:sz w:val="18"/>
        </w:rPr>
      </w:pPr>
      <w:r>
        <w:rPr>
          <w:sz w:val="10"/>
        </w:rPr>
        <w:t>96f</w:t>
      </w:r>
      <w:r>
        <w:rPr>
          <w:sz w:val="18"/>
        </w:rPr>
        <w:t>) Seaduse nr 302/2019 (ühekordselt kasutatavate joogipakendite tagatisraha skeemi ja teatavate õigusaktide muutmise kohta) paragrahvi 7 lõike 1 punkt v, muudetud kujul.</w:t>
      </w:r>
    </w:p>
    <w:p w14:paraId="2EC47CDC" w14:textId="1A1C418A" w:rsidR="00E30B60" w:rsidRDefault="00CB547F">
      <w:pPr>
        <w:spacing w:before="101" w:line="244" w:lineRule="auto"/>
        <w:ind w:left="729" w:right="103"/>
        <w:jc w:val="both"/>
        <w:rPr>
          <w:sz w:val="18"/>
        </w:rPr>
      </w:pPr>
      <w:r>
        <w:rPr>
          <w:sz w:val="10"/>
        </w:rPr>
        <w:t>96g</w:t>
      </w:r>
      <w:r>
        <w:rPr>
          <w:sz w:val="18"/>
        </w:rPr>
        <w:t>) Komisjoni 17. detsembri 2020. aasta rakendusmäärus (EL) 2020/2151, millega kehtestatakse eeskirjad Euroopa Parlamendi ja nõukogu direktiivi (EL) 2019/904 (teatavate plasttoodete keskkonnamõju vähendamise kohta) lisa osas D loetletud ühekordselt kasutatavate plasttoodete ühtlustatud märgistusnõuete kohta (ELT L 428, 18.12.2020).</w:t>
      </w:r>
    </w:p>
    <w:p w14:paraId="42F6CA94" w14:textId="77777777" w:rsidR="00E30B60" w:rsidRDefault="00CB547F">
      <w:pPr>
        <w:spacing w:before="102"/>
        <w:ind w:left="729"/>
        <w:jc w:val="both"/>
        <w:rPr>
          <w:sz w:val="18"/>
        </w:rPr>
      </w:pPr>
      <w:r>
        <w:rPr>
          <w:sz w:val="10"/>
        </w:rPr>
        <w:t>96h</w:t>
      </w:r>
      <w:r>
        <w:rPr>
          <w:sz w:val="18"/>
        </w:rPr>
        <w:t>) Seadus nr 89/2016, mida on muudetud seadusega nr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Paragrahvi 105 lõikele 3 lisatakse punkt ad:</w:t>
      </w:r>
    </w:p>
    <w:p w14:paraId="2874BDF9" w14:textId="77777777" w:rsidR="00E30B60" w:rsidRDefault="00CB547F">
      <w:pPr>
        <w:pStyle w:val="BodyText"/>
        <w:spacing w:before="106"/>
        <w:ind w:left="502"/>
        <w:jc w:val="both"/>
      </w:pPr>
      <w:r>
        <w:t>„ad) Paragrahvis 75e osutatud märgistusnõuded.“</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Paragrahvi 106 punktis h asendatakse tekst „§ 53a, § 73a“ tekstiga „§ 75b, § 75c, § 75d, §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Paragrahvi 110 lõike 1 punktis a jäetakse välja tekst „§ 53a“ ja tekst „§ 73a ja § 135g“.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Paragrahvi 111 lõikes 6 asendatakse tekst „§ 53a ja 73a“ tekstiga „§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Paragrahvi 117 lõikes 1 lisatakse pärast teksti „§ 53 lõiked 7 ja 8; § 54 lõike 1 punkt f ja lõige 5“ tekst „§ 53aa;“.</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Paragrahvi 117 lõige 6 on sõnastatud järgmiselt:</w:t>
      </w:r>
    </w:p>
    <w:p w14:paraId="2F50D7B0" w14:textId="77777777" w:rsidR="00E30B60" w:rsidRDefault="00CB547F">
      <w:pPr>
        <w:pStyle w:val="BodyText"/>
        <w:spacing w:before="220" w:line="276" w:lineRule="auto"/>
        <w:ind w:left="502" w:right="103" w:firstLine="226"/>
        <w:jc w:val="both"/>
      </w:pPr>
      <w:r>
        <w:t>„(6) Asjaomane riiklik jäätmekäitlusasutus määrab trahvi vahemikus 4000 kuni 350 000 eurot juriidilisele üksusele või füüsilisest isikust ettevõtjale, kes rikub kohustust vastavalt paragrahvile 13, paragrahvi 16 lõigetele 5 ja 10; paragrahvi 19 lõike 1 punktile f, paragrahvi 21 lõikele 2; paragrahvi 21 lõike 3 punktidele f ja g; paragrahvi 25 lõigetele 1 ja 7;</w:t>
      </w:r>
    </w:p>
    <w:p w14:paraId="4B6F5513" w14:textId="77777777" w:rsidR="00E30B60" w:rsidRPr="00D0358C" w:rsidRDefault="00CB547F">
      <w:pPr>
        <w:pStyle w:val="BodyText"/>
        <w:ind w:left="502"/>
      </w:pPr>
      <w:r>
        <w:t>paragrahvi 27 lõikele 25; paragrahvi 28 lõike 9 punktile e; paragrahvi 31a lõigetele 2, 6 ja 8; paragrahvile 33; paragrahvile 43; paragrahvi 53 lõikele 3; paragrahvi 62 lõikele 6;</w:t>
      </w:r>
    </w:p>
    <w:p w14:paraId="091FA774" w14:textId="77777777" w:rsidR="00E30B60" w:rsidRPr="00D0358C" w:rsidRDefault="00CB547F">
      <w:pPr>
        <w:pStyle w:val="BodyText"/>
        <w:spacing w:before="35"/>
        <w:ind w:left="502"/>
      </w:pPr>
      <w:r>
        <w:t>Paragrahvile 75b; paragrahvile 75c; paragrahvile 75d; paragrahvile 75e; paragrahvile 75f; paragrahvile 75g; paragrahvi 76 lõikele 4; paragrahvi 79 lõigetele 16 ja 24; paragrahvi 84 lõigetele 3 ja 5;</w:t>
      </w:r>
    </w:p>
    <w:p w14:paraId="1E67AFAF" w14:textId="77777777" w:rsidR="00E30B60" w:rsidRPr="00D0358C" w:rsidRDefault="00CB547F">
      <w:pPr>
        <w:pStyle w:val="BodyText"/>
        <w:spacing w:before="35"/>
        <w:ind w:left="502"/>
      </w:pPr>
      <w:r>
        <w:t>paragrahvi 135e lõigetele 1, 2, 3 ja 4; paragrahvile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Paragrahvis 135 g lisatakse sõna „7a“ järele tekst „osa B“.</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Lisa 7a, sealhulgas pealkiri, on järgmine:</w:t>
      </w:r>
    </w:p>
    <w:p w14:paraId="3D8AA0DD" w14:textId="77777777" w:rsidR="00E30B60" w:rsidRDefault="00E30B60">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t>„Lisa 7a</w:t>
      </w:r>
      <w:r>
        <w:rPr>
          <w:b/>
        </w:rPr>
        <w:br/>
        <w:t>seaduse nr 79/2015 juurde</w:t>
      </w:r>
    </w:p>
    <w:p w14:paraId="53FA3E6C" w14:textId="77777777" w:rsidR="00E30B60" w:rsidRDefault="00CB547F">
      <w:pPr>
        <w:pStyle w:val="BodyText"/>
        <w:spacing w:before="201"/>
        <w:ind w:left="1230" w:right="834"/>
        <w:jc w:val="center"/>
        <w:rPr>
          <w:b/>
        </w:rPr>
      </w:pPr>
      <w:r>
        <w:rPr>
          <w:b/>
        </w:rPr>
        <w:t>OSA A</w:t>
      </w:r>
    </w:p>
    <w:p w14:paraId="423994C5" w14:textId="77777777" w:rsidR="00E30B60" w:rsidRDefault="00CB547F">
      <w:pPr>
        <w:pStyle w:val="BodyText"/>
        <w:spacing w:before="231"/>
        <w:ind w:left="729"/>
        <w:rPr>
          <w:b/>
        </w:rPr>
      </w:pPr>
      <w:r>
        <w:rPr>
          <w:b/>
        </w:rPr>
        <w:t>Ühekordselt kasutatavad plasttooted, mille tarbimist tuleb vähendada</w:t>
      </w:r>
    </w:p>
    <w:p w14:paraId="360D13BF" w14:textId="77777777" w:rsidR="00E30B60" w:rsidRDefault="00CB547F">
      <w:pPr>
        <w:pStyle w:val="ListParagraph"/>
        <w:numPr>
          <w:ilvl w:val="0"/>
          <w:numId w:val="9"/>
        </w:numPr>
        <w:tabs>
          <w:tab w:val="left" w:pos="786"/>
        </w:tabs>
        <w:spacing w:before="128"/>
        <w:ind w:right="0"/>
        <w:rPr>
          <w:sz w:val="20"/>
        </w:rPr>
      </w:pPr>
      <w:r>
        <w:rPr>
          <w:sz w:val="20"/>
        </w:rPr>
        <w:t>Joogitopsid, sealhulgas nende korgid ja kaaned;</w:t>
      </w:r>
    </w:p>
    <w:p w14:paraId="0582B242" w14:textId="72429979" w:rsidR="00E30B60" w:rsidRPr="001C20F1" w:rsidRDefault="00CB547F" w:rsidP="001C20F1">
      <w:pPr>
        <w:pStyle w:val="ListParagraph"/>
        <w:numPr>
          <w:ilvl w:val="0"/>
          <w:numId w:val="9"/>
        </w:numPr>
        <w:tabs>
          <w:tab w:val="left" w:pos="786"/>
        </w:tabs>
        <w:spacing w:before="105" w:line="244" w:lineRule="auto"/>
        <w:rPr>
          <w:sz w:val="20"/>
        </w:rPr>
      </w:pPr>
      <w:r>
        <w:rPr>
          <w:sz w:val="20"/>
        </w:rPr>
        <w:lastRenderedPageBreak/>
        <w:t>toidupakendid, st kaanega või ilma kaaneta karbid toiduainete jaoks,</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mis on ette nähtud kohe tarbimiseks kas müügikohas või mujal kui müügikohas;</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mida tarbitakse tavaliselt sellest pakendist; ning</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mis on valmis tarbimiseks ilma järelküpsetamise, -keetmise või -soojendamiseta;</w:t>
      </w:r>
    </w:p>
    <w:p w14:paraId="6B251702" w14:textId="77777777" w:rsidR="00E30B60" w:rsidRDefault="00CB547F">
      <w:pPr>
        <w:pStyle w:val="BodyText"/>
        <w:spacing w:before="216" w:line="276" w:lineRule="auto"/>
        <w:ind w:left="785" w:right="103" w:firstLine="226"/>
        <w:jc w:val="both"/>
      </w:pPr>
      <w:r>
        <w:t>k.a kiirtoidu või muu kohe tarbimiseks mõeldud toidu pakkumiseks kasutatavad pakendid, v.a joogipakendid, taldrikud ning toitu sisaldavad pakid ja pakkematerjalid;</w:t>
      </w:r>
    </w:p>
    <w:p w14:paraId="08F0A563" w14:textId="77777777" w:rsidR="00E30B60" w:rsidRDefault="00CB547F">
      <w:pPr>
        <w:pStyle w:val="BodyText"/>
        <w:spacing w:before="187"/>
        <w:ind w:left="1230" w:right="834"/>
        <w:jc w:val="center"/>
        <w:rPr>
          <w:b/>
        </w:rPr>
      </w:pPr>
      <w:r>
        <w:rPr>
          <w:b/>
        </w:rPr>
        <w:t>OSA B</w:t>
      </w:r>
    </w:p>
    <w:p w14:paraId="13056B9C" w14:textId="77777777" w:rsidR="00E30B60" w:rsidRDefault="00CB547F">
      <w:pPr>
        <w:pStyle w:val="BodyText"/>
        <w:spacing w:before="231"/>
        <w:ind w:left="729"/>
        <w:rPr>
          <w:b/>
        </w:rPr>
      </w:pPr>
      <w:r>
        <w:rPr>
          <w:b/>
        </w:rPr>
        <w:t>Nende ühekordselt kasutatavate plasttoodete turule laskmine Slovaki Vabariigis on keelatud</w:t>
      </w:r>
    </w:p>
    <w:p w14:paraId="51FDEC54" w14:textId="77777777" w:rsidR="00E30B60" w:rsidRDefault="00CB547F">
      <w:pPr>
        <w:pStyle w:val="ListParagraph"/>
        <w:numPr>
          <w:ilvl w:val="0"/>
          <w:numId w:val="8"/>
        </w:numPr>
        <w:tabs>
          <w:tab w:val="left" w:pos="786"/>
        </w:tabs>
        <w:spacing w:before="128"/>
        <w:ind w:right="0"/>
        <w:rPr>
          <w:sz w:val="20"/>
        </w:rPr>
      </w:pPr>
      <w:r>
        <w:rPr>
          <w:sz w:val="20"/>
        </w:rPr>
        <w:t>Puuvillast kõrvatikud, mis ei ole hõlmatud eriõigusaktidega;</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söögiriistad (kahvlid, noad, lusikad, söögipulgad);</w:t>
      </w:r>
    </w:p>
    <w:p w14:paraId="270DDFA9" w14:textId="77777777" w:rsidR="00E30B60" w:rsidRDefault="00CB547F">
      <w:pPr>
        <w:pStyle w:val="ListParagraph"/>
        <w:numPr>
          <w:ilvl w:val="0"/>
          <w:numId w:val="8"/>
        </w:numPr>
        <w:tabs>
          <w:tab w:val="left" w:pos="786"/>
        </w:tabs>
        <w:spacing w:before="105"/>
        <w:ind w:right="0"/>
        <w:rPr>
          <w:sz w:val="20"/>
        </w:rPr>
      </w:pPr>
      <w:r>
        <w:rPr>
          <w:sz w:val="20"/>
        </w:rPr>
        <w:t>taldrikud;</w:t>
      </w:r>
    </w:p>
    <w:p w14:paraId="5A4A28E4" w14:textId="77777777" w:rsidR="00E30B60" w:rsidRDefault="00CB547F">
      <w:pPr>
        <w:pStyle w:val="ListParagraph"/>
        <w:numPr>
          <w:ilvl w:val="0"/>
          <w:numId w:val="8"/>
        </w:numPr>
        <w:tabs>
          <w:tab w:val="left" w:pos="786"/>
        </w:tabs>
        <w:spacing w:before="105"/>
        <w:ind w:right="0"/>
        <w:rPr>
          <w:sz w:val="20"/>
        </w:rPr>
      </w:pPr>
      <w:r>
        <w:rPr>
          <w:sz w:val="20"/>
        </w:rPr>
        <w:t>kõrred, mis ei ole hõlmatud eriõigusaktidega;</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joogisegajad;</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õhupallide külge kinnitatavad ja neid toetavad varred, välja arvatud tööstuslikuks või muuks kutseliseks kasutuseks ja otstarbeks mõeldud õhupallid, mida tarbijatele ei turustata, sealhulgas selliste varte mehhanismid;</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vahtpolüstüreenist valmistatud toidupakendid, st pakendid, näiteks kaanega või ilma kaaneta karbid toiduainete jaoks, mida kasutatakse toiduainete jaoks,</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mis on ette nähtud kohe tarbimiseks kas müügikohas või mujal kui müügikohas;</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mida tarbitakse tavaliselt sellest pakendist; ning</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mis on valmis tarbimiseks ilma järelküpsetamise, -keetmise või -soojendamiseta;</w:t>
      </w:r>
    </w:p>
    <w:p w14:paraId="2B86D403" w14:textId="77777777" w:rsidR="00E30B60" w:rsidRDefault="00CB547F">
      <w:pPr>
        <w:pStyle w:val="BodyText"/>
        <w:spacing w:before="216" w:line="276" w:lineRule="auto"/>
        <w:ind w:left="785" w:right="103" w:firstLine="226"/>
        <w:jc w:val="both"/>
      </w:pPr>
      <w:r>
        <w:t>k.a kiirtoidu või muu kohe tarbimiseks mõeldud toidu pakkumiseks kasutatavad pakendid, v.a joogipakendid, taldrikud ning toitu sisaldavad pakid ja pakkematerjalid;</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vahtpolüstüreenist joogipakendid, sealhulgas nende korgid ja kaaned;</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vahtpolüstüreenist joogitopsid, sealhulgas nende korgid ja kaaned.</w:t>
      </w:r>
    </w:p>
    <w:p w14:paraId="5A3D23E4" w14:textId="77777777" w:rsidR="00E30B60" w:rsidRDefault="00CB547F">
      <w:pPr>
        <w:pStyle w:val="BodyText"/>
        <w:spacing w:before="208"/>
        <w:ind w:left="1230" w:right="834"/>
        <w:jc w:val="center"/>
        <w:rPr>
          <w:b/>
        </w:rPr>
      </w:pPr>
      <w:r>
        <w:rPr>
          <w:b/>
        </w:rPr>
        <w:t>OSA C</w:t>
      </w:r>
    </w:p>
    <w:p w14:paraId="7696BE96" w14:textId="77777777" w:rsidR="00E30B60" w:rsidRDefault="00CB547F">
      <w:pPr>
        <w:pStyle w:val="BodyText"/>
        <w:spacing w:before="231" w:line="297" w:lineRule="auto"/>
        <w:ind w:left="502" w:right="103" w:firstLine="226"/>
        <w:jc w:val="both"/>
        <w:rPr>
          <w:b/>
        </w:rPr>
      </w:pPr>
      <w:r>
        <w:rPr>
          <w:b/>
        </w:rPr>
        <w:t>Ühekordselt kasutatavad plasttooted, mida võib seaduse paragrahvi 75d lõikes 1 sätestatud nõude kohaselt turule lasta</w:t>
      </w:r>
    </w:p>
    <w:p w14:paraId="101A7BC1" w14:textId="77777777" w:rsidR="00E30B60" w:rsidRDefault="00CB547F">
      <w:pPr>
        <w:pStyle w:val="BodyText"/>
        <w:spacing w:before="185" w:line="276" w:lineRule="auto"/>
        <w:ind w:left="502" w:right="103" w:firstLine="226"/>
        <w:jc w:val="both"/>
      </w:pPr>
      <w:r>
        <w:t>Joogipakendid, mis ei ületa kolme liitrit, st pakendid vedelike jaoks, näiteks joogipudelid, sh korgid ja kaaned, ning kombineeritud joogipakendid, k.a korgid ja kaaned, välja arvatud:</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plastkorkide ja -kaantega klaasist või metallist joogipakendid;</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meditsiiniliseks eriotstarbeks ettenähtud ja vedelal kujul toiduks kasutatavad joogipakendid, mille suhtes kehtivad eriõigusaktid.</w:t>
      </w:r>
      <w:r>
        <w:rPr>
          <w:sz w:val="10"/>
        </w:rPr>
        <w:t>163</w:t>
      </w:r>
      <w:r>
        <w:rPr>
          <w:sz w:val="20"/>
        </w:rPr>
        <w:t>)</w:t>
      </w:r>
    </w:p>
    <w:p w14:paraId="5A8C8B95" w14:textId="77777777" w:rsidR="00E30B60" w:rsidRDefault="00CB547F">
      <w:pPr>
        <w:pStyle w:val="BodyText"/>
        <w:spacing w:before="203"/>
        <w:ind w:left="1230" w:right="834"/>
        <w:jc w:val="center"/>
        <w:rPr>
          <w:b/>
        </w:rPr>
      </w:pPr>
      <w:r>
        <w:rPr>
          <w:b/>
        </w:rPr>
        <w:t>OSA D</w:t>
      </w:r>
    </w:p>
    <w:p w14:paraId="43A76956" w14:textId="288C4191" w:rsidR="00E30B60" w:rsidRDefault="00CB547F" w:rsidP="00D0358C">
      <w:pPr>
        <w:pStyle w:val="BodyText"/>
        <w:spacing w:before="231"/>
        <w:ind w:left="729"/>
        <w:rPr>
          <w:b/>
        </w:rPr>
      </w:pPr>
      <w:r>
        <w:rPr>
          <w:b/>
        </w:rPr>
        <w:t>Ühekordselt kasutatavad plasttooted, mis peavad vastama seaduse paragrahvi 75e kohasele märgistamisnõudele</w:t>
      </w:r>
    </w:p>
    <w:p w14:paraId="0880F258" w14:textId="77777777" w:rsidR="00E30B60" w:rsidRDefault="00E30B60">
      <w:pPr>
        <w:sectPr w:rsidR="00E30B60">
          <w:pgSz w:w="11910" w:h="16840"/>
          <w:pgMar w:top="1160" w:right="1000" w:bottom="280" w:left="1000" w:header="796" w:footer="0" w:gutter="0"/>
          <w:cols w:space="720"/>
        </w:sectPr>
      </w:pP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Hügieenisidemed, tampoonid ja tampooniaplikaatorid.</w:t>
      </w:r>
    </w:p>
    <w:p w14:paraId="50510A03" w14:textId="77777777" w:rsidR="00E30B60" w:rsidRDefault="00CB547F">
      <w:pPr>
        <w:pStyle w:val="ListParagraph"/>
        <w:numPr>
          <w:ilvl w:val="0"/>
          <w:numId w:val="6"/>
        </w:numPr>
        <w:tabs>
          <w:tab w:val="left" w:pos="786"/>
        </w:tabs>
        <w:spacing w:before="106"/>
        <w:ind w:right="0"/>
        <w:rPr>
          <w:sz w:val="20"/>
        </w:rPr>
      </w:pPr>
      <w:r>
        <w:rPr>
          <w:sz w:val="20"/>
        </w:rPr>
        <w:t>Niisked salvrätid, st eelniisutatud isiklikud hügieenilised salvrätid ja majapidamises kasutatavad puhastuslapid.</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}tubakatooted, mis sisaldavad filtreid, ja koos tubakatoodetega kasutamiseks turustatavad filtrid.</w:t>
      </w:r>
    </w:p>
    <w:p w14:paraId="40A96525" w14:textId="77777777" w:rsidR="00E30B60" w:rsidRDefault="00CB547F">
      <w:pPr>
        <w:pStyle w:val="ListParagraph"/>
        <w:numPr>
          <w:ilvl w:val="0"/>
          <w:numId w:val="6"/>
        </w:numPr>
        <w:tabs>
          <w:tab w:val="left" w:pos="786"/>
        </w:tabs>
        <w:spacing w:before="101"/>
        <w:ind w:right="0"/>
        <w:rPr>
          <w:sz w:val="20"/>
        </w:rPr>
      </w:pPr>
      <w:r>
        <w:rPr>
          <w:sz w:val="20"/>
        </w:rPr>
        <w:t>Joogitopsid.</w:t>
      </w:r>
    </w:p>
    <w:p w14:paraId="3D9A0DD0" w14:textId="77777777" w:rsidR="00E30B60" w:rsidRDefault="00CB547F">
      <w:pPr>
        <w:pStyle w:val="BodyText"/>
        <w:spacing w:before="208"/>
        <w:ind w:left="1230" w:right="834"/>
        <w:jc w:val="center"/>
        <w:rPr>
          <w:b/>
        </w:rPr>
      </w:pPr>
      <w:r>
        <w:rPr>
          <w:b/>
        </w:rPr>
        <w:t>Osa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Seaduse paragrahvi 75f lõigetega 1 ja 4 hõlmatud ühekordseks kasutamiseks mõeldud plasttooted</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Toidupakendid, st kaanega või ilma kaaneta karbid toiduainete jaoks,</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mis on ette nähtud kohe tarbimiseks kas müügikohas või mujal kui müügikohas;</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mida tarbitakse tavaliselt sellest pakendist; ning</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mis on valmis tarbimiseks ilma järelküpsetamise, -keetmise või -soojendamiseta;</w:t>
      </w:r>
    </w:p>
    <w:p w14:paraId="0138E3D4" w14:textId="77777777" w:rsidR="00E30B60" w:rsidRDefault="00CB547F">
      <w:pPr>
        <w:pStyle w:val="BodyText"/>
        <w:spacing w:before="200" w:line="276" w:lineRule="auto"/>
        <w:ind w:left="785" w:right="103" w:firstLine="226"/>
        <w:jc w:val="both"/>
      </w:pPr>
      <w:r>
        <w:t>k.a kiirtoidu või muu kohe tarbimiseks mõeldud toidu pakkumiseks kasutatavad pakendid, v.a joogipakendid, taldrikud ning toitu sisaldavad pakid ja pakkematerjalid;</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painduvast materjalist valmistatud pakid ja pakkematerjal, millest pakutakse valmistoitu, mis on mõeldud kohe tarbimiseks otse pakist või pakkematerjalist;</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kuni kolm liitrit mahutavad joogipakendid, st vedelike jaoks mõeldud mahutid, näiteks joogipudelid, k.a nende korgid ja kaaned ning komposiitjoogipakendid, k.a nende korgid ja kaaned, välja arvatud klaasist ja metallist joogipakendid, millel on plastkorgid ja -kaaned;</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joogitopsid, sealhulgas nende korgid ja kaaned;</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õhukesed plastkandekotid.</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Seaduse paragrahvi 75f lõigetega 1, 3 ja 4 hõlmatud ühekordselt kasutatavad plasttooted</w:t>
      </w:r>
    </w:p>
    <w:p w14:paraId="4BA744C0" w14:textId="77777777" w:rsidR="00E30B60" w:rsidRDefault="00CB547F">
      <w:pPr>
        <w:pStyle w:val="ListParagraph"/>
        <w:numPr>
          <w:ilvl w:val="0"/>
          <w:numId w:val="4"/>
        </w:numPr>
        <w:tabs>
          <w:tab w:val="left" w:pos="786"/>
        </w:tabs>
        <w:spacing w:before="143"/>
        <w:ind w:right="0"/>
        <w:rPr>
          <w:sz w:val="20"/>
        </w:rPr>
      </w:pPr>
      <w:r>
        <w:rPr>
          <w:sz w:val="20"/>
        </w:rPr>
        <w:t>Niisked salvrätid, st eelniisutatud isiklikud hügieenilised salvrätid ja majapidamises kasutatavad puhastuslapid;</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õhupallid, v.a õhupallid, mida ei tarnita tarbijatele ja mis on mõeldud tööstuslikud või muuks kutseliseks kasutuseks ja tarbeks.</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Muud seaduse paragrahvi 75f lõigetega 1–4 hõlmatud ühekordselt kasutatavad plasttooted</w:t>
      </w:r>
    </w:p>
    <w:p w14:paraId="475248E0" w14:textId="77777777" w:rsidR="00E30B60" w:rsidRDefault="00CB547F">
      <w:pPr>
        <w:pStyle w:val="BodyText"/>
        <w:spacing w:before="43" w:line="276" w:lineRule="auto"/>
        <w:ind w:left="502" w:firstLine="226"/>
      </w:pPr>
      <w:r>
        <w:t>Tubakatooted, mis sisaldavad filtreid, ja koos tubakatoodetega kasutamiseks turustatavad filtrid.</w:t>
      </w:r>
    </w:p>
    <w:p w14:paraId="3AC28F65" w14:textId="77777777" w:rsidR="00E30B60" w:rsidRDefault="00CB547F">
      <w:pPr>
        <w:pStyle w:val="BodyText"/>
        <w:spacing w:before="188"/>
        <w:ind w:left="1230" w:right="834"/>
        <w:jc w:val="center"/>
        <w:rPr>
          <w:b/>
        </w:rPr>
      </w:pPr>
      <w:r>
        <w:rPr>
          <w:b/>
        </w:rPr>
        <w:t>OSA F</w:t>
      </w:r>
    </w:p>
    <w:p w14:paraId="5503DD3F" w14:textId="77777777" w:rsidR="00E30B60" w:rsidRDefault="00CB547F">
      <w:pPr>
        <w:pStyle w:val="BodyText"/>
        <w:spacing w:before="230" w:line="297" w:lineRule="auto"/>
        <w:ind w:left="502" w:firstLine="226"/>
        <w:rPr>
          <w:b/>
        </w:rPr>
      </w:pPr>
      <w:r>
        <w:rPr>
          <w:b/>
        </w:rPr>
        <w:t>Ühekordselt kasutatavad plasttooted, mida võib seaduse paragrahvi 75d lõikes 4 sätestatud nõude kohaselt turule lasta</w:t>
      </w:r>
    </w:p>
    <w:p w14:paraId="104BA5A3" w14:textId="77777777" w:rsidR="00E30B60" w:rsidRDefault="00CB547F">
      <w:pPr>
        <w:pStyle w:val="BodyText"/>
        <w:spacing w:before="186"/>
        <w:ind w:left="729"/>
      </w:pPr>
      <w:r>
        <w:t>Kuni kolmeliitrised joogipudelid, kaasa arvatud korgid ja kaaned, välja arvatud:</w:t>
      </w:r>
    </w:p>
    <w:p w14:paraId="411E1955" w14:textId="77777777" w:rsidR="00E30B60" w:rsidRDefault="00CB547F">
      <w:pPr>
        <w:pStyle w:val="ListParagraph"/>
        <w:numPr>
          <w:ilvl w:val="0"/>
          <w:numId w:val="3"/>
        </w:numPr>
        <w:tabs>
          <w:tab w:val="left" w:pos="786"/>
        </w:tabs>
        <w:spacing w:before="120"/>
        <w:ind w:right="0"/>
        <w:rPr>
          <w:sz w:val="20"/>
        </w:rPr>
      </w:pPr>
      <w:r>
        <w:rPr>
          <w:sz w:val="20"/>
        </w:rPr>
        <w:t>plastkorkide ja -kaantega klaasist või metallist joogipudelid;</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meditsiiniliseks eriotstarbeks ettenähtud ja vedelal kujul toiduks kasutatavad joogipudelid, mille suhtes kehtivad eriõigusaktid.</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lastRenderedPageBreak/>
        <w:t>OSA G</w:t>
      </w:r>
    </w:p>
    <w:p w14:paraId="0B3CFA54" w14:textId="416D168C" w:rsidR="00E30B60" w:rsidRDefault="00CB547F" w:rsidP="00470FBD">
      <w:pPr>
        <w:pStyle w:val="BodyText"/>
        <w:keepNext/>
        <w:keepLines/>
        <w:spacing w:before="231"/>
        <w:ind w:left="729"/>
        <w:rPr>
          <w:b/>
          <w:sz w:val="17"/>
        </w:rPr>
      </w:pPr>
      <w:r>
        <w:rPr>
          <w:b/>
        </w:rPr>
        <w:t>Seaduse paragrahviga 75 g hõlmatud ühekordselt kasutatavad plasttooted</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Toidupakendid, st kaanega või ilma kaaneta karbid toiduainete jaoks,</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mis on ette nähtud kohe tarbimiseks kas müügikohas või mujal kui müügikohas;</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mida tarbitakse tavaliselt sellest pakendist; ning</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mis on valmis tarbimiseks ilma järelküpsetamise, -keetmise või -soojendamiseta;</w:t>
      </w:r>
    </w:p>
    <w:p w14:paraId="43510610" w14:textId="77777777" w:rsidR="00E30B60" w:rsidRDefault="00CB547F">
      <w:pPr>
        <w:pStyle w:val="BodyText"/>
        <w:spacing w:before="216" w:line="276" w:lineRule="auto"/>
        <w:ind w:left="785" w:right="103" w:firstLine="226"/>
        <w:jc w:val="both"/>
      </w:pPr>
      <w:r>
        <w:t>k.a kiirtoidu või muu kohe tarbimiseks mõeldud toidu pakkumiseks kasutatavad pakendid, v.a joogipakendid, taldrikud ning toitu sisaldavad pakid ja pakkematerjalid;</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painduvast materjalist valmistatud pakid ja pakkematerjal, millest pakutakse valmistoitu, mis on mõeldud kohe tarbimiseks otse pakist või pakkematerjalist;</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kuni kolm liitrit mahutavad joogipakendid, st vedelike jaoks mõeldud mahutid, näiteks joogipudelid, k.a nende korgid ja kaaned ning komposiitjoogipakendid, k.a nende korgid ja kaaned, välja arvatud klaasist ja metallist joogipakendid, millel on plastkorgid ja -kaaned;</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joogitopsid, sealhulgas nende korgid ja kaaned;</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tubakatooted, mis sisaldavad filtreid, ja koos tubakatoodetega kasutamiseks turustatavad filtrid;</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niisked salvrätid, st eelniisutatud isiklikud hügieenilised salvrätid ja majapidamises kasutatavad puhastuslapid;</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õhupallid, v.a õhupallid, mida ei tarnita tarbijatele ja mis on mõeldud tööstuslikud või muuks kutseliseks kasutuseks ja tarbeks;</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õhukesed plastkandekotid;</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hügieenisidemed, tampoonid ja tampooniaplikaatorid.“ Joonealused märkused 162–164 sõnastatakse järgmiselt.</w:t>
      </w:r>
    </w:p>
    <w:p w14:paraId="159DB5FD" w14:textId="77777777" w:rsidR="00E30B60" w:rsidRDefault="00CB547F">
      <w:pPr>
        <w:spacing w:line="244" w:lineRule="auto"/>
        <w:ind w:left="729" w:right="103"/>
        <w:jc w:val="both"/>
        <w:rPr>
          <w:sz w:val="18"/>
        </w:rPr>
      </w:pPr>
      <w:r>
        <w:rPr>
          <w:sz w:val="18"/>
        </w:rPr>
        <w:t>„</w:t>
      </w:r>
      <w:r>
        <w:rPr>
          <w:sz w:val="10"/>
        </w:rPr>
        <w:t>162</w:t>
      </w:r>
      <w:r>
        <w:rPr>
          <w:sz w:val="18"/>
        </w:rPr>
        <w:t>)Näiteks seadus nr 362/2011 ravimite ja meditsiiniseadmete ning teatavate õigusaktide muutmise kohta (muudetud kujul), seadus nr 362/2011 ravimite ja meditsiiniseadmete ning teatavate õigusaktide muutmise kohta (muudetud kujul).</w:t>
      </w:r>
    </w:p>
    <w:p w14:paraId="5E5B56BE" w14:textId="62F04962" w:rsidR="00E30B60" w:rsidRDefault="00CB547F">
      <w:pPr>
        <w:spacing w:before="99" w:line="244" w:lineRule="auto"/>
        <w:ind w:left="729" w:right="103"/>
        <w:jc w:val="both"/>
        <w:rPr>
          <w:sz w:val="18"/>
        </w:rPr>
      </w:pPr>
      <w:r>
        <w:rPr>
          <w:sz w:val="10"/>
        </w:rPr>
        <w:t>163</w:t>
      </w:r>
      <w:r>
        <w:rPr>
          <w:sz w:val="18"/>
        </w:rPr>
        <w:t>) Euroopa Parlamendi ja nõukogu 12. juuni 2013. aasta määrus (EL) nr 609/2013 imikute ja väikelaste toidu, meditsiinilisel näidustusel kasutamiseks ettenähtud toidu ning kehakaalu alandamiseks ettenähtud päevase toidu asendajate kohta, millega tunnistatakse kehtetuks nõukogu direktiiv 92/52/EMÜ, komisjoni direktiivid 96/8/EÜ, 1999/21/EÜ, 2006/125/EÜ ja 2006/141/EÜ, Euroopa Parlamendi ja nõukogu direktiiv 2009/39/EÜ ning komisjoni määrused (EÜ) nr 41/2009 ja (EÜ) nr 953/2009 (ELT L 181, 29.6.2013), muudetud kujul.</w:t>
      </w:r>
    </w:p>
    <w:p w14:paraId="711B9AD3" w14:textId="77777777" w:rsidR="00E30B60" w:rsidRDefault="00CB547F">
      <w:pPr>
        <w:spacing w:before="103" w:line="244" w:lineRule="auto"/>
        <w:ind w:left="729" w:right="103"/>
        <w:jc w:val="both"/>
        <w:rPr>
          <w:sz w:val="18"/>
        </w:rPr>
      </w:pPr>
      <w:r>
        <w:rPr>
          <w:sz w:val="10"/>
        </w:rPr>
        <w:t>164</w:t>
      </w:r>
      <w:r>
        <w:rPr>
          <w:sz w:val="18"/>
        </w:rPr>
        <w:t>) Jäätmeid ja teatavate õigusaktide muudatusi käsitleva seaduse nr 79/2015 (muudetud kujul) paragrahvi 52 lõige 27.“.</w:t>
      </w:r>
    </w:p>
    <w:p w14:paraId="4B0F8EC2" w14:textId="77777777" w:rsidR="00E30B60" w:rsidRDefault="00CB547F">
      <w:pPr>
        <w:pStyle w:val="BodyText"/>
        <w:spacing w:before="205"/>
        <w:ind w:left="105" w:right="105"/>
        <w:jc w:val="center"/>
        <w:rPr>
          <w:b/>
        </w:rPr>
      </w:pPr>
      <w:r>
        <w:rPr>
          <w:b/>
        </w:rPr>
        <w:t>II artikkel</w:t>
      </w:r>
    </w:p>
    <w:p w14:paraId="2EE476EE" w14:textId="2C3D0D68" w:rsidR="00E30B60" w:rsidRDefault="00CB547F">
      <w:pPr>
        <w:pStyle w:val="BodyText"/>
        <w:spacing w:before="217" w:line="276" w:lineRule="auto"/>
        <w:ind w:left="105" w:right="103" w:firstLine="226"/>
        <w:jc w:val="both"/>
      </w:pPr>
      <w:r>
        <w:t>Seadust nr 302/2019 ühekordselt kasutatavate joogipakendite tagatisraha kava ja teatavate õigusaktide muutmise kohta, mida on muudetud seadusega nr 74/2020, seadusega nr 285/2020 ja seadusega nr 372/2021, muudetakse järgmiselt.</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Paragrahvi 4 lõike 1 punktis h asendatakse tekst „l ja m“ tekstiga „l, m ja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Paragrahvi 7 lõikele 1 lisatakse punkt v:</w:t>
      </w:r>
    </w:p>
    <w:p w14:paraId="05E6705E" w14:textId="1AC38935" w:rsidR="00E30B60" w:rsidRDefault="00CB547F">
      <w:pPr>
        <w:pStyle w:val="BodyText"/>
        <w:spacing w:before="105" w:line="244" w:lineRule="auto"/>
        <w:ind w:left="785" w:right="103" w:hanging="397"/>
        <w:jc w:val="both"/>
      </w:pPr>
      <w:r>
        <w:t>„v) esitab ministeeriumile aruande ringlussevõetud plasti sisalduse kohta toodetes kooskõlas pakenditootja kohustustega vastavalt eriõigusaktidele</w:t>
      </w:r>
      <w:r>
        <w:rPr>
          <w:sz w:val="10"/>
        </w:rPr>
        <w:t>11a</w:t>
      </w:r>
      <w:r>
        <w:t>) hiljemalt 30. aprilliks eelmise kalendriaasta kohta.“.</w:t>
      </w:r>
    </w:p>
    <w:p w14:paraId="747169BD" w14:textId="77777777" w:rsidR="00E30B60" w:rsidRDefault="00CB547F">
      <w:pPr>
        <w:pStyle w:val="BodyText"/>
        <w:spacing w:before="102"/>
        <w:ind w:left="615"/>
        <w:jc w:val="both"/>
      </w:pPr>
      <w:r>
        <w:t>Joonealune märkus 11a on sõnastatud järgmiselt:</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Jäätmeid ja teatavate õigusaktide muudatusi käsitleva seaduse nr 79/2015 (muudetud kujul) paragrahvi 75d lõiked 4 ja 5.“</w:t>
      </w:r>
    </w:p>
    <w:p w14:paraId="15C87AD5" w14:textId="77777777" w:rsidR="00E30B60" w:rsidRDefault="00CB547F">
      <w:pPr>
        <w:pStyle w:val="ListParagraph"/>
        <w:numPr>
          <w:ilvl w:val="0"/>
          <w:numId w:val="1"/>
        </w:numPr>
        <w:tabs>
          <w:tab w:val="left" w:pos="389"/>
        </w:tabs>
        <w:spacing w:before="102"/>
        <w:ind w:right="0"/>
        <w:jc w:val="both"/>
        <w:rPr>
          <w:sz w:val="20"/>
        </w:rPr>
      </w:pPr>
      <w:r>
        <w:rPr>
          <w:sz w:val="20"/>
        </w:rPr>
        <w:t>Paragrahvi 13 punktis i lisatakse teksti „p–s“ järele koma ja asendatakse tekst „ja u“ sõnadega „u ja v“.</w:t>
      </w:r>
    </w:p>
    <w:p w14:paraId="471CF07B" w14:textId="77777777" w:rsidR="00E30B60" w:rsidRDefault="00E30B60">
      <w:pPr>
        <w:jc w:val="both"/>
        <w:rPr>
          <w:sz w:val="20"/>
        </w:rPr>
        <w:sectPr w:rsidR="00E30B60">
          <w:pgSz w:w="11910" w:h="16840"/>
          <w:pgMar w:top="1160" w:right="1000" w:bottom="280" w:left="1000" w:header="796" w:footer="0" w:gutter="0"/>
          <w:cols w:space="720"/>
        </w:sectPr>
      </w:pPr>
    </w:p>
    <w:p w14:paraId="3C4273E1" w14:textId="77777777" w:rsidR="00E30B60" w:rsidRDefault="00E30B60">
      <w:pPr>
        <w:pStyle w:val="BodyText"/>
        <w:spacing w:before="11"/>
        <w:rPr>
          <w:sz w:val="17"/>
        </w:rPr>
      </w:pPr>
    </w:p>
    <w:p w14:paraId="5C64465E" w14:textId="77777777" w:rsidR="00E30B60" w:rsidRDefault="00CB547F">
      <w:pPr>
        <w:pStyle w:val="ListParagraph"/>
        <w:numPr>
          <w:ilvl w:val="0"/>
          <w:numId w:val="1"/>
        </w:numPr>
        <w:tabs>
          <w:tab w:val="left" w:pos="389"/>
        </w:tabs>
        <w:spacing w:before="125"/>
        <w:ind w:right="0"/>
        <w:rPr>
          <w:sz w:val="20"/>
        </w:rPr>
      </w:pPr>
      <w:r>
        <w:rPr>
          <w:sz w:val="20"/>
        </w:rPr>
        <w:t>IV artikli tekst „ja § 103 lõike 23 punkt 5“ jäetakse välja ning lõppu lisatakse järgmine tekst:</w:t>
      </w:r>
    </w:p>
    <w:p w14:paraId="0DEC76DE" w14:textId="77777777" w:rsidR="00E30B60" w:rsidRDefault="00CB547F">
      <w:pPr>
        <w:pStyle w:val="BodyText"/>
        <w:spacing w:before="6"/>
        <w:ind w:left="388"/>
      </w:pPr>
      <w:r>
        <w:t>„ja välja arvatud artikli III § 103 lõike 23 punkt 5, mis jõustub 1. jaanuaril 2023“.</w:t>
      </w:r>
    </w:p>
    <w:p w14:paraId="4398D9A5" w14:textId="77777777" w:rsidR="00E30B60" w:rsidRDefault="00CB547F">
      <w:pPr>
        <w:pStyle w:val="ListParagraph"/>
        <w:numPr>
          <w:ilvl w:val="0"/>
          <w:numId w:val="1"/>
        </w:numPr>
        <w:tabs>
          <w:tab w:val="left" w:pos="389"/>
        </w:tabs>
        <w:spacing w:before="105"/>
        <w:ind w:right="0"/>
        <w:rPr>
          <w:sz w:val="20"/>
        </w:rPr>
      </w:pPr>
      <w:r>
        <w:rPr>
          <w:sz w:val="20"/>
        </w:rPr>
        <w:t>Lisa 2 olemasolev tekst märgistatakse punktiga üks ja lisatakse järgmine punkt kaks:</w:t>
      </w:r>
    </w:p>
    <w:p w14:paraId="59E27538" w14:textId="77777777" w:rsidR="00E30B60" w:rsidRDefault="00CB547F">
      <w:pPr>
        <w:pStyle w:val="BodyText"/>
        <w:spacing w:before="105" w:line="244" w:lineRule="auto"/>
        <w:ind w:left="785" w:hanging="397"/>
      </w:pPr>
      <w:r>
        <w:t>„2. Euroopa Parlamendi ja nõukogu 5. juuni 2019. aasta direktiiv (EL) 2019/904 teatavate plasttoodete keskkonnamõju vähendamise kohta (ELT L 155, 12.6.2019).“</w:t>
      </w:r>
    </w:p>
    <w:p w14:paraId="5FB7BCDC" w14:textId="77777777" w:rsidR="00E30B60" w:rsidRDefault="00CB547F">
      <w:pPr>
        <w:pStyle w:val="BodyText"/>
        <w:spacing w:before="204"/>
        <w:ind w:left="105" w:right="105"/>
        <w:jc w:val="center"/>
        <w:rPr>
          <w:b/>
        </w:rPr>
      </w:pPr>
      <w:r>
        <w:rPr>
          <w:b/>
        </w:rPr>
        <w:t>III artikkel</w:t>
      </w:r>
    </w:p>
    <w:p w14:paraId="26D523C2" w14:textId="77777777" w:rsidR="00E30B60" w:rsidRDefault="00CB547F">
      <w:pPr>
        <w:pStyle w:val="BodyText"/>
        <w:spacing w:before="217" w:line="276" w:lineRule="auto"/>
        <w:ind w:left="105" w:right="103" w:firstLine="226"/>
        <w:jc w:val="both"/>
      </w:pPr>
      <w:r>
        <w:t>Käesolev seadus jõustub 1. detsembril 2021, välja arvatud I artikli punktid 3 ja 6, paragrahvi 75f lõige 1 ja punkt 11, mis jõustub 1. jaanuaril 2022, I artikli punkti 6 paragrahvi 75d lõige 1, mis jõustub 3. juulil 2024, I artikli punkti 6 paragrahvi 75f lõige d ja lõige 6, mis jõustuvad 1. detsembril 2021, I artikli punkti 6 paragrahvi 75d lõike 4 punkt a, mis jõustub 1. jaanuaril 2025, ja I artikli punkti 6 paragrahvi 75d lõike 4 punkt b, mis jõustub 1. jaanuaril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Čaputová m.p.</w:t>
      </w:r>
    </w:p>
    <w:p w14:paraId="076E5D6C" w14:textId="77777777" w:rsidR="00E30B60" w:rsidRDefault="00CB547F" w:rsidP="00D0358C">
      <w:pPr>
        <w:pStyle w:val="BodyText"/>
        <w:spacing w:before="246" w:line="489" w:lineRule="auto"/>
        <w:ind w:left="3971" w:right="3790" w:firstLine="66"/>
        <w:jc w:val="center"/>
        <w:rPr>
          <w:b/>
        </w:rPr>
      </w:pPr>
      <w:r>
        <w:rPr>
          <w:b/>
        </w:rPr>
        <w:t>Boris Kollár m.p. Eduard Heger m.p.</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0006BB22" w:rsidR="00E30B60" w:rsidRDefault="00870329">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 xml:space="preserve">Lk 11 </w:t>
      </w:r>
      <w:r w:rsidR="001C20F1">
        <w:tab/>
      </w:r>
      <w:r w:rsidR="00D0358C">
        <w:t xml:space="preserve">Slovaki Vabariigi seaduste kogu </w:t>
      </w:r>
      <w:r w:rsidR="00D0358C">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870329">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Slovaki Vabariigi seaduste kogu väljaandja, sisuhaldur ning õigus- ja infoportaali Slov-Lex käitaja, mis on kättesaadav aadressil </w:t>
      </w:r>
      <w:hyperlink r:id="rId10">
        <w:r>
          <w:rPr>
            <w:sz w:val="18"/>
          </w:rPr>
          <w:t>www.slov-lex.sk</w:t>
        </w:r>
      </w:hyperlink>
      <w:r>
        <w:rPr>
          <w:sz w:val="18"/>
        </w:rPr>
        <w:t>, on</w:t>
      </w:r>
    </w:p>
    <w:p w14:paraId="38FEE7A0" w14:textId="77777777" w:rsidR="00E30B60" w:rsidRDefault="00CB547F">
      <w:pPr>
        <w:spacing w:before="1" w:line="244" w:lineRule="auto"/>
        <w:ind w:left="1754" w:right="1752"/>
        <w:jc w:val="center"/>
        <w:rPr>
          <w:sz w:val="18"/>
        </w:rPr>
      </w:pPr>
      <w:r>
        <w:rPr>
          <w:sz w:val="18"/>
        </w:rPr>
        <w:t>Slovaki Vabariigi valitsuse kantselei, Námestie slobody 1, 813 70 Bratislava, tel: 02 888 91 131, e-post:</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6B56" w14:textId="77777777" w:rsidR="00870329" w:rsidRDefault="00870329">
      <w:r>
        <w:separator/>
      </w:r>
    </w:p>
  </w:endnote>
  <w:endnote w:type="continuationSeparator" w:id="0">
    <w:p w14:paraId="0E73430C" w14:textId="77777777" w:rsidR="00870329" w:rsidRDefault="0087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E3A0" w14:textId="77777777" w:rsidR="00870329" w:rsidRDefault="00870329">
      <w:r>
        <w:separator/>
      </w:r>
    </w:p>
  </w:footnote>
  <w:footnote w:type="continuationSeparator" w:id="0">
    <w:p w14:paraId="3C05B9D4" w14:textId="77777777" w:rsidR="00870329" w:rsidRDefault="0087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7777777" w:rsidR="00E30B60" w:rsidRDefault="00870329">
    <w:pPr>
      <w:pStyle w:val="BodyText"/>
      <w:spacing w:line="14" w:lineRule="auto"/>
    </w:pP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type id="_x0000_t202" coordsize="21600,21600" o:spt="202" path="m,l,21600r21600,l21600,xe">
          <v:stroke joinstyle="miter"/>
          <v:path gradientshapeok="t" o:connecttype="rect"/>
        </v:shapetype>
        <v:shape id="_x0000_s1031" type="#_x0000_t202" style="position:absolute;margin-left:54.25pt;margin-top:39.3pt;width:52.6pt;height:15.6pt;z-index:-252087296;mso-position-horizontal-relative:page;mso-position-vertical-relative:page" filled="f" stroked="f">
          <v:textbox style="mso-next-textbox:#_x0000_s1031" inset="0,0,0,0">
            <w:txbxContent>
              <w:p w14:paraId="18B8AB94" w14:textId="77777777" w:rsidR="00E30B60" w:rsidRDefault="00CB547F">
                <w:pPr>
                  <w:pStyle w:val="BodyText"/>
                  <w:spacing w:before="45"/>
                  <w:ind w:left="20"/>
                </w:pPr>
                <w:r>
                  <w:t xml:space="preserve">Lk </w:t>
                </w:r>
                <w:r>
                  <w:fldChar w:fldCharType="begin"/>
                </w:r>
                <w:r>
                  <w:instrText xml:space="preserve"> PAGE </w:instrText>
                </w:r>
                <w:r>
                  <w:fldChar w:fldCharType="separate"/>
                </w:r>
                <w:r>
                  <w:t>10</w:t>
                </w:r>
                <w:r>
                  <w:fldChar w:fldCharType="end"/>
                </w:r>
              </w:p>
            </w:txbxContent>
          </v:textbox>
          <w10:wrap anchorx="page" anchory="page"/>
        </v:shape>
      </w:pict>
    </w:r>
    <w:r>
      <w:pict w14:anchorId="51EF5594">
        <v:shape id="_x0000_s1030" type="#_x0000_t202" style="position:absolute;margin-left:202.8pt;margin-top:39.3pt;width:186.8pt;height:15.6pt;z-index:-252086272;mso-position-horizontal-relative:page;mso-position-vertical-relative:page" filled="f" stroked="f">
          <v:textbox style="mso-next-textbox:#_x0000_s1030" inset="0,0,0,0">
            <w:txbxContent>
              <w:p w14:paraId="7B7E7880" w14:textId="77777777" w:rsidR="00E30B60" w:rsidRDefault="00CB547F">
                <w:pPr>
                  <w:pStyle w:val="BodyText"/>
                  <w:spacing w:before="45"/>
                  <w:ind w:left="20"/>
                </w:pPr>
                <w:r>
                  <w:t>Slovaki Vabariigi seaduste kogu</w:t>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style="mso-next-textbox:#_x0000_s1029"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77777777" w:rsidR="00E30B60" w:rsidRDefault="00870329">
    <w:pPr>
      <w:pStyle w:val="BodyText"/>
      <w:spacing w:line="14" w:lineRule="auto"/>
    </w:pP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type id="_x0000_t202" coordsize="21600,21600" o:spt="202" path="m,l,21600r21600,l21600,xe">
          <v:stroke joinstyle="miter"/>
          <v:path gradientshapeok="t" o:connecttype="rect"/>
        </v:shapetype>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0C2195BF">
        <v:shape id="_x0000_s1026" type="#_x0000_t202" style="position:absolute;margin-left:202.8pt;margin-top:39.3pt;width:186.8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Slovaki Vabariigi seaduste kogu</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Lk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013EDD"/>
    <w:rsid w:val="0015790C"/>
    <w:rsid w:val="001C20F1"/>
    <w:rsid w:val="0029449E"/>
    <w:rsid w:val="00470FBD"/>
    <w:rsid w:val="00870329"/>
    <w:rsid w:val="00CB547F"/>
    <w:rsid w:val="00D0358C"/>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20F1"/>
    <w:pPr>
      <w:tabs>
        <w:tab w:val="center" w:pos="4536"/>
        <w:tab w:val="right" w:pos="9072"/>
      </w:tabs>
    </w:pPr>
  </w:style>
  <w:style w:type="character" w:customStyle="1" w:styleId="HeaderChar">
    <w:name w:val="Header Char"/>
    <w:basedOn w:val="DefaultParagraphFont"/>
    <w:link w:val="Header"/>
    <w:uiPriority w:val="99"/>
    <w:rsid w:val="001C20F1"/>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1C20F1"/>
    <w:pPr>
      <w:tabs>
        <w:tab w:val="center" w:pos="4536"/>
        <w:tab w:val="right" w:pos="9072"/>
      </w:tabs>
    </w:pPr>
  </w:style>
  <w:style w:type="character" w:customStyle="1" w:styleId="FooterChar">
    <w:name w:val="Footer Char"/>
    <w:basedOn w:val="DefaultParagraphFont"/>
    <w:link w:val="Footer"/>
    <w:uiPriority w:val="99"/>
    <w:rsid w:val="001C20F1"/>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3213</Words>
  <Characters>21919</Characters>
  <Application>Microsoft Office Word</Application>
  <DocSecurity>0</DocSecurity>
  <Lines>476</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2022-03-29T07:38:00Z</dcterms:created>
  <dcterms:modified xsi:type="dcterms:W3CDTF">2022-03-29T08:42:00Z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