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0198 F-- HU-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FRANCIA KÖZTÁRSASÁG</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Belügyminisztérium</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-i             sz. kormányrendelet</w:t>
      </w:r>
      <w:r>
        <w:rPr>
          <w:b/>
          <w:bCs/>
        </w:rPr>
        <w:br/>
      </w:r>
    </w:p>
    <w:p w:rsidR="002E1BE9" w:rsidRPr="00D80E56" w:rsidRDefault="00C3678D" w:rsidP="00D80E56">
      <w:pPr>
        <w:suppressAutoHyphens w:val="0"/>
        <w:jc w:val="center"/>
        <w:rPr>
          <w:b/>
          <w:bCs/>
        </w:rPr>
      </w:pPr>
      <w:r>
        <w:rPr>
          <w:b/>
          <w:bCs/>
        </w:rPr>
        <w:t>az egyéni közlekedési eszközök szabályozásáról</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NOR: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bCs/>
          <w:i/>
          <w:iCs/>
        </w:rPr>
        <w:t>Az érintettek köre</w:t>
      </w:r>
      <w:r>
        <w:rPr>
          <w:rStyle w:val="Policepardfaut"/>
          <w:i/>
          <w:iCs/>
        </w:rPr>
        <w:t>: úthasználók, területi önkormányzatok, rendvédelmi erők.</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bCs/>
          <w:i/>
          <w:iCs/>
        </w:rPr>
        <w:t>Tárgy</w:t>
      </w:r>
      <w:r>
        <w:rPr>
          <w:rStyle w:val="Policepardfaut"/>
          <w:i/>
          <w:iCs/>
        </w:rPr>
        <w:t>: az egyéni közlekedési eszközök műszaki jellemzőinek és közlekedési feltételeinek meghatározása.</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Hatálybalépés</w:t>
      </w:r>
      <w:r>
        <w:rPr>
          <w:rStyle w:val="Policepardfaut"/>
          <w:i/>
          <w:iCs/>
        </w:rPr>
        <w:t>: a kormányrendelet a közzétételét követő napon lép hatályba, a kormányrendelet-tervezet 4., 5., 7., 8. és 11. cikke kivételével, amelyek 2020. július 1-jén lépnek hatályba.</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Megjegyzés</w:t>
      </w:r>
      <w:r>
        <w:rPr>
          <w:rStyle w:val="Policepardfaut"/>
          <w:i/>
          <w:iCs/>
        </w:rPr>
        <w:t>: a tervezet célja, hogy a közúti közlekedési törvénykönyvben új járműkategóriákként határozza meg az egyéni közlekedési eszközöket, meghatározza azok műszaki jellemzőit és a közúton való használatukat. Többek között előírja azokat a felszereléseket, amelyeket az ilyen járművek vezetőinek viselniük kell, valamint azokat a közlekedési tereket, ahol a vezetők lakott területen és lakott területen kívül közlekedhetnek és közlekedniük kell. Meghatározza, hogy a polgármesterek milyen lehetőségekkel rendelkeznek ahhoz, hogy ettől az általános kerettől eltérjenek, többek között azt, hogy a polgármester engedélyezheti a járdán való közlekedést. Végül meghatározza az egyéni közlekedési eszközök vezetői ellen a vonatkozó rendelkezések be nem tartása esetén kiszabható büntetéseket.</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bCs/>
          <w:i/>
          <w:iCs/>
        </w:rPr>
        <w:t>Hivatkozások</w:t>
      </w:r>
      <w:r>
        <w:rPr>
          <w:rStyle w:val="Policepardfaut"/>
          <w:i/>
          <w:iCs/>
        </w:rPr>
        <w:t>: a kormányrendelet a közúti közlekedési törvénykönyv rendelkező részét módosítja, amely a módosítás szerinti változatában megtekinthető a Légifrance honlapján (</w:t>
      </w:r>
      <w:hyperlink r:id="rId7" w:history="1">
        <w:r>
          <w:rPr>
            <w:rStyle w:val="Hyperlink"/>
            <w:i/>
            <w:iCs/>
          </w:rPr>
          <w:t>http://www.legifrance.gouv.fr</w:t>
        </w:r>
      </w:hyperlink>
      <w:r>
        <w:rPr>
          <w:rStyle w:val="Policepardfaut"/>
          <w:i/>
          <w:iCs/>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A Miniszterelnök,</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a belügyminiszter jelentése alapján,</w:t>
      </w:r>
    </w:p>
    <w:p w:rsidR="00D80E56" w:rsidRPr="00D80E56" w:rsidRDefault="00D80E56" w:rsidP="00D80E56">
      <w:pPr>
        <w:suppressAutoHyphens w:val="0"/>
        <w:jc w:val="both"/>
      </w:pPr>
    </w:p>
    <w:p w:rsidR="002E1BE9" w:rsidRPr="00D80E56" w:rsidRDefault="00C3678D" w:rsidP="00D80E56">
      <w:pPr>
        <w:suppressAutoHyphens w:val="0"/>
        <w:jc w:val="both"/>
      </w:pPr>
      <w:r>
        <w:t>tekintettel a két- vagy háromkerekű járművek, valamint a négykerekű motorkerékpárok jóváhagyásáról és piacfelügyeletéről szóló, 2013. január 15-i 168/2013/EU európai parlamenti és tanácsi rendeletre, különösen annak 2. cikkére,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tekintettel a büntető törvénykönyvre, különösen annak R. 610-1. cikkére,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tekintettel a büntetőeljárási törvénykönyvre, különösen annak R. 49-2. cikkére,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tekintettel a közúti közlekedési törvénykönyvre,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tekintettel a közlekedésbiztonsági állandó tárcaközi csoport ...-i véleményére,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tekintettel a nemzeti szabványértékelő tanács ...-i véleményére,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tekintettel az Európai Bizottsághoz intézett 2019. ...-i ... számú értesítésre,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az Államtanács (állami beruházási szekció) meghallgatását követően,</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elrendeli a következőket:</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1. cikk</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A közúti közlekedési törvénykönyv a 2−29. cikknek megfelelően módosul.</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2.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Az R. 110-2. cikk a következők szerint módosul:</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A harmadik albekezdésben „az R. 431-9. cikk” szövegrész helyébe „az R. 412-43. és az R. 431-9. cikk” szövegrész lép;</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2. Az ötödik és a tizenegyedik albekezdés „a két- vagy háromkerekű kerékpárok” szövegrész után az „és a motoros egyéni közlekedési eszközök” szövegrésszel egészül ki;</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A tizennegyedik albekezdés „a motor nélküli járművek” szövegrész után az „a motoros egyéni közlekedési eszközök kivételével” szövegrésszel egészül ki;</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A tizenötödik és a tizenhatodik albekezdés „a kerékpárosok számára kétirányú forgalmú” szövegrész után az „és a motoros egyéni közlekedési eszközök vezetői” szövegrésszel egészül ki.</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3. cikk</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Az R. 311-1. cikk a 6.13. pont után a következő albekezdésekkel egészül ki:</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„6.14. Egyéni közlekedési eszköz: motoros vagy motor nélküli egyéni közlekedési eszköz.</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6.15. Motoros egyéni közlekedési eszköz: egyetlen személy közlekedésére szolgáló, ülőhely nélküli jármű, amelyen semmilyen áruszállításra szolgáló speciális felszerelés nincs, amely nem belsőégésű motorral vagy nem belsőégésű rásegítéssel felszerelt, és amelynek legnagyobb tervezési sebessége szigorúan nagyobb mint 6 km/h és nem haladja meg a 25 km/h-t. Nyereg azonban lehet rajta, amennyiben a közlekedési eszköz giroszkópos stabilizáló rendszerrel felszerelt. A kizárólag a csökkent mozgásképességű személyeknek szánt eszközök nem tartoznak bele ebbe a kategóriába.</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6.16. Motor nélküli egyéni közlekedési eszköz: kis méretű, motor nélküli jármű.”</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lastRenderedPageBreak/>
        <w:t>4. cikk</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Az R. 312-10. cikk az I. bekezdés 6. pontja után a következő 7. ponttal egészül ki: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„7. 0,90 méter a motoros egyéni közlekedési eszközök esetében.”</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5. cikk</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Az R. 312-11. cikk az I. bekezdés 11. pontja után a következő 12. ponttal egészül ki: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„12. Motoros egyéni közlekedési eszközök: 1,30 méter.”</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6.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Az R. 313-1. cikk a következők szerint módosul:</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A második albekezdés a „kerékpár” szó után a „vagy a motoros egyéni közlekedési eszköz vezetője”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2. A cikk az alábbi utolsó albekezdéssel egészül ki: „Az R. 313-2., R. 313-3., R. 313-3-1–313-3-4., R. 313-4-1., R. 313-6–R. 313-17. és R. 313-17-1. cikk rendelkezései nem alkalmazandók a motoros egyéni közlekedési eszközökre.”</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7.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313-4. cikk X. pontja, az R. 313-5. és az R. 313-18. cikk V. pontja, az R. 313-19. cikk III. pontja, az R. 313-20. cikk IV. pontja, az R. 313-33. cikk harmadik albekezdése a „minden kerékpár” szövegrész után a „vagy motoros egyéni közlekedési eszköz”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8.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313-4. cikk XIII. pontja, az R. 313-5. és az R. 313-18. cikk XI. pontja, az R. 313-19. cikk V. pontja, az R. 313-20. cikk VIII. pontja és az R. 313-33. cikk utolsó albekezdése a „minden kerékpár” szövegrész után a „vagy motoros egyéni közlekedési eszköz vezetője”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9.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Az R. 314-1. cikk a következők szerint módosul:</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1. Az első albekezdés a „mezőgazdasági gépek” szövegrész után az „és motoros egyéni közlekedési eszközök”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2. Az ötödik albekezdés „mezőgazdasági gépek” szövegrész után az „és motoros egyéni közlekedési eszközök”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lastRenderedPageBreak/>
        <w:t>10.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315-1. cikk I. pontja az „állami beruházások” szövegrész után az „és a motoros egyéni közlekedési eszközök”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11.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Az R. 315-6. cikk után a szöveg az alábbi R. 315-7. cikkel egészül ki:</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R. 315-7. cikk – </w:t>
      </w:r>
      <w:r>
        <w:rPr>
          <w:rStyle w:val="Policepardfaut"/>
        </w:rPr>
        <w:t>I. – Minden motoros egyéni közlekedési eszközt hatékony fékberendezéssel kell felszerelni.</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II. – E cikk rendelkezéseinek megszegése az első osztályba sorolt szabálysértésekért kir</w:t>
      </w:r>
      <w:r w:rsidR="005840D0">
        <w:t>óható pénzbírsággal büntetendő.</w:t>
      </w:r>
      <w:r>
        <w:t>”</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12.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316-4. cikk első albekezdése a „könnyű négykerekű motorkerékpárok” szövegrész után, az R. 316-5. cikk a „két- vagy háromkerekű járművek” szövegrész után, az R. 316-6. cikk első albekezdése a „mezőgazdasági gépek” szövegrész után, az R. 317-1. és az R. 317-5. cikk I. pontja a „négykerekű motorkerékpárok” szövegrész után az „és a motoros egyéni közlekedési eszközök”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13.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Az R. 317-14. cikk után a szöveg az alábbi R. 317-14-1. cikkel egészül ki:</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R. 317-14-1. cikk </w:t>
      </w:r>
      <w:r>
        <w:rPr>
          <w:rStyle w:val="Policepardfaut"/>
        </w:rPr>
        <w:t>Az R. 317-8. és az R. 317-9. cikk rendelkezései nem vonatkoznak a motoros egyéni közlekedési eszközökre.”</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14.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317-16. cikk az „ezen szakasz” szövegrész után a „nem alkalmazandók a motoros egyéni közlekedési eszközökre”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15.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317-23-1. cikk első albekezdése a „segédmotoros kerékpár” szövegrész után a „vagy motoros egyéni közlekedési eszköz”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16.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Az R. 321-4-1. cikk után a szöveg az alábbi R. 321-4-2. cikkel egészül ki:</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R. 321-4-2. cikk </w:t>
      </w:r>
      <w:r>
        <w:rPr>
          <w:rStyle w:val="Policepardfaut"/>
        </w:rPr>
        <w:t>Az ötödik osztályba sorolt szabálysértésért kiróható pénzbírsággal büntetendő az, ha a közforgalmú úton olyan motoros egyéni közlekedési eszközzel közlekednek, amelynek legnagyobb tervezési sebessége szigorúan meghaladja a 25 km/h-t.</w:t>
      </w:r>
    </w:p>
    <w:p w:rsidR="002E1BE9" w:rsidRPr="00D80E56" w:rsidRDefault="002E1BE9" w:rsidP="00D80E56">
      <w:pPr>
        <w:pStyle w:val="BodyText"/>
        <w:spacing w:after="0"/>
        <w:jc w:val="both"/>
        <w:rPr>
          <w:lang w:eastAsia="fr-FR"/>
        </w:rPr>
      </w:pPr>
    </w:p>
    <w:p w:rsidR="002E1BE9" w:rsidRPr="00D80E56" w:rsidRDefault="005840D0" w:rsidP="00D80E56">
      <w:pPr>
        <w:pStyle w:val="BodyText"/>
        <w:spacing w:after="0"/>
        <w:jc w:val="both"/>
      </w:pPr>
      <w:r>
        <w:t> </w:t>
      </w:r>
      <w:r w:rsidR="00C3678D">
        <w:t>Az elkobzás, a félreállítás és a telepre történő elszállítás az L. 325-1–L.325-9. cikkben meghatározott feltételek mellett írható elő.” </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t>17.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321-15. cikk utolsó albekezdése a „gyűjteményi járművekre” szövegrész után az „és a motoros egyéni közlekedési eszközökre”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18.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Az R. 322-1. cikk V. pontja a „nem alkalmazandók” szövegrész után a „motoros egyéni közlekedési eszközökre és”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19.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Az R. 412-9. cikk negyedik és ötödik albekezdése a „kerékpár” szó után a „vagy motoros egyéni közlekedési eszköz vezetője” szövegrésszel egészül ki.</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20.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Az R. 412-19. cikk második albekezdése a „kerékpár” szó után a „vagy motoros egyéni közlekedési eszköz megelőzésekor”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21.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Az R. 412 -28-1. cikk a „kerékpárosok” szövegrész után az „és a motoros egyéni közlekedési eszközök vezetői” szövegrésszel egészül ki.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22.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Az R. 412-34. cikk II. bekezdésének 2. pontja a „kerékpárt,” szó után a „motoros egyéni közlekedési eszközt […] kézzel toló” szövegrésszel egészül ki.</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23. cikk</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 IV. könyv I. címének II. fejezete a 6. szakasz után az alábbi 6a. szakasszal egészül ki: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„6a. szakasz: A motoros egyéni közlekedési eszközök vezetőinek közlekedése</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bookmarkStart w:id="0" w:name="_GoBack"/>
      <w:bookmarkEnd w:id="0"/>
      <w:r>
        <w:rPr>
          <w:rStyle w:val="Policepardfaut"/>
          <w:i/>
          <w:iCs/>
        </w:rPr>
        <w:t xml:space="preserve">R. 412-43-1. cikk – </w:t>
      </w:r>
      <w:r>
        <w:rPr>
          <w:rStyle w:val="Policepardfaut"/>
        </w:rPr>
        <w:t>I. – A motoros egyéni közlekedési eszközök vezetőinek lakott területen a kerékpársávokban vagy a kerékpárutakon kell közlekedniük. Amikor az úttestet mindkét oldalon kerékpársáv szegélyezi, az út jobb szélén lévő kerékpársávot kell használniuk menetirányban.</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Ilyen terület hiányában az alábbiakon is közlekedhetnek:</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Olyan utakon, amelyeken a megengedett legnagyobb sebesség legfeljebb 50 km/h. A motoros egyéni közlekedési eszközök vezetői soha nem haladhatnak az úttesten a menetiránnyal szemben;</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2. A gyalogosok számára fenntartott területeken az R. 431-9. cikk negyedik albekezdésében meghatározott feltételek mellett;</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3. Az útburkolattal ellátott útszegélyeken.</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II. – Lakott területen kívül a motoros egyéni közlekedési eszközök közlekedése tiltott, kivéve a földutakon és a kerékpárutakon.</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III. – E cikk rendelkezéseitől eltérve a rendőrségi hatáskörrel felruházott hatóság:</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Megtilthatja a közlekedést az I. és a II. bekezdésben említett területeken;</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2. Engedélyezheti a járdán való közlekedést, feltéve, ha a vezető lépésben halad és nem zavarja a gyalogosokat.</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IV. – Amennyiben a vezető megszegi az I. és a II. bekezdés rendelkezéseit vagy a III. bekezdés 1. pontjában meghatározott közlekedési korlátozásokat, a második osztályba sorolt szabálysértésekért kiróható pénzbírsággal büntethető.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A III. bekezdés 2. pontjában szereplő rendelkezések alkalmazása esetén, amennyiben a motoros egyéni közlekedési eszköz vezetője nem lépésben haladva közlekedik a járdán vagy zavarja a gyalogosokat, a második osztályba sorolt szabálysértésekért kiróható pénzbírsággal büntethető.”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rPr>
        <w:t>„</w:t>
      </w:r>
      <w:r>
        <w:rPr>
          <w:rStyle w:val="Policepardfaut"/>
          <w:i/>
          <w:iCs/>
        </w:rPr>
        <w:t xml:space="preserve">R. 412-43-2. cikk – </w:t>
      </w:r>
      <w:r>
        <w:rPr>
          <w:rStyle w:val="Policepardfaut"/>
        </w:rPr>
        <w:t>A motoros egyéni közlekedési eszköz vezetője nem tolhat vagy vontathat terhet vagy járművet.</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A motoros egyéni közlekedési eszköz vezetője nem vontattathatja magát más járművel.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E cikk rendelkezéseinek megszegése a második osztályba sorolt szabálysértésekért kiróható pénzbírsággal büntetendő.” </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rPr>
        <w:t>„</w:t>
      </w:r>
      <w:r>
        <w:rPr>
          <w:rStyle w:val="Policepardfaut"/>
          <w:i/>
          <w:iCs/>
        </w:rPr>
        <w:t xml:space="preserve">R. 412-43-3. cikk – </w:t>
      </w:r>
      <w:r>
        <w:rPr>
          <w:rStyle w:val="Policepardfaut"/>
        </w:rPr>
        <w:t>I. – A motoros egyéni közlekedési eszköz vezetőjének legalább nyolc éves személynek kell lennie.</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II. – Amikor éjszaka vagy nappal rossz látási viszonyok között közlekedik, a motoros egyéni közlekedési eszköz vezetőjének vagy a jogszabályoknak megfelelő láthatósági mellényt vagy pedig a közlekedésbiztonságért felelős miniszter rendeletében rögzített tulajdonságokkal rendelkező fényvisszaverő felszerelést kell viselnie. A vezető nem vakító és nem villogó, kiegészítő világító eszközt viselhet.</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III. – A motoros egyéni közlekedési eszköz tizenkét évesnél fiatalabb vezetőjének a forgalomban az egyéni védőfelszerelésekről szóló jogszabálynak megfelelő sisakot kell viselnie. A sisakot be kell csatolni.</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 xml:space="preserve">IV. – Annak a legalább tizennyolc éves személynek, aki legalább egy, tizenkét év alatti, motoros egyéni közlekedési eszközt vezető személyt kísér, biztosítania kell, hogy amikor </w:t>
      </w:r>
      <w:r>
        <w:rPr>
          <w:i/>
          <w:color w:val="auto"/>
        </w:rPr>
        <w:t>de jure</w:t>
      </w:r>
      <w:r>
        <w:rPr>
          <w:color w:val="auto"/>
        </w:rPr>
        <w:t xml:space="preserve"> vagy </w:t>
      </w:r>
      <w:r>
        <w:rPr>
          <w:i/>
          <w:color w:val="auto"/>
        </w:rPr>
        <w:t>de facto</w:t>
      </w:r>
      <w:r>
        <w:rPr>
          <w:color w:val="auto"/>
        </w:rPr>
        <w:t xml:space="preserve"> felügyeletet gyakorol e személy vagy személyek felett, mindegyikük sisakot viseljen az előző albekezdésben meghatározott feltételek szerint.</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V. – A motoros egyéni közlekedési eszközökön utasok szállítása nem engedélyezett.</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VI. – A II. és V. bekezdés rendelkezéseinek megszegése a második osztályba sorolt szabálysértésekért kiróható pénzbírsággal büntetendő.</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Azok a nagykorú személyek, akik nyolc évesnél fiatalabb, motoros egyéni közlekedési eszközt vezető személyt kísérnek, vagy akik nem tartják be a IV. bekezdés rendelkezéseit, a negyedik osztályba sorolt szabálysértésekért kiróható pénzbírsággal büntetendők.” </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24. cikk</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Az R. 415-2. cikk második és ötödik albekezdése a „kerékpártól” szó után a „vagy motoros egyéni közlekedési eszköztől eltérő” szövegrésszel egészül ki.</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25. cikk</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Az R. 415-3. cikk III. bekezdése az „elsőbbséget a kerékpároknak” szó után az „és a motoros egyéni közlekedési eszközöknek” szövegrésszel egészül ki.</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26. cikk</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Az R. 415-4. cikk a következők szerint módosul:</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A III. bekezdés a „kerékpároknak,” szó után a „motoros egyéni közlekedési eszközöknek” szövegrésszel egészül ki.</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A IV. bekezdés a „minden kerékpár” szövegrész után a „vagy motoros egyéni közlekedési eszköz vezetője,” szövegrésszel egészül ki.</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27. cikk</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Az R. 415-15. cikk 2. pontja az „egyet a kerékpárok” szövegrész és a „kerékpárosokra vonatkozó stopvonal” szövegrész után „és a motoros egyéni közlekedési eszközök” szövegrésszel egészül ki.</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28. cikk</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Az L. 417-10. cikk III. bekezdése az alábbiak szerint módosul:</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A 2. pont a „kétkerekű kerékpárok,” szövegrész után az „egyéni közlekedési eszközök,” szövegrésszel egészül ki;</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A 6. pont a „kerékpárok” szó után az „és a motoros egyéni közlekedési eszközök kivételével” szövegrésszel egészül ki.</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29. cikk</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Az R. 417-11. cikk I. bekezdésének 8. pontja a „pedálozás közbeni rásegítéssel működő kerékpárok” szövegrész után az „és a motoros egyéni közlekedési eszközök” szövegrésszel egészül ki.</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30. cikk</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A 4., 5., 7., 8. és 11. cikk rendelkezései 2020. július 1-jén lépnek hatályba.</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31. cikk</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E kormányrendelet végrehajtásáért, amelyet a Francia Köztársaság </w:t>
      </w:r>
      <w:r>
        <w:rPr>
          <w:rStyle w:val="Policepardfaut"/>
          <w:i/>
        </w:rPr>
        <w:t>Hivatalos Lapjában</w:t>
      </w:r>
      <w:r>
        <w:rPr>
          <w:rStyle w:val="Policepardfaut"/>
        </w:rPr>
        <w:t xml:space="preserve"> tesznek közzé, hatáskörének megfelelően a zöld és szolidáris gazdaságra való átállásért felelős miniszter, államminiszter, a belügyminiszter, államminiszter, a pecsétőr, igazságügyi miniszter és a zöld és szolidáris gazdaságra való átállásért felelős miniszter, államminiszter mellé rendelt közlekedési miniszter felel.</w:t>
      </w:r>
    </w:p>
    <w:p w:rsidR="00D80E56" w:rsidRPr="00D80E56" w:rsidRDefault="00D80E56" w:rsidP="00D80E56">
      <w:pPr>
        <w:suppressAutoHyphens w:val="0"/>
        <w:ind w:left="17"/>
        <w:jc w:val="both"/>
      </w:pPr>
    </w:p>
    <w:p w:rsidR="002E1BE9" w:rsidRPr="00D80E56" w:rsidRDefault="00C3678D" w:rsidP="00D80E56">
      <w:pPr>
        <w:suppressAutoHyphens w:val="0"/>
      </w:pPr>
      <w:r>
        <w:t>Kelt,</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A Miniszterelnök</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t>A zöld és szolidáris gazdaságra való átállásért felelős miniszter, államminiszter,</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A pecsétőr, igazságügyi miniszter,</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A belügyminiszter,</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A zöld és szolidáris gazdaságra való átállásért felelős miniszter, államminiszter mellett működő közlekedési miniszter,</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840D0"/>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hu-HU"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hu-HU"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1821</Words>
  <Characters>12571</Characters>
  <Application>Microsoft Office Word</Application>
  <DocSecurity>0</DocSecurity>
  <Lines>104</Lines>
  <Paragraphs>28</Paragraphs>
  <ScaleCrop>false</ScaleCrop>
  <Company>Microsoft</Company>
  <LinksUpToDate>false</LinksUpToDate>
  <CharactersWithSpaces>14364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JUHASZ, Reka</cp:lastModifiedBy>
  <cp:revision>9</cp:revision>
  <dcterms:created xsi:type="dcterms:W3CDTF">2019-04-12T14:32:00Z</dcterms:created>
  <dcterms:modified xsi:type="dcterms:W3CDTF">2019-05-16T07:59:00Z</dcterms:modified>
  <dc:language>fr-FR</dc:language>
</cp:coreProperties>
</file>