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0198 F-- SL-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 xml:space="preserve">FRANCOSKA REPUBLIKA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 xml:space="preserve">Ministrstvo za notranje zadeve</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 xml:space="preserve">Uredba št.</w:t>
        <w:tab/>
        <w:t xml:space="preserve"> z dne</w:t>
      </w:r>
      <w:r>
        <w:rPr>
          <w:b/>
          <w:bCs/>
        </w:rPr>
        <w:br/>
      </w:r>
    </w:p>
    <w:p w:rsidR="002E1BE9" w:rsidRPr="00D80E56" w:rsidRDefault="00C3678D" w:rsidP="00D80E56">
      <w:pPr>
        <w:suppressAutoHyphens w:val="0"/>
        <w:jc w:val="center"/>
        <w:rPr>
          <w:b/>
          <w:bCs/>
        </w:rPr>
      </w:pPr>
      <w:r>
        <w:rPr>
          <w:b/>
          <w:bCs/>
        </w:rPr>
        <w:t xml:space="preserve">o predpisih za posebna osebna prevozna sredstva</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 xml:space="preserve">NOR:</w:t>
      </w:r>
      <w:r>
        <w:rPr>
          <w:rStyle w:val="Policepardfaut"/>
        </w:rPr>
        <w:t xml:space="preserve"> </w:t>
      </w:r>
      <w:r>
        <w:rPr>
          <w:rStyle w:val="Policepardfaut"/>
        </w:rPr>
        <w:t xml:space="preserve">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i/>
          <w:iCs/>
          <w:b/>
          <w:bCs/>
        </w:rPr>
        <w:t xml:space="preserve">Ciljna javnost</w:t>
      </w:r>
      <w:r>
        <w:rPr>
          <w:rStyle w:val="Policepardfaut"/>
          <w:i/>
          <w:iCs/>
        </w:rPr>
        <w:t xml:space="preserve">: uporabniki cest, lokalne oblasti, organi pregona.</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Predmet</w:t>
      </w:r>
      <w:r>
        <w:rPr>
          <w:rStyle w:val="Policepardfaut"/>
          <w:i/>
          <w:iCs/>
        </w:rPr>
        <w:t xml:space="preserve">: opredelitev tehničnih značilnosti in pogojev za vožnjo s posebnimi osebnimi prevoznimi sredstvi.</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Začetek veljavnosti</w:t>
      </w:r>
      <w:r>
        <w:rPr>
          <w:rStyle w:val="Policepardfaut"/>
          <w:i/>
          <w:iCs/>
        </w:rPr>
        <w:t xml:space="preserve">: besedilo začne veljati dan po objavi, razen členov 4, 5, 7, 8 in 11 osnutka uredbe, ki začnejo veljati 1. julija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Obvestilo</w:t>
      </w:r>
      <w:r>
        <w:rPr>
          <w:rStyle w:val="Policepardfaut"/>
          <w:i/>
          <w:iCs/>
        </w:rPr>
        <w:t xml:space="preserve">: namen osnutka je v Cestnoprometni zakonik kot novo kategorijo vozil uvesti posebna osebna prevozna sredstva, opredeliti njihove tehnične značilnosti in določiti njihovo uporabo na javnih cestah.</w:t>
      </w:r>
      <w:r>
        <w:rPr>
          <w:rStyle w:val="Policepardfaut"/>
          <w:i/>
          <w:iCs/>
        </w:rPr>
        <w:t xml:space="preserve"> </w:t>
      </w:r>
      <w:r>
        <w:rPr>
          <w:rStyle w:val="Policepardfaut"/>
          <w:i/>
          <w:iCs/>
        </w:rPr>
        <w:t xml:space="preserve">Osnutek določa predvsem opremo, ki jo morajo nositi vozniki teh vozil ter vozne poti, po katerih ti vozniki lahko in morajo voziti v mestu ali zunaj mest.</w:t>
      </w:r>
      <w:r>
        <w:rPr>
          <w:rStyle w:val="Policepardfaut"/>
          <w:i/>
          <w:iCs/>
        </w:rPr>
        <w:t xml:space="preserve"> </w:t>
      </w:r>
      <w:r>
        <w:rPr>
          <w:rStyle w:val="Policepardfaut"/>
          <w:i/>
          <w:iCs/>
        </w:rPr>
        <w:t xml:space="preserve">Ureja možnosti, v skladu s katerimi lahko župani določijo odstopanje od tega splošnega okvira, pri čemer lahko dovolijo zlasti vožnjo po pločniku.</w:t>
      </w:r>
      <w:r>
        <w:rPr>
          <w:rStyle w:val="Policepardfaut"/>
          <w:i/>
          <w:iCs/>
        </w:rPr>
        <w:t xml:space="preserve"> </w:t>
      </w:r>
      <w:r>
        <w:rPr>
          <w:rStyle w:val="Policepardfaut"/>
          <w:i/>
          <w:iCs/>
        </w:rPr>
        <w:t xml:space="preserve">Nazadnje določa kazni, ki se naložijo voznikom posebnih osebnih prevoznih sredstev, če ne upoštevajo predpisov, ki so zanje predpisani.</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i/>
          <w:iCs/>
          <w:b/>
          <w:bCs/>
        </w:rPr>
        <w:t xml:space="preserve">Referenčna besedila</w:t>
      </w:r>
      <w:r>
        <w:rPr>
          <w:rStyle w:val="Policepardfaut"/>
          <w:i/>
          <w:iCs/>
        </w:rPr>
        <w:t xml:space="preserve">: uredba spreminja normativni del Cestnoprometnega zakonika, ki je z ustreznimi spremembami na voljo na spletnem mestu Légifrance (</w:t>
      </w:r>
      <w:hyperlink r:id="rId7" w:history="1">
        <w:r>
          <w:rPr>
            <w:rStyle w:val="Hyperlink"/>
            <w:i/>
            <w:iCs/>
          </w:rPr>
          <w:t xml:space="preserve">http://www.legifrance.gouv.fr</w:t>
        </w:r>
      </w:hyperlink>
      <w:r>
        <w:rPr>
          <w:rStyle w:val="Policepardfaut"/>
          <w:i/>
          <w:iCs/>
        </w:rPr>
        <w:t xml:space="preserve">).</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 xml:space="preserve">Predsednik vlade –</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 xml:space="preserve">ob upoštevanju poročila ministra za notranje zadeve;</w:t>
      </w:r>
    </w:p>
    <w:p w:rsidR="00D80E56" w:rsidRPr="00D80E56" w:rsidRDefault="00D80E56" w:rsidP="00D80E56">
      <w:pPr>
        <w:suppressAutoHyphens w:val="0"/>
        <w:jc w:val="both"/>
      </w:pPr>
    </w:p>
    <w:p w:rsidR="002E1BE9" w:rsidRPr="00D80E56" w:rsidRDefault="00C3678D" w:rsidP="00D80E56">
      <w:pPr>
        <w:suppressAutoHyphens w:val="0"/>
        <w:jc w:val="both"/>
      </w:pPr>
      <w:r>
        <w:t xml:space="preserve">ob upoštevanju Uredbe (EU) št. 168/2013 Evropskega parlamenta in Sveta z dne 15. januarja 2013 o odobritvi in tržnem nadzoru dvo- ali trikolesnih vozil in štirikolesnikov, zlasti člena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Kazenskega zakonika, zlasti člena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Zakona o kazenskem postopku, zlasti člena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Cestnoprometnega zakonika;</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mnenja stalne medministrske skupine za varnost v cestnem prometu z dne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mnenja Nacionalnega sveta za oceno standardov z dne ...</w:t>
      </w:r>
      <w:r>
        <w:t xml:space="preserve"> </w:t>
      </w:r>
      <w:r>
        <w:t xml:space="preserv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uradnega obvestila, naslovljenega dne … 2019 na Evropsko komisijo;</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ob upoštevanju mnenja Državnega sveta (oddelka za javna dela) –</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 xml:space="preserve">odreja</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 xml:space="preserve">Člen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Cestnoprometni zakonik se spremeni v skladu s členi 2 do 29.</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 xml:space="preserve">Člen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Člen R. 110-2 se spremeni: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v tretjem pododstavku se besedilo:</w:t>
      </w:r>
      <w:r>
        <w:t xml:space="preserve"> </w:t>
      </w:r>
      <w:r>
        <w:t xml:space="preserve">„člena R. 431-9,“ nadomesti z besedilom:</w:t>
      </w:r>
      <w:r>
        <w:t xml:space="preserve"> </w:t>
      </w:r>
      <w:r>
        <w:t xml:space="preserve">„členov R. 412-43-1 in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 xml:space="preserve">2. v petem in enajstem pododstavku se za besedilom:</w:t>
      </w:r>
      <w:r>
        <w:rPr>
          <w:rStyle w:val="Policepardfaut"/>
        </w:rPr>
        <w:t xml:space="preserve"> </w:t>
      </w:r>
      <w:r>
        <w:rPr>
          <w:rStyle w:val="Policepardfaut"/>
        </w:rPr>
        <w:t xml:space="preserve">„dvokolesna kolesa ali trikolesna kolesa“ vstavi besedilo:</w:t>
      </w:r>
      <w:r>
        <w:rPr>
          <w:rStyle w:val="Policepardfaut"/>
        </w:rPr>
        <w:t xml:space="preserve"> </w:t>
      </w:r>
      <w:r>
        <w:rPr>
          <w:rStyle w:val="Policepardfaut"/>
        </w:rPr>
        <w:t xml:space="preserve">„in posebna osebna prevozna sredstva z motorjem“;</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v štirinajstem pododstavku se za besedilom:</w:t>
      </w:r>
      <w:r>
        <w:t xml:space="preserve"> </w:t>
      </w:r>
      <w:r>
        <w:t xml:space="preserve">„vozila brez motornega pogona“ vstavi besedilo:</w:t>
      </w:r>
      <w:r>
        <w:t xml:space="preserve"> </w:t>
      </w:r>
      <w:r>
        <w:t xml:space="preserve">„razen za posebna osebna prevozna sredstva z motorjem“;</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v petnajstem in šestnajstem pododstavku se za besedilom:</w:t>
      </w:r>
      <w:r>
        <w:t xml:space="preserve"> </w:t>
      </w:r>
      <w:r>
        <w:t xml:space="preserve">„dvojne smeri za kolesarje“ vstavi besedilo:</w:t>
      </w:r>
      <w:r>
        <w:t xml:space="preserve"> </w:t>
      </w:r>
      <w:r>
        <w:t xml:space="preserve">„in vozniki posebnih osebnih prevoznih sredstev z motorjem,“.</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 xml:space="preserve">Člen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 xml:space="preserve">Za točko 6.13 člena R. 311-1 se vstavijo naslednje točke:</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 xml:space="preserve">„6.14.</w:t>
      </w:r>
      <w:r>
        <w:t xml:space="preserve"> </w:t>
      </w:r>
      <w:r>
        <w:t xml:space="preserve">Posebno osebno prevozno sredstvo: posebno osebno prevozno sredstvo z motorjem ali brez.</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 xml:space="preserve">6.15.</w:t>
      </w:r>
      <w:r>
        <w:rPr>
          <w:rStyle w:val="Policepardfaut"/>
        </w:rPr>
        <w:t xml:space="preserve"> </w:t>
      </w:r>
      <w:r>
        <w:rPr>
          <w:rStyle w:val="Policepardfaut"/>
        </w:rPr>
        <w:t xml:space="preserve">Posebno osebno prevozno sredstvo z motorjem: vozilo brez sedeža, zasnovano za vožnjo ene same osebe in brez kakršne koli posebne ureditve, ki bi omogočala prevoz blaga, opremljeno z netoplotnim motorjem ali netoplotnim sistemom pomoči, katerega največja konstrukcijska hitrost je strogo večja od 6 km/h in ne presega 25 km/h.</w:t>
      </w:r>
      <w:r>
        <w:rPr>
          <w:rStyle w:val="Policepardfaut"/>
        </w:rPr>
        <w:t xml:space="preserve"> </w:t>
      </w:r>
      <w:r>
        <w:rPr>
          <w:rStyle w:val="Policepardfaut"/>
        </w:rPr>
        <w:t xml:space="preserve">Vseeno ima vozilo lahko sedež, če je opremljeno s sistemom za žiroskopsko stabilizacijo.</w:t>
      </w:r>
      <w:r>
        <w:rPr>
          <w:rStyle w:val="Policepardfaut"/>
        </w:rPr>
        <w:t xml:space="preserve"> </w:t>
      </w:r>
      <w:r>
        <w:rPr>
          <w:rStyle w:val="Policepardfaut"/>
        </w:rPr>
        <w:t xml:space="preserve">Prevozna sredstva, namenjena izključno osebam z omejeno mobilnostjo, so izključena iz te kategorije.</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6.16.</w:t>
      </w:r>
      <w:r>
        <w:t xml:space="preserve"> </w:t>
      </w:r>
      <w:r>
        <w:t xml:space="preserve">Posebno osebno prevozno sredstvo brez motorja: majhno vozilo brez motorja.“.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Člen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Za točko 6 odstavka I člena R. 312-10 se doda točka 7, ki se glasi: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„7. 0,90 metra za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Člen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Za točko 11 člena R. 312-11(I) se doda točka 12, ki se glasi: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„12. Posebna osebna prevozna sredstva z motorjem:</w:t>
      </w:r>
      <w:r>
        <w:rPr>
          <w:rStyle w:val="Policepardfaut"/>
        </w:rPr>
        <w:t xml:space="preserve"> </w:t>
      </w:r>
      <w:r>
        <w:rPr>
          <w:rStyle w:val="Policepardfaut"/>
        </w:rPr>
        <w:t xml:space="preserve">1,30 metra.“.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Člen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Člen R. 313-1 se spremeni: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V drugem pododstavku se za besedilom:</w:t>
      </w:r>
      <w:r>
        <w:t xml:space="preserve"> </w:t>
      </w:r>
      <w:r>
        <w:t xml:space="preserve">„voznik kolesa“ vstavi besedilo:</w:t>
      </w:r>
      <w:r>
        <w:t xml:space="preserve"> </w:t>
      </w:r>
      <w:r>
        <w:t xml:space="preserve">„ali posebnega osebnega prevoznega sredstva z motorjem“;</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 xml:space="preserve">2. na konec se vstavi pododstavek, ki se glasi:</w:t>
      </w:r>
      <w:r>
        <w:t xml:space="preserve"> </w:t>
      </w:r>
      <w:r>
        <w:t xml:space="preserve">„Določbe členov R. 313-2, R. 313-3, R. 313-3-1 do R. 313-3-4, R. 313-4-1, R. 313-6 do R. 313-17 in R. 313-17-1 se ne uporabljajo za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Člen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odstavku X člena R. 313-4, odstavku V členov R. 313-5 in R. 313-18, odstavku III člena R. 313-19, odstavku IV člena R. 313-20 in tretjem pododstavku člena R. 313-33 se za besedilom:</w:t>
      </w:r>
      <w:r>
        <w:rPr>
          <w:rStyle w:val="Policepardfaut"/>
        </w:rPr>
        <w:t xml:space="preserve"> </w:t>
      </w:r>
      <w:r>
        <w:rPr>
          <w:rStyle w:val="Policepardfaut"/>
        </w:rPr>
        <w:t xml:space="preserve">„vsako kolo“ vstavi besedilo:</w:t>
      </w:r>
      <w:r>
        <w:rPr>
          <w:rStyle w:val="Policepardfaut"/>
        </w:rPr>
        <w:t xml:space="preserve"> </w:t>
      </w:r>
      <w:r>
        <w:rPr>
          <w:rStyle w:val="Policepardfaut"/>
        </w:rPr>
        <w:t xml:space="preserve">„ali posebno osebno prevozno sredstvo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Člen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odstavku XIII člena R. 313-4, odstavku XI členov R. 313-5 in R. 313-18, odstavku V člena R. 313-19, odstavku VIII člena R. 313-20 in zadnjem pododstavku člena R. 313-33 se za besedilom:</w:t>
      </w:r>
      <w:r>
        <w:rPr>
          <w:rStyle w:val="Policepardfaut"/>
        </w:rPr>
        <w:t xml:space="preserve"> </w:t>
      </w:r>
      <w:r>
        <w:rPr>
          <w:rStyle w:val="Policepardfaut"/>
        </w:rPr>
        <w:t xml:space="preserve">„vsak voznik kolesa“ vstavi besedilo:</w:t>
      </w:r>
      <w:r>
        <w:rPr>
          <w:rStyle w:val="Policepardfaut"/>
        </w:rPr>
        <w:t xml:space="preserve"> </w:t>
      </w:r>
      <w:r>
        <w:rPr>
          <w:rStyle w:val="Policepardfaut"/>
        </w:rPr>
        <w:t xml:space="preserve">„ali posebnega osebnega prevoznega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 xml:space="preserve">Člen R. 314-1 se spremeni:</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 xml:space="preserve">1. v prvem pododstavku se za besedilom:</w:t>
      </w:r>
      <w:r>
        <w:rPr>
          <w:rStyle w:val="Policepardfaut"/>
        </w:rPr>
        <w:t xml:space="preserve"> </w:t>
      </w:r>
      <w:r>
        <w:rPr>
          <w:rStyle w:val="Policepardfaut"/>
        </w:rPr>
        <w:t xml:space="preserve">„kmetijskih naprav“ vstavi besedilo:</w:t>
      </w:r>
      <w:r>
        <w:rPr>
          <w:rStyle w:val="Policepardfaut"/>
        </w:rPr>
        <w:t xml:space="preserve"> </w:t>
      </w:r>
      <w:r>
        <w:rPr>
          <w:rStyle w:val="Policepardfaut"/>
        </w:rPr>
        <w:t xml:space="preserve">„in posebnih osebnih prevoznih sredstev z motorjem“;</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2. v petem pododstavku se za besedilom:</w:t>
      </w:r>
      <w:r>
        <w:rPr>
          <w:rStyle w:val="Policepardfaut"/>
        </w:rPr>
        <w:t xml:space="preserve"> </w:t>
      </w:r>
      <w:r>
        <w:rPr>
          <w:rStyle w:val="Policepardfaut"/>
        </w:rPr>
        <w:t xml:space="preserve">„kmetijske naprave“ vstavi besedilo:</w:t>
      </w:r>
      <w:r>
        <w:rPr>
          <w:rStyle w:val="Policepardfaut"/>
        </w:rPr>
        <w:t xml:space="preserve"> </w:t>
      </w:r>
      <w:r>
        <w:rPr>
          <w:rStyle w:val="Policepardfaut"/>
        </w:rPr>
        <w:t xml:space="preserve">„in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odstavku I člena R. 315-1 se za besedilom:</w:t>
      </w:r>
      <w:r>
        <w:rPr>
          <w:rStyle w:val="Policepardfaut"/>
        </w:rPr>
        <w:t xml:space="preserve"> </w:t>
      </w:r>
      <w:r>
        <w:rPr>
          <w:rStyle w:val="Policepardfaut"/>
        </w:rPr>
        <w:t xml:space="preserve">„javnih del“ vstavi besedilo:</w:t>
      </w:r>
      <w:r>
        <w:rPr>
          <w:rStyle w:val="Policepardfaut"/>
        </w:rPr>
        <w:t xml:space="preserve"> </w:t>
      </w:r>
      <w:r>
        <w:rPr>
          <w:rStyle w:val="Policepardfaut"/>
        </w:rPr>
        <w:t xml:space="preserve">„in posebnih osebnih prevoznih sredstev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Za členom R. 315-6 se vstavi člen R. 315-7, ki se glasi:</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Člen R. 315-7. – </w:t>
      </w:r>
      <w:r>
        <w:rPr>
          <w:rStyle w:val="Policepardfaut"/>
        </w:rPr>
        <w:t xml:space="preserve">I – Vsako posebno osebno prevozno sredstvo z motorjem mora biti opremljeno z učinkovito zavorno napravo.</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 xml:space="preserve">II – Kršitev določb iz tega člena se kaznuje z globo, določeno za kršitve prvega razreda.</w:t>
      </w:r>
      <w:r>
        <w:t xml:space="preserve"> </w:t>
      </w:r>
      <w:r>
        <w:t xml:space="preserve">“</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 xml:space="preserve">Člen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prvem pododstavku člena R. 316-4 se za besedilom:</w:t>
      </w:r>
      <w:r>
        <w:rPr>
          <w:rStyle w:val="Policepardfaut"/>
        </w:rPr>
        <w:t xml:space="preserve"> </w:t>
      </w:r>
      <w:r>
        <w:rPr>
          <w:rStyle w:val="Policepardfaut"/>
        </w:rPr>
        <w:t xml:space="preserve">„lahkih štirikolesnih koles z motorjem“, v členu R. 316-5 za besedilom:</w:t>
      </w:r>
      <w:r>
        <w:rPr>
          <w:rStyle w:val="Policepardfaut"/>
        </w:rPr>
        <w:t xml:space="preserve"> </w:t>
      </w:r>
      <w:r>
        <w:rPr>
          <w:rStyle w:val="Policepardfaut"/>
        </w:rPr>
        <w:t xml:space="preserve">„dvokolesnih ali trikolesnih vozil“, v prvem pododstavku člena R. 316-6 za besedilom „kmetijskih naprav“ in v odstavku I členov R. 317-1 in R. 317-5 za besedilom:</w:t>
      </w:r>
      <w:r>
        <w:rPr>
          <w:rStyle w:val="Policepardfaut"/>
        </w:rPr>
        <w:t xml:space="preserve"> </w:t>
      </w:r>
      <w:r>
        <w:rPr>
          <w:rStyle w:val="Policepardfaut"/>
        </w:rPr>
        <w:t xml:space="preserve">„štirikolesnih koles“ vstavi besedilo:</w:t>
      </w:r>
      <w:r>
        <w:rPr>
          <w:rStyle w:val="Policepardfaut"/>
        </w:rPr>
        <w:t xml:space="preserve"> </w:t>
      </w:r>
      <w:r>
        <w:rPr>
          <w:rStyle w:val="Policepardfaut"/>
        </w:rPr>
        <w:t xml:space="preserve">„in posebnih osebnih prevoznih sredstev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Za členom R. 317-14 se vstavi člen R. 317-14-1, ki se glasi: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Člen R. 317-14-1.</w:t>
      </w:r>
      <w:r>
        <w:rPr>
          <w:rStyle w:val="Policepardfaut"/>
          <w:i/>
          <w:iCs/>
        </w:rPr>
        <w:t xml:space="preserve"> </w:t>
      </w:r>
      <w:r>
        <w:rPr>
          <w:rStyle w:val="Policepardfaut"/>
        </w:rPr>
        <w:t xml:space="preserve">Določbe členov R. 317-8 in R. 317-9 se ne uporabljajo za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členu R. 317-16 se za besedilom:</w:t>
      </w:r>
      <w:r>
        <w:rPr>
          <w:rStyle w:val="Policepardfaut"/>
        </w:rPr>
        <w:t xml:space="preserve"> </w:t>
      </w:r>
      <w:r>
        <w:rPr>
          <w:rStyle w:val="Policepardfaut"/>
        </w:rPr>
        <w:t xml:space="preserve">„tega oddelka“ vstavi besedilo:</w:t>
      </w:r>
      <w:r>
        <w:rPr>
          <w:rStyle w:val="Policepardfaut"/>
        </w:rPr>
        <w:t xml:space="preserve"> </w:t>
      </w:r>
      <w:r>
        <w:rPr>
          <w:rStyle w:val="Policepardfaut"/>
        </w:rPr>
        <w:t xml:space="preserve">„ne uporabljajo za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prvem pododstavku člena R. 317-23-1 se za besedo:</w:t>
      </w:r>
      <w:r>
        <w:rPr>
          <w:rStyle w:val="Policepardfaut"/>
        </w:rPr>
        <w:t xml:space="preserve"> </w:t>
      </w:r>
      <w:r>
        <w:rPr>
          <w:rStyle w:val="Policepardfaut"/>
        </w:rPr>
        <w:t xml:space="preserve">„moped“ vstavi besedilo:</w:t>
      </w:r>
      <w:r>
        <w:rPr>
          <w:rStyle w:val="Policepardfaut"/>
        </w:rPr>
        <w:t xml:space="preserve"> </w:t>
      </w:r>
      <w:r>
        <w:rPr>
          <w:rStyle w:val="Policepardfaut"/>
        </w:rPr>
        <w:t xml:space="preserve">„ali posebno osebno prevozno sredstvo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Za členom R. 321-4-1 se vstavi člen R. 321-4-2, ki se glasi: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Člen R. 321-4-2.</w:t>
      </w:r>
      <w:r>
        <w:rPr>
          <w:rStyle w:val="Policepardfaut"/>
          <w:i/>
          <w:iCs/>
        </w:rPr>
        <w:t xml:space="preserve"> </w:t>
      </w:r>
      <w:r>
        <w:rPr>
          <w:rStyle w:val="Policepardfaut"/>
        </w:rPr>
        <w:t xml:space="preserve">Vožnja po javni cesti s posebnim osebnim prevoznim sredstvom z motorjem z največjo konstrukcijsko hitrostjo, ki presega 25 km/h, se kaznuje kot kršitev petega razreda.</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 </w:t>
      </w:r>
      <w:r>
        <w:t xml:space="preserve">Zaplemba, onesposobitev ali odvoz se lahko določi v skladu s pogoji iz členov L. 325-1 do L. 325-9.</w:t>
      </w:r>
      <w:r>
        <w:t xml:space="preserve"> </w:t>
      </w:r>
      <w:r>
        <w:t xml:space="preserve">“</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 xml:space="preserve">Člen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zadnjem pododstavku člena R. 321-15 se za besedilom:</w:t>
      </w:r>
      <w:r>
        <w:rPr>
          <w:rStyle w:val="Policepardfaut"/>
        </w:rPr>
        <w:t xml:space="preserve"> </w:t>
      </w:r>
      <w:r>
        <w:rPr>
          <w:rStyle w:val="Policepardfaut"/>
        </w:rPr>
        <w:t xml:space="preserve">„starodobna vozila,“ vstavi besedilo:</w:t>
      </w:r>
      <w:r>
        <w:rPr>
          <w:rStyle w:val="Policepardfaut"/>
        </w:rPr>
        <w:t xml:space="preserve"> </w:t>
      </w:r>
      <w:r>
        <w:rPr>
          <w:rStyle w:val="Policepardfaut"/>
        </w:rPr>
        <w:t xml:space="preserve">„za posebna osebna prevozna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V odstavku V člena R. 322-1 se za besedilom:</w:t>
      </w:r>
      <w:r>
        <w:t xml:space="preserve"> </w:t>
      </w:r>
      <w:r>
        <w:t xml:space="preserve">„se ne uporabljajo“ vstavi besedilo:</w:t>
      </w:r>
      <w:r>
        <w:t xml:space="preserve"> </w:t>
      </w:r>
      <w:r>
        <w:t xml:space="preserve">„za posebna osebna prevozna sredstva z motorjem in“.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Člen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V četrtem in petem pododstavku člena R. 412-9 se za besedilom:</w:t>
      </w:r>
      <w:r>
        <w:t xml:space="preserve"> </w:t>
      </w:r>
      <w:r>
        <w:t xml:space="preserve">„voznik kolesa“ vstavi besedilo:</w:t>
      </w:r>
      <w:r>
        <w:t xml:space="preserve"> </w:t>
      </w:r>
      <w:r>
        <w:t xml:space="preserve">„ali posebnega osebnega prevoznega sredstva z motorjem“.</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 xml:space="preserve">Člen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 xml:space="preserve">V drugem pododstavku člena R. 412-19 se za besedilom:</w:t>
      </w:r>
      <w:r>
        <w:t xml:space="preserve"> </w:t>
      </w:r>
      <w:r>
        <w:t xml:space="preserve">„prehitevanje kolesa“ vstavi besedilo:</w:t>
      </w:r>
      <w:r>
        <w:t xml:space="preserve"> </w:t>
      </w:r>
      <w:r>
        <w:t xml:space="preserve">„ali posebnega osebnega prevoznega sredstva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V členu R. 412-28-1 se za besedo:</w:t>
      </w:r>
      <w:r>
        <w:rPr>
          <w:rStyle w:val="Policepardfaut"/>
        </w:rPr>
        <w:t xml:space="preserve"> </w:t>
      </w:r>
      <w:r>
        <w:rPr>
          <w:rStyle w:val="Policepardfaut"/>
        </w:rPr>
        <w:t xml:space="preserve">„kolesarji“ vstavi besedilo:</w:t>
      </w:r>
      <w:r>
        <w:rPr>
          <w:rStyle w:val="Policepardfaut"/>
        </w:rPr>
        <w:t xml:space="preserve"> </w:t>
      </w:r>
      <w:r>
        <w:rPr>
          <w:rStyle w:val="Policepardfaut"/>
        </w:rPr>
        <w:t xml:space="preserve">„in vozniki posebnih osebnih prevoznih sredstev z motorjem“.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Člen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V točki 2 odstavka II člena R. 412-34 se za besedilom:</w:t>
      </w:r>
      <w:r>
        <w:t xml:space="preserve"> </w:t>
      </w:r>
      <w:r>
        <w:t xml:space="preserve">„ročno potiskajo kolo,“ vstavi besedilo:</w:t>
      </w:r>
      <w:r>
        <w:t xml:space="preserve"> </w:t>
      </w:r>
      <w:r>
        <w:t xml:space="preserve">„posebno osebno prevozno sredstvo z motorjem“.</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 xml:space="preserve">Člen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Za oddelkom 6 poglavja II naslova I zvezka IV se vstavi oddelek 6a, ki se glasi: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„Oddelek 6a:</w:t>
      </w:r>
      <w:r>
        <w:rPr>
          <w:rStyle w:val="Policepardfaut"/>
        </w:rPr>
        <w:t xml:space="preserve"> </w:t>
      </w:r>
      <w:r>
        <w:rPr>
          <w:rStyle w:val="Policepardfaut"/>
        </w:rPr>
        <w:t xml:space="preserve">Vožnja voznikov posebnih osebnih prevoznih sredstev</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Člen R. 412-43-1. – </w:t>
      </w:r>
      <w:r>
        <w:rPr>
          <w:rStyle w:val="Policepardfaut"/>
        </w:rPr>
        <w:t xml:space="preserve">I. – V mestu morajo vozniki posebnih osebnih prevoznih sredstev voziti po kolesarskih poteh ali stezah.</w:t>
      </w:r>
      <w:r>
        <w:rPr>
          <w:rStyle w:val="Policepardfaut"/>
        </w:rPr>
        <w:t xml:space="preserve"> </w:t>
      </w:r>
      <w:r>
        <w:rPr>
          <w:rStyle w:val="Policepardfaut"/>
        </w:rPr>
        <w:t xml:space="preserve">Če se kolesarska steza nahaja na obeh straneh cestišča, morajo voziti po tisti na desni strani cestišča v smeri vožnje.</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Če teh poti ni, lahko vozijo tudi:</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po cestah, na katerih je največja dovoljena hitrost 50 km/h ali manj.</w:t>
      </w:r>
      <w:r>
        <w:t xml:space="preserve"> </w:t>
      </w:r>
      <w:r>
        <w:t xml:space="preserve">Vozniki posebnih osebnih prevoznih sredstev z motorjem nikoli ne smejo voziti vštric cestišča;</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na območjih za pešce, v skladu s pogoji, opredeljenimi v četrtem pododstavku člena R. 431-9;</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3. na bankinah s cestiščno plastjo.</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 xml:space="preserve">II. – Zunaj mesta je vožnja s posebnimi osebnimi prevoznimi sredstvi prepovedana, razen po zelenih površinah in kolesarskih stezah.</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III. – Z odstopanjem od določb tega člena lahko organ, ki ima policijska pooblastila:</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prepove vožnjo po površinah, navedenih v odstavkih I in II;</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dovoli vožnjo po pločniku pod pogojem, da vožnja poteka v hitrosti hoje in ne ogroža varnosti pešcev.</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 xml:space="preserve">IV – Vsak voznik, ki krši določbe iz odstavkov I in II ali omejitve vožnje, določene na podlagi točke 1 odstavka III, se kaznuje z globo, določeno za kršitve drugega razreda.</w:t>
      </w:r>
      <w:r>
        <w:t xml:space="preserve">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 xml:space="preserve">V primeru izkoriščanja dovoljenja iz določb točke 2 odstavka III se vsak voznik posebnega osebnega prevoznega sredstva z motorjem, ki vozi po pločniku in svoje hitrosti ne prilagodi hitrosti hoje ali ogroža varnost pešcev, kaznuje z globo, predpisano za kršitve drugega razreda.</w:t>
      </w:r>
      <w:r>
        <w:t xml:space="preserve"> </w:t>
      </w:r>
      <w:r>
        <w:t xml:space="preserve">“</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rPr>
        <w:t xml:space="preserve">„</w:t>
      </w:r>
      <w:r>
        <w:rPr>
          <w:rStyle w:val="Policepardfaut"/>
          <w:i/>
          <w:iCs/>
        </w:rPr>
        <w:t xml:space="preserve">Člen R. 412-43-2.</w:t>
      </w:r>
      <w:r>
        <w:rPr>
          <w:rStyle w:val="Policepardfaut"/>
        </w:rPr>
        <w:t xml:space="preserve"> – Voznikom posebnih osebnih prevoznih sredstev z motorjem je prepovedano potiskati ali vleči tovor ali vozilo.</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 xml:space="preserve">Voznikom posebnih osebnih prevoznih sredstev je prepovedana vleka z drugim vozilom.</w:t>
      </w:r>
      <w:r>
        <w:rPr>
          <w:color w:val="auto"/>
        </w:rPr>
        <w:t xml:space="preserve">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 xml:space="preserve">Kršitev določb iz tega člena se kaznuje z globo, določeno za kršitve drugega razreda.</w:t>
      </w:r>
      <w:r>
        <w:rPr>
          <w:color w:val="auto"/>
        </w:rPr>
        <w:t xml:space="preserve"> </w:t>
      </w:r>
      <w:r>
        <w:rPr>
          <w:color w:val="auto"/>
        </w:rPr>
        <w:t xml:space="preserve">“</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„Člen R. 412-43-3.- </w:t>
      </w:r>
      <w:r>
        <w:rPr>
          <w:rStyle w:val="Policepardfaut"/>
        </w:rPr>
        <w:t xml:space="preserve">I. – Vsak voznik posebnega osebnega prevoznega sredstva mora biti star najmanj osem let.</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 xml:space="preserve">II. – Med vožnjo ponoči ali podnevi, ko je vidljivost nezadostna, mora vsak voznik posebnega osebnega prevoznega sredstva z motorjem nositi bodisi dobro viden telovnik, skladen s predpisi, bodisi odsevno opremo, katere značilnosti so določene v odredbi ministra, odgovornega za varnost v cestnem prometu.</w:t>
      </w:r>
      <w:r>
        <w:rPr>
          <w:color w:val="auto"/>
        </w:rPr>
        <w:t xml:space="preserve"> </w:t>
      </w:r>
      <w:r>
        <w:rPr>
          <w:color w:val="auto"/>
        </w:rPr>
        <w:t xml:space="preserve">Voznik lahko nosi dodatno svetlobno napravo, ki ne slepi in ne utripa.</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 xml:space="preserve">III. – Vsak voznik posebnega osebnega prevoznega sredstva z motorjem, mlajši od dvanajst let, mora med vožnjo nositi čelado v skladu s predpisi glede osebne zaščitne opreme.</w:t>
      </w:r>
      <w:r>
        <w:rPr>
          <w:color w:val="auto"/>
        </w:rPr>
        <w:t xml:space="preserve"> </w:t>
      </w:r>
      <w:r>
        <w:rPr>
          <w:color w:val="auto"/>
        </w:rPr>
        <w:t xml:space="preserve">Ta čelada mora biti pritrjena.</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 Oseba, mlajša od osemnajst let, ki spremlja vsaj enega voznika posebnega osebnega prevoznega sredstva z motorjem, mlajšega od dvanajst let, mora med izvajanjem pravne ali dejanske avtoritete nad tem voznikom ali vozniki zagotoviti, da vsak od njih nosi čelado v skladu pogoji iz prejšnjega pododstavka.</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 xml:space="preserve">V. – Prevoz potnikov s posebnimi osebnimi prevoznimi sredstvi z motorjem ni dovoljen.</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 xml:space="preserve">VI. – Kršitev določb iz odstavka II in V se kaznuje z globo, določeno za kršitve drugega razreda.</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 xml:space="preserve">Vsaka polnoletna oseba, ki spremlja voznika posebnega osebnega prevoznega sredstva, mlajšega od osmih let, ali ne upošteva določb iz odstavka IV, se kaznuje z globo, predpisano za kršitve četrtega razreda.</w:t>
      </w:r>
      <w:r>
        <w:rPr>
          <w:color w:val="auto"/>
        </w:rPr>
        <w:t xml:space="preserve"> </w:t>
      </w:r>
      <w:r>
        <w:rPr>
          <w:color w:val="auto"/>
        </w:rPr>
        <w:t xml:space="preserve">“</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 xml:space="preserve">Člen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V drugem in petem pododstavku člena R. 415-2 se za besedilom:</w:t>
      </w:r>
      <w:r>
        <w:rPr>
          <w:rStyle w:val="Policepardfaut"/>
        </w:rPr>
        <w:t xml:space="preserve"> </w:t>
      </w:r>
      <w:r>
        <w:rPr>
          <w:rStyle w:val="Policepardfaut"/>
        </w:rPr>
        <w:t xml:space="preserve">„razen kolesa“ vstavi besedilo:</w:t>
      </w:r>
      <w:r>
        <w:rPr>
          <w:rStyle w:val="Policepardfaut"/>
        </w:rPr>
        <w:t xml:space="preserve"> </w:t>
      </w:r>
      <w:r>
        <w:rPr>
          <w:rStyle w:val="Policepardfaut"/>
        </w:rPr>
        <w:t xml:space="preserve">„ali posebnega osebnega prevoznega sredstva z motorjem“.</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Člen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V odstavku III člena R. 415-3 se za besedilom:</w:t>
      </w:r>
      <w:r>
        <w:rPr>
          <w:rStyle w:val="Policepardfaut"/>
        </w:rPr>
        <w:t xml:space="preserve"> </w:t>
      </w:r>
      <w:r>
        <w:rPr>
          <w:rStyle w:val="Policepardfaut"/>
        </w:rPr>
        <w:t xml:space="preserve">„prednost kolesom,“ vstavi besedilo:</w:t>
      </w:r>
      <w:r>
        <w:rPr>
          <w:rStyle w:val="Policepardfaut"/>
        </w:rPr>
        <w:t xml:space="preserve"> </w:t>
      </w:r>
      <w:r>
        <w:rPr>
          <w:rStyle w:val="Policepardfaut"/>
        </w:rPr>
        <w:t xml:space="preserve">„posebnim osebnim prevoznim sredstvom z motorjem“.</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Člen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Člen R. 415-4 se spremeni: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v odstavku III se za besedo:</w:t>
      </w:r>
      <w:r>
        <w:t xml:space="preserve"> </w:t>
      </w:r>
      <w:r>
        <w:t xml:space="preserve">„koles,“ vstavi besedilo:</w:t>
      </w:r>
      <w:r>
        <w:t xml:space="preserve"> </w:t>
      </w:r>
      <w:r>
        <w:t xml:space="preserve">„posebnih osebnih prevoznih sredstev z motorjem“;</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v odstavku IV se za besedilom:</w:t>
      </w:r>
      <w:r>
        <w:t xml:space="preserve"> </w:t>
      </w:r>
      <w:r>
        <w:t xml:space="preserve">„vsak voznik kolesa“ vstavi besedilo:</w:t>
      </w:r>
      <w:r>
        <w:t xml:space="preserve"> </w:t>
      </w:r>
      <w:r>
        <w:t xml:space="preserve">„ali posebnega osebnega prevoznega sredstva z motorjem,“.</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Člen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 xml:space="preserve">V točki 2 člena R. 415-15 se za besedilom:</w:t>
      </w:r>
      <w:r>
        <w:t xml:space="preserve"> </w:t>
      </w:r>
      <w:r>
        <w:t xml:space="preserve">„ena za kolesa“ in za besedilom:</w:t>
      </w:r>
      <w:r>
        <w:t xml:space="preserve"> </w:t>
      </w:r>
      <w:r>
        <w:t xml:space="preserve">„stop črta za kolesarje“ vstavi besedilo:</w:t>
      </w:r>
      <w:r>
        <w:t xml:space="preserve"> </w:t>
      </w:r>
      <w:r>
        <w:t xml:space="preserve">„in posebna osebna prevozna sredstva z motorjem“.</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 xml:space="preserve">Člen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Odstavek III člena R. 417-10 se spremeni: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v točki 2 se za besedilom:</w:t>
      </w:r>
      <w:r>
        <w:t xml:space="preserve"> </w:t>
      </w:r>
      <w:r>
        <w:t xml:space="preserve">„dvokolesna kolesa,“ vstavi besedilo:</w:t>
      </w:r>
      <w:r>
        <w:t xml:space="preserve"> </w:t>
      </w:r>
      <w:r>
        <w:t xml:space="preserve">„posebna osebna prevozna sredstva,“;</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v točki 6 se za besedilom:</w:t>
      </w:r>
      <w:r>
        <w:t xml:space="preserve"> </w:t>
      </w:r>
      <w:r>
        <w:t xml:space="preserve">„razen koles“ vstavi besedilo:</w:t>
      </w:r>
      <w:r>
        <w:t xml:space="preserve"> </w:t>
      </w:r>
      <w:r>
        <w:t xml:space="preserve">„in posebnih osebnih prevoznih sredstev“.</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Člen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 xml:space="preserve">V točki 8 odstavka I člena R. 417-11 se za besedilom:</w:t>
      </w:r>
      <w:r>
        <w:t xml:space="preserve"> </w:t>
      </w:r>
      <w:r>
        <w:t xml:space="preserve">„kolesa z električnim pogonom“ vstavi besedilo:</w:t>
      </w:r>
      <w:r>
        <w:t xml:space="preserve"> </w:t>
      </w:r>
      <w:r>
        <w:t xml:space="preserve">„in posebna osebna prevozna sredstva z motorjem“.</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Člen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 xml:space="preserve">Določbe členov 4, 5, 7, 8 in 11 začnejo veljati 1. julija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 xml:space="preserve">Člen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Predsednik vlade, državni minister za ekološko in solidarnostno preoblikovanje, varuhinja pečatov in ministrica za pravosodje, ministrica pri državnem ministru za ekološko in trajnostno preoblikovanje, odgovorna za promet, in minister za notranje zadeve so vsak v skladu s svojimi pristojnostmi odgovorni za izvajanje te uredbe, ki bo objavljena v </w:t>
      </w:r>
      <w:r>
        <w:rPr>
          <w:rStyle w:val="Policepardfaut"/>
          <w:i/>
          <w:iCs/>
        </w:rPr>
        <w:t xml:space="preserve">Uradnem listu</w:t>
      </w:r>
      <w:r>
        <w:rPr>
          <w:rStyle w:val="Policepardfaut"/>
        </w:rPr>
        <w:t xml:space="preserve"> Francoske republike.</w:t>
      </w:r>
    </w:p>
    <w:p w:rsidR="00D80E56" w:rsidRPr="00D80E56" w:rsidRDefault="00D80E56" w:rsidP="00D80E56">
      <w:pPr>
        <w:suppressAutoHyphens w:val="0"/>
        <w:ind w:left="17"/>
        <w:jc w:val="both"/>
      </w:pPr>
    </w:p>
    <w:p w:rsidR="002E1BE9" w:rsidRPr="00D80E56" w:rsidRDefault="00C3678D" w:rsidP="00D80E56">
      <w:pPr>
        <w:suppressAutoHyphens w:val="0"/>
      </w:pPr>
      <w:r>
        <w:t xml:space="preserve">V</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 xml:space="preserve">Za predsednika vlade:</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 xml:space="preserve">D</w:t>
      </w:r>
      <w:r>
        <w:t xml:space="preserve">ržavni minister za ekološko in trajnostno preoblikovanje</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 xml:space="preserve">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 xml:space="preserve">Varuhinja pečatov in ministrica za pravosodje</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 xml:space="preserve">Minister za notranje zadeve</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 xml:space="preserve">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Ministrica pri državnem ministru za ekološko in solidarnostno preoblikovanje, odgovorna za promet</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sl-SI"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sl-SI"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2574</Words>
  <Characters>12278</Characters>
  <Application>Microsoft Office Word</Application>
  <DocSecurity>0</DocSecurity>
  <Lines>409</Lines>
  <Paragraphs>168</Paragraphs>
  <ScaleCrop>false</ScaleCrop>
  <Company>Microsoft</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Tordai, Vera</cp:lastModifiedBy>
  <cp:revision>8</cp:revision>
  <dcterms:created xsi:type="dcterms:W3CDTF">2019-04-12T14:32:00Z</dcterms:created>
  <dcterms:modified xsi:type="dcterms:W3CDTF">2019-05-08T07:17:00Z</dcterms:modified>
  <dc:language>fr-FR</dc:language>
</cp:coreProperties>
</file>