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028A" w14:textId="1D61A2C4" w:rsidR="00BC77E7" w:rsidRDefault="00BC77E7" w:rsidP="00BC77E7">
      <w:pPr>
        <w:autoSpaceDE w:val="0"/>
        <w:autoSpaceDN w:val="0"/>
        <w:adjustRightInd w:val="0"/>
        <w:spacing w:after="0" w:line="240" w:lineRule="auto"/>
      </w:pPr>
      <w:r>
        <w:t xml:space="preserve">15 stycznia 2021 r. nr 65. </w:t>
      </w:r>
    </w:p>
    <w:p w14:paraId="45ADF66B" w14:textId="77777777" w:rsidR="00BC77E7" w:rsidRPr="00BC77E7" w:rsidRDefault="00BC77E7" w:rsidP="00BC77E7">
      <w:pPr>
        <w:autoSpaceDE w:val="0"/>
        <w:autoSpaceDN w:val="0"/>
        <w:adjustRightInd w:val="0"/>
        <w:spacing w:after="0" w:line="240" w:lineRule="auto"/>
      </w:pPr>
    </w:p>
    <w:p w14:paraId="6488B9B1" w14:textId="5BDA66F1" w:rsidR="00F0199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  <w:r>
        <w:rPr>
          <w:sz w:val="32"/>
        </w:rPr>
        <w:t>Rozporządzenie w sprawie zakazu reklamy, umieszczania i prezentowania itd. w widocznym miejscu papierosów elektronicznych i pojemników zapasowych z nikotyną i bez nikotyny</w:t>
      </w:r>
    </w:p>
    <w:p w14:paraId="6488B9B2" w14:textId="77777777" w:rsidR="00F01996" w:rsidRPr="00ED3068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6488B9B3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B6" w14:textId="3DD35012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</w:rPr>
        <w:t>Na podstawie § 18 a ust. 4 ustawy o papierosach elektronicznych itd., zob. ustawa nr</w:t>
      </w:r>
      <w:r>
        <w:rPr>
          <w:rFonts w:ascii="Calibri" w:hAnsi="Calibri"/>
          <w:color w:val="000000"/>
          <w:sz w:val="24"/>
        </w:rPr>
        <w:t xml:space="preserve"> 426 z dnia 18 maja 2016 r. o papierosach elektronicznych itd., zmieniona ustawą nr 2071 z dnia 21 grudnia 2020 r., rozporządza się, co następuje:</w:t>
      </w:r>
    </w:p>
    <w:p w14:paraId="70485E1B" w14:textId="77777777" w:rsidR="007A77E9" w:rsidRDefault="007A77E9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14:paraId="6488B9B7" w14:textId="4CBC5652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1</w:t>
      </w:r>
    </w:p>
    <w:p w14:paraId="6488B9B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  <w:sz w:val="24"/>
          <w:szCs w:val="24"/>
        </w:rPr>
      </w:pPr>
      <w:r>
        <w:rPr>
          <w:i/>
          <w:sz w:val="24"/>
        </w:rPr>
        <w:t>Zakres stosowania i definicje</w:t>
      </w:r>
    </w:p>
    <w:p w14:paraId="6488B9B9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488B9BA" w14:textId="77777777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bookmarkStart w:id="0" w:name="_Hlk90285378"/>
      <w:r>
        <w:rPr>
          <w:b/>
          <w:sz w:val="24"/>
        </w:rPr>
        <w:t>§</w:t>
      </w:r>
      <w:bookmarkEnd w:id="0"/>
      <w:r>
        <w:rPr>
          <w:b/>
          <w:sz w:val="24"/>
        </w:rPr>
        <w:t xml:space="preserve"> 1. </w:t>
      </w:r>
      <w:r>
        <w:rPr>
          <w:sz w:val="24"/>
        </w:rPr>
        <w:t>Niniejsze rozporządzenie stosuje się do:</w:t>
      </w:r>
    </w:p>
    <w:p w14:paraId="6488B9BB" w14:textId="77777777" w:rsidR="00F01996" w:rsidRPr="00F01996" w:rsidRDefault="00F01996" w:rsidP="00F019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papierosów elektronicznych i pojemników zapasowych zawierających nikotynę, które nie są dopuszczone na podstawie pozwolenia na dopuszczenie do obrotu przewidzianego ustawą o produktach leczniczych bądź zgodnie z przepisami UE ustanawiającymi wspólnotowe procedury wydawania pozwoleń na produkty lecznicze stosowane u ludzi, lub które są wprowadzane do obrotu jako wyroby medyczne oznakowanie CE zgodnie z rozporządzeniem o wyrobach medycznych oraz</w:t>
      </w:r>
    </w:p>
    <w:p w14:paraId="6488B9BC" w14:textId="77777777" w:rsidR="00F01996" w:rsidRPr="00F01996" w:rsidRDefault="00F01996" w:rsidP="00F019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papierosów elektronicznych i pojemników zapasowych bez nikotyny.</w:t>
      </w:r>
    </w:p>
    <w:p w14:paraId="6488B9BD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BE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bookmarkStart w:id="1" w:name="_Hlk90285383"/>
      <w:r>
        <w:rPr>
          <w:i/>
          <w:sz w:val="24"/>
        </w:rPr>
        <w:t xml:space="preserve">Ust. </w:t>
      </w:r>
      <w:bookmarkEnd w:id="1"/>
      <w:r>
        <w:rPr>
          <w:i/>
          <w:sz w:val="24"/>
        </w:rPr>
        <w:t>2.</w:t>
      </w:r>
      <w:r>
        <w:rPr>
          <w:sz w:val="24"/>
        </w:rPr>
        <w:t xml:space="preserve"> Do celów niniejszego rozporządzenia stosuje się następujące definicje:</w:t>
      </w:r>
    </w:p>
    <w:p w14:paraId="0BC869E2" w14:textId="77777777" w:rsidR="00350BF0" w:rsidRDefault="00F01996" w:rsidP="00F0199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Papieros elektroniczny: Wyrób, który może być wykorzystywany do spożycia pary zawierającej nikotynę lub niezawierającej nikotyny za pomocą ustnika, lub elementy tego wyrobu, w tym kartridże, zbiorniki zapasowe i urządzenia bez kartridża lub zbiornika. Papierosy elektroniczne mogą być jednorazowego użytku albo wielokrotnego napełniania za pomocą pojemnika zapasowego lub zbiornika lub do wielokrotnego ładowania za pomocą kartridżów jednorazowych.</w:t>
      </w:r>
    </w:p>
    <w:p w14:paraId="6488B9C0" w14:textId="234F153E" w:rsidR="00F01996" w:rsidRDefault="00F01996" w:rsidP="00F0199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Pojemnik zapasowy: naczynie z płynem zawierającym nikotynę bądź niezawierającym nikotyny, które można wykorzystać do ponownego napełnienia papierosa elektronicznego z nikotyna lub bez nikotyny.</w:t>
      </w:r>
    </w:p>
    <w:p w14:paraId="2BEEA080" w14:textId="77777777" w:rsidR="007A77E9" w:rsidRPr="00350BF0" w:rsidRDefault="007A77E9" w:rsidP="007A77E9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C1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9C2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2</w:t>
      </w:r>
    </w:p>
    <w:p w14:paraId="6488B9C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 xml:space="preserve">Reklama </w:t>
      </w:r>
    </w:p>
    <w:p w14:paraId="6488B9C4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488B9C5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 2. </w:t>
      </w:r>
      <w:r>
        <w:rPr>
          <w:sz w:val="24"/>
        </w:rPr>
        <w:t>Wszelkie formy reklamy papierosów elektronicznych i pojemników zapasowych są zakazane, por. § 16 ust. 1 ustawy o papierosach elektronicznych itd.</w:t>
      </w:r>
    </w:p>
    <w:p w14:paraId="6488B9C6" w14:textId="77777777" w:rsidR="00F01996" w:rsidRPr="005124ED" w:rsidRDefault="00F01996" w:rsidP="00F01996">
      <w:pPr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sz w:val="24"/>
        </w:rPr>
        <w:tab/>
      </w:r>
    </w:p>
    <w:p w14:paraId="6488B9C7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2. </w:t>
      </w:r>
      <w:r>
        <w:rPr>
          <w:sz w:val="24"/>
        </w:rPr>
        <w:t>Zakaz reklamy określony w ust. 1 obejmuje zakaz:</w:t>
      </w:r>
    </w:p>
    <w:p w14:paraId="6488B9C8" w14:textId="36FD4DFC" w:rsidR="00F01996" w:rsidRPr="00350BF0" w:rsidRDefault="00F01996" w:rsidP="00350B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używania w reklamie innych towarów i usług nazwy, marki, symbolu lub innych oznaczeń wyróżniających papieros elektroniczny i pojemnik zapasowy;</w:t>
      </w:r>
    </w:p>
    <w:p w14:paraId="24DD3E42" w14:textId="794BD997" w:rsid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lastRenderedPageBreak/>
        <w:t>wprowadzania do obrotu papierosów elektronicznych i pojemników zapasowych przy użyciu nazwy, marki, symbolu lub innych oznaczeń wyróżniających lub stosowanych do oznakowania innych towarów i usług.</w:t>
      </w:r>
    </w:p>
    <w:p w14:paraId="776D59AF" w14:textId="77777777" w:rsidR="00350BF0" w:rsidRP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wprowadzania do obrotu</w:t>
      </w:r>
      <w:r>
        <w:rPr>
          <w:rFonts w:ascii="Calibri" w:hAnsi="Calibri"/>
          <w:color w:val="000000"/>
          <w:sz w:val="24"/>
        </w:rPr>
        <w:t xml:space="preserve"> papierosów elektronicznych i pojemników zapasowych przy użyciu nazwy, marki, symbolu, znaku lub innych oznaczeń skierowanych przede wszystkim do dzieci i młodzieży do lat 18.</w:t>
      </w:r>
    </w:p>
    <w:p w14:paraId="20861D6A" w14:textId="77777777" w:rsid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używania grafiki, form i określonych kombinacji kolorów kojarzonych z konkretnymi papierosami elektronicznymi i pojemnikami zapasowymi.</w:t>
      </w:r>
    </w:p>
    <w:p w14:paraId="6488B9CE" w14:textId="07995608" w:rsidR="00F01996" w:rsidRP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używania rozpoznawalnych papierosów elektronicznych i pojemników zapasowych w reklamie innych towarów i usług.</w:t>
      </w:r>
    </w:p>
    <w:p w14:paraId="6488B9C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7BB270BC" w14:textId="4C177A7E" w:rsidR="00350BF0" w:rsidRDefault="007A77E9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</w:t>
      </w:r>
      <w:r w:rsidR="00F01996">
        <w:rPr>
          <w:i/>
          <w:sz w:val="24"/>
        </w:rPr>
        <w:t>3</w:t>
      </w:r>
      <w:r>
        <w:rPr>
          <w:i/>
          <w:sz w:val="24"/>
        </w:rPr>
        <w:t>.</w:t>
      </w:r>
      <w:r w:rsidR="00F01996">
        <w:rPr>
          <w:i/>
          <w:sz w:val="24"/>
        </w:rPr>
        <w:t xml:space="preserve"> </w:t>
      </w:r>
      <w:r w:rsidR="00F01996">
        <w:rPr>
          <w:sz w:val="24"/>
        </w:rPr>
        <w:t>Zakaz określony w ust. 1 nie ma natomiast zastosowania do:</w:t>
      </w:r>
    </w:p>
    <w:p w14:paraId="6488B9D1" w14:textId="0608BC57" w:rsidR="00F01996" w:rsidRPr="00350BF0" w:rsidRDefault="00F01996" w:rsidP="00350B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reklamy w prasie i innych publikacjach drukowanych przeznaczonych wyłącznie dla profesjonalistów z branży papierosów elektronicznych lub opakowań zapasowych oraz w publikacjach drukowanych i publikowanych w państwach trzecich, pod warunkiem że nie są one przeznaczone głównie na rynek unijny.</w:t>
      </w:r>
    </w:p>
    <w:p w14:paraId="5FF4BDA2" w14:textId="77777777" w:rsidR="00350BF0" w:rsidRPr="00350BF0" w:rsidRDefault="00F01996" w:rsidP="00F0199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 xml:space="preserve">używania nazwy, która przed dniem 7 czerwca 2016 r. była stosowana w odniesieniu do zarówno papierosów elektronicznych, jak i pojemników zapasowych oraz innych towarów i usług na potrzeby reklamy tych innych wyrobów, o ile postać tej nazwy wyraźnie odróżnia ją od wyglądu nazwy widniejącej na papierosie elektronicznym </w:t>
      </w:r>
      <w:r>
        <w:rPr>
          <w:rFonts w:ascii="Calibri" w:hAnsi="Calibri"/>
          <w:color w:val="000000"/>
          <w:sz w:val="24"/>
        </w:rPr>
        <w:t>i pojemniku zapasowym</w:t>
      </w:r>
      <w:r>
        <w:rPr>
          <w:sz w:val="24"/>
        </w:rPr>
        <w:t>.</w:t>
      </w:r>
    </w:p>
    <w:p w14:paraId="6488B9D5" w14:textId="7C901215" w:rsidR="00F01996" w:rsidRPr="007A77E9" w:rsidRDefault="00F01996" w:rsidP="001671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>używania nazwy kojarzonej z papierosami elektronicznymi w reklamie innych towarów i usług, jeśli inny towar lub inna usługa są wprowadzane do obrotu jedynie na ograniczonym obszarze geograficznym.</w:t>
      </w:r>
    </w:p>
    <w:p w14:paraId="3E12A9B0" w14:textId="77777777" w:rsidR="007A77E9" w:rsidRPr="00350BF0" w:rsidRDefault="007A77E9" w:rsidP="007A77E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88B9D6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9D7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 3</w:t>
      </w:r>
    </w:p>
    <w:p w14:paraId="6488B9D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Zakaz umieszczania i prezentowania w widocznym miejscu w fizycznym punkcie sprzedaży</w:t>
      </w:r>
    </w:p>
    <w:p w14:paraId="6488B9D9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14:paraId="6488B9DA" w14:textId="784B7A37" w:rsidR="00F01996" w:rsidRPr="005124ED" w:rsidRDefault="007A77E9" w:rsidP="00F01996">
      <w:pPr>
        <w:autoSpaceDE w:val="0"/>
        <w:autoSpaceDN w:val="0"/>
        <w:adjustRightInd w:val="0"/>
        <w:spacing w:after="0" w:line="240" w:lineRule="auto"/>
        <w:rPr>
          <w:rStyle w:val="tlid-translation"/>
          <w:rFonts w:cstheme="minorHAnsi"/>
          <w:color w:val="000000" w:themeColor="text1"/>
          <w:sz w:val="24"/>
          <w:szCs w:val="24"/>
        </w:rPr>
      </w:pPr>
      <w:r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="00F01996">
        <w:rPr>
          <w:b/>
          <w:sz w:val="24"/>
        </w:rPr>
        <w:t xml:space="preserve">3. </w:t>
      </w:r>
      <w:r w:rsidR="00F01996">
        <w:rPr>
          <w:sz w:val="24"/>
        </w:rPr>
        <w:t>Umieszczanie i prezentowanie papierosów elektronicznych i pojemników zapasowych w widocznym miejscu w punkcie sprzedaży jest zakazane</w:t>
      </w:r>
      <w:r w:rsidR="00F01996">
        <w:rPr>
          <w:rStyle w:val="tlid-translation"/>
          <w:color w:val="000000" w:themeColor="text1"/>
          <w:sz w:val="24"/>
        </w:rPr>
        <w:t>. Jednakże wyeksponowanie asortymentu może nastąpić na uprzednie życzenie nabywcy.</w:t>
      </w:r>
    </w:p>
    <w:p w14:paraId="6488B9DB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rStyle w:val="tlid-translation"/>
          <w:color w:val="000000" w:themeColor="text1"/>
          <w:sz w:val="24"/>
        </w:rPr>
      </w:pPr>
    </w:p>
    <w:p w14:paraId="6488B9DC" w14:textId="77777777" w:rsidR="00F01996" w:rsidRPr="00202056" w:rsidRDefault="00F01996" w:rsidP="00F01996">
      <w:pPr>
        <w:rPr>
          <w:sz w:val="24"/>
        </w:rPr>
      </w:pPr>
      <w:r>
        <w:rPr>
          <w:i/>
          <w:sz w:val="24"/>
        </w:rPr>
        <w:t xml:space="preserve">Ust. 2. </w:t>
      </w:r>
      <w:r>
        <w:rPr>
          <w:sz w:val="24"/>
        </w:rPr>
        <w:t xml:space="preserve">Wyroby przeznaczone do stosowania razem z wyrobami, o których mowa w ust. 1, również są objęte zakazem określonym w ust. 1. </w:t>
      </w:r>
    </w:p>
    <w:p w14:paraId="6488B9DD" w14:textId="7D58C4BE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3.</w:t>
      </w:r>
      <w:r>
        <w:rPr>
          <w:sz w:val="24"/>
        </w:rPr>
        <w:t xml:space="preserve"> Zakaz określony w ust. 2 obejmuje, między innymi, ładowarki, puste pojemniki zapasowe, opakowania, baterie i dodatki aromatyzujące. Zakaz określony w ust. 2 nie obejmuje wyrobów bardziej ogólnego przeznaczenia, chyba że są one specjalnie projektowane lub wprowadzane do obrotu w związku z papierosami elektronicznymi lub pojemnikami zapasowymi.</w:t>
      </w:r>
    </w:p>
    <w:p w14:paraId="6488B9DE" w14:textId="77777777" w:rsidR="00F01996" w:rsidRPr="00D819D9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88B9DF" w14:textId="77777777" w:rsidR="00F01996" w:rsidRPr="00D819D9" w:rsidRDefault="00F01996" w:rsidP="00F01996">
      <w:pPr>
        <w:rPr>
          <w:rStyle w:val="tlid-translation"/>
          <w:color w:val="000000" w:themeColor="text1"/>
          <w:sz w:val="24"/>
          <w:szCs w:val="24"/>
        </w:rPr>
      </w:pPr>
      <w:r>
        <w:rPr>
          <w:i/>
          <w:sz w:val="24"/>
        </w:rPr>
        <w:t xml:space="preserve">Ust. 4. </w:t>
      </w:r>
      <w:r>
        <w:rPr>
          <w:sz w:val="24"/>
        </w:rPr>
        <w:t>W celu zapewnienia zgodności z zakazem określonym w ust. 1 i 2 zabronione jest:</w:t>
      </w:r>
    </w:p>
    <w:p w14:paraId="6488B9E0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t xml:space="preserve">reklamowanie lub informowanie, w sposób pośredni lub bezpośredni, o dostępności w </w:t>
      </w:r>
      <w:r>
        <w:rPr>
          <w:sz w:val="24"/>
        </w:rPr>
        <w:t>sprzedaży papierosów elektronicznych i pojemników zapasowych</w:t>
      </w:r>
      <w:r>
        <w:rPr>
          <w:rStyle w:val="tlid-translation"/>
          <w:color w:val="000000" w:themeColor="text1"/>
          <w:sz w:val="24"/>
        </w:rPr>
        <w:t xml:space="preserve"> w punkcie sprzedaży,</w:t>
      </w:r>
    </w:p>
    <w:p w14:paraId="6488B9E1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t xml:space="preserve">używanie tekstów, ilustracji, zdjęć, kolorów, logotypów, symboli i innych znaków, które mogą być przez konsumenta rozumiane jako nawiązujące do wyrobów lub kategorii </w:t>
      </w:r>
      <w:r>
        <w:rPr>
          <w:rStyle w:val="tlid-translation"/>
          <w:color w:val="000000" w:themeColor="text1"/>
          <w:sz w:val="24"/>
        </w:rPr>
        <w:lastRenderedPageBreak/>
        <w:t xml:space="preserve">wyrobów, o których mowa w ust. 1 i 2, lub sugerować, że takie wyroby mają korzystny wpływ na zdrowie, są mniej szkodliwe od innych, </w:t>
      </w:r>
      <w:r>
        <w:rPr>
          <w:sz w:val="24"/>
        </w:rPr>
        <w:t>pomagają rzucić palenie</w:t>
      </w:r>
      <w:r>
        <w:rPr>
          <w:rStyle w:val="tlid-translation"/>
          <w:color w:val="000000" w:themeColor="text1"/>
          <w:sz w:val="24"/>
        </w:rPr>
        <w:t xml:space="preserve"> lub wywołują inne pozytywne skutki lub korzyści; lub </w:t>
      </w:r>
    </w:p>
    <w:p w14:paraId="6488B9E2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t xml:space="preserve">podkreślanie kolorystyki, specjalne oświetlenie i stosowanie podobnych efektów wyróżniających te wyroby na tle pozostałych w punkcie sprzedaży.  </w:t>
      </w:r>
    </w:p>
    <w:p w14:paraId="6488B9E3" w14:textId="77777777" w:rsidR="00F01996" w:rsidRPr="00D819D9" w:rsidRDefault="00F01996" w:rsidP="00F01996">
      <w:pPr>
        <w:rPr>
          <w:rStyle w:val="tlid-translation"/>
          <w:rFonts w:cstheme="minorHAnsi"/>
          <w:color w:val="FF0000"/>
          <w:sz w:val="24"/>
          <w:szCs w:val="24"/>
        </w:rPr>
      </w:pPr>
    </w:p>
    <w:p w14:paraId="6488B9E4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9E5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4</w:t>
      </w:r>
    </w:p>
    <w:p w14:paraId="6488B9E6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Neutralne informacje o towarach i cenach w fizycznych punktach sprzedaży</w:t>
      </w:r>
    </w:p>
    <w:p w14:paraId="6488B9E7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14:paraId="6488B9E8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 4. </w:t>
      </w:r>
      <w:r>
        <w:rPr>
          <w:sz w:val="24"/>
        </w:rPr>
        <w:t>W fizycznych punktach sprzedaży kupującym mogą być udostępniane neutralne informacje o rodzaju i cenie sprzedawanych papierosów elektronicznych i pojemników zapasowych z nikotyną i bez nikotyny.</w:t>
      </w:r>
    </w:p>
    <w:p w14:paraId="6488B9E9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9EA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2.</w:t>
      </w:r>
      <w:r>
        <w:rPr>
          <w:sz w:val="24"/>
        </w:rPr>
        <w:t xml:space="preserve"> Informacje dozwolone zgodnie z ust. 1 to:</w:t>
      </w:r>
    </w:p>
    <w:p w14:paraId="6488B9EB" w14:textId="77777777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 xml:space="preserve">marka i nazwa wyrobu, </w:t>
      </w:r>
    </w:p>
    <w:p w14:paraId="6488B9EC" w14:textId="41380EA3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ilość, waga i objętość oraz,</w:t>
      </w:r>
    </w:p>
    <w:p w14:paraId="6488B9ED" w14:textId="77777777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cena.</w:t>
      </w:r>
    </w:p>
    <w:p w14:paraId="6488B9EE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E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3. </w:t>
      </w:r>
      <w:r>
        <w:rPr>
          <w:sz w:val="24"/>
        </w:rPr>
        <w:t>Informacje wskazane w ust. 2 zapisuje się w formie listy czarną czcionką na białym arkuszu formatu A4 lub mniejszego, na którym zakazane jest umieszczanie jakichkolwiek ilustracji, zdjęć, pogrubionych napisów, kolorów, logotypów, symboli oraz innego tekstu, z zastrzeżeniem ust. 4. Żadna informacja z listy nie może być wyróżniona, a wszystkie powinny być:</w:t>
      </w:r>
    </w:p>
    <w:p w14:paraId="6488B9F0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uporządkowane w kolejności alfabetycznej według marki wyrobu,</w:t>
      </w:r>
    </w:p>
    <w:p w14:paraId="6488B9F1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podane w następującej kolejności: marka wyrobu, nazwa wyrobu, ilość, waga, objętość i cena, oraz</w:t>
      </w:r>
    </w:p>
    <w:p w14:paraId="6488B9F2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zapisane taką samą czcionką w takim samym rozmiarze. Rozmiar czcionki nie może przekraczać 14 punktów typograficznych.</w:t>
      </w:r>
    </w:p>
    <w:p w14:paraId="6488B9F3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9F4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 xml:space="preserve">Ust. 4. </w:t>
      </w:r>
      <w:r>
        <w:rPr>
          <w:sz w:val="24"/>
        </w:rPr>
        <w:t xml:space="preserve">Lista określona w ust. 3 musi zawierać informację o granicy wiekowej do sprzedaży papierosów elektronicznych i pojemników zapasowych z nikotyną i bez nikotyny, por. § 15 ust. 1 ustawy o papierosach elektronicznych itd. przygotowanej przez Duński Urząd Zdrowia. </w:t>
      </w:r>
    </w:p>
    <w:p w14:paraId="6488B9F5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F6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i/>
          <w:sz w:val="24"/>
        </w:rPr>
        <w:t xml:space="preserve">Ust. 5. </w:t>
      </w:r>
      <w:r>
        <w:rPr>
          <w:sz w:val="24"/>
        </w:rPr>
        <w:t>Każdy wyrób z listy określonej w ust. 3 musi posiadać numer.</w:t>
      </w:r>
    </w:p>
    <w:p w14:paraId="6488B9F7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F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Ust. 6.</w:t>
      </w:r>
      <w:r>
        <w:rPr>
          <w:sz w:val="24"/>
        </w:rPr>
        <w:t xml:space="preserve"> Informacje podane na liście zgodnie z ust. 3 mogą zostać podzielone na jedną lub więcej kategorii: „papierosy elektroniczne”, „pojemniki zapasowe z płynem”, „opakowania łączone” i „inne”. Kategorie wymienione w wykazie można podzielić na wyroby z nikotyną i bez nikotyny. Klasyfikacja w kategoriach jest zgodna z definicjami papierosów elektronicznych i pojemników zapasowych zawartymi w ustawie o papierosach elektronicznych itp.</w:t>
      </w:r>
    </w:p>
    <w:p w14:paraId="6488B9F9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9FA" w14:textId="2916CF1A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7.</w:t>
      </w:r>
      <w:r>
        <w:rPr>
          <w:sz w:val="24"/>
        </w:rPr>
        <w:t xml:space="preserve"> Lista sporządzona zgodnie z ust. 3 może zostać okazana na żądanie kupującego lub być umieszczona przy kasie obsługiwanej przez sprzedawcę.</w:t>
      </w:r>
    </w:p>
    <w:p w14:paraId="6488B9FB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9FC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Rozdział 5</w:t>
      </w:r>
    </w:p>
    <w:p w14:paraId="6488B9FD" w14:textId="77777777" w:rsidR="00F01996" w:rsidRPr="00202056" w:rsidRDefault="00F01996" w:rsidP="00F01996">
      <w:pPr>
        <w:jc w:val="center"/>
        <w:rPr>
          <w:i/>
          <w:sz w:val="24"/>
        </w:rPr>
      </w:pPr>
      <w:r>
        <w:rPr>
          <w:i/>
          <w:sz w:val="24"/>
        </w:rPr>
        <w:t>Sprzedaż prowadzona online i przy pomocy rozwiązań cyfrowych</w:t>
      </w:r>
    </w:p>
    <w:p w14:paraId="6488B9FE" w14:textId="4B31AE5F" w:rsidR="00F01996" w:rsidRPr="005124ED" w:rsidRDefault="007A77E9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="00F01996">
        <w:rPr>
          <w:b/>
          <w:sz w:val="24"/>
        </w:rPr>
        <w:t>5.</w:t>
      </w:r>
      <w:r w:rsidR="00F01996">
        <w:rPr>
          <w:sz w:val="24"/>
        </w:rPr>
        <w:t xml:space="preserve"> Zakaz umieszczania i prezentowania w widocznym miejscu papierosów elektronicznych i pojemników zapasowych, o którym mowa w § 3 ust. 1-3, ma również zastosowanie do sprzedaży prowadzonej przy pomocy rozwiązań cyfrowych, takich jak strony internetowe sklepów detalicznych, sklepy internetowe, firmowe strony internetowe, strony firmowe w mediach społecznościowych i aplikacje sprzedażowe bądź ukierunkowane na konsumenta.</w:t>
      </w:r>
    </w:p>
    <w:p w14:paraId="6488B9F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0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2. </w:t>
      </w:r>
      <w:r>
        <w:rPr>
          <w:sz w:val="24"/>
        </w:rPr>
        <w:t xml:space="preserve">W punktach sprzedaży, o których mowa w ust. 1, kupującym mogą być udostępniane neutralne informacje o rodzaju i cenie sprzedawanych papierosów elektronicznych i pojemników zapasowych. Ponadto na opakowaniu produktów można podać informacje, jak również informacje techniczne umożliwiające klientowi ocenę, z którymi innymi produktami dany produkt jest zgodny. </w:t>
      </w:r>
    </w:p>
    <w:p w14:paraId="6488BA01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2" w14:textId="7988E506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Ust. 3.</w:t>
      </w:r>
      <w:r>
        <w:rPr>
          <w:sz w:val="24"/>
        </w:rPr>
        <w:t xml:space="preserve"> Informacje, o których mowa w ust. 2, nie mogą stwarzać wrażenia, że papierosy elektroniczne lub płyny w pojemnikach zapasowych przynoszą korzyści zdrowotne, są mniej szkodliwe niż inne produkty lub mają inne korzystne skutki lub korzyści. </w:t>
      </w:r>
    </w:p>
    <w:p w14:paraId="6488BA0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A04" w14:textId="77777777" w:rsidR="00F01996" w:rsidRDefault="00F01996" w:rsidP="00F01996">
      <w:pPr>
        <w:pStyle w:val="CommentText"/>
        <w:spacing w:after="0"/>
        <w:rPr>
          <w:rFonts w:cstheme="minorHAnsi"/>
          <w:sz w:val="24"/>
          <w:szCs w:val="24"/>
        </w:rPr>
      </w:pPr>
      <w:r>
        <w:rPr>
          <w:i/>
          <w:sz w:val="24"/>
        </w:rPr>
        <w:t>Ust. 4.</w:t>
      </w:r>
      <w:r>
        <w:rPr>
          <w:sz w:val="24"/>
        </w:rPr>
        <w:t xml:space="preserve"> Informacje, o których mowa w ust. 2, nie mogą znajdować się na przedniej stronie punktu sprzedaży, z wyjątkiem tego, że mogą być przedstawione kategorie „papierosy elektroniczne”, „pojemniki zapasowe”, „sprzęt do papierosów elektronicznych” i „inne”. Kategorie można podzielić na produkty z nikotyną i bez nikotyny.</w:t>
      </w:r>
    </w:p>
    <w:p w14:paraId="6488BA05" w14:textId="76935414" w:rsidR="00F01996" w:rsidRDefault="00F01996" w:rsidP="00F01996">
      <w:pPr>
        <w:pStyle w:val="CommentText"/>
        <w:spacing w:after="0"/>
        <w:rPr>
          <w:rFonts w:cstheme="minorHAnsi"/>
          <w:sz w:val="24"/>
          <w:szCs w:val="24"/>
        </w:rPr>
      </w:pPr>
      <w:r>
        <w:rPr>
          <w:sz w:val="24"/>
        </w:rPr>
        <w:br/>
      </w:r>
      <w:r>
        <w:rPr>
          <w:i/>
          <w:sz w:val="24"/>
        </w:rPr>
        <w:t xml:space="preserve">Ust. 5. </w:t>
      </w:r>
      <w:r>
        <w:rPr>
          <w:sz w:val="24"/>
        </w:rPr>
        <w:t>Informacje określone w ust. 2 nie mogą być podane z użyciem ilustracji, zdjęć, kolorów, logotypów, symboli ani innego tekstu. Żadna z informacji na liście nie może być wyróżniona ani wyeksponowana, a wszystkie powinny być zapisane czcionką tego samego koloru, typu i tej samej wielkości co czcionka ogólnie stosowana do prezentacji produktów na stronie internetowej.</w:t>
      </w:r>
    </w:p>
    <w:p w14:paraId="6488BA06" w14:textId="77777777" w:rsidR="00F01996" w:rsidRPr="005124ED" w:rsidRDefault="00F01996" w:rsidP="00F01996">
      <w:pPr>
        <w:pStyle w:val="CommentText"/>
        <w:spacing w:after="0"/>
      </w:pPr>
    </w:p>
    <w:p w14:paraId="6488BA0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Ust. 6.</w:t>
      </w:r>
      <w:r>
        <w:rPr>
          <w:sz w:val="24"/>
        </w:rPr>
        <w:t xml:space="preserve"> Zakaz, o którym mowa w ust. 5, nie obejmuje symbolu „miejsce w koszyku” ani innych kwestii związanych z funkcjonowaniem strony internetowej i zapewnieniem dostępności stron internetowych.</w:t>
      </w:r>
    </w:p>
    <w:p w14:paraId="6488BA08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9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7.</w:t>
      </w:r>
      <w:r>
        <w:rPr>
          <w:sz w:val="24"/>
        </w:rPr>
        <w:t xml:space="preserve"> Punkty sprzedaży objęte ust. 1 nie mogą umożliwiać klientom lub odwiedzającym stronę recenzowania, wystawiania oceny lub tym podobnych wyrobów objętych ust. 1, jeśli recenzja itp. w jakikolwiek sposób staje się widoczna lub dostępna dla samych recenzentów lub innych osób niezatrudnionych przez punkt sprzedaży sprzedający wyroby. </w:t>
      </w:r>
    </w:p>
    <w:p w14:paraId="6488BA0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0B" w14:textId="6D049ABA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8. </w:t>
      </w:r>
      <w:r>
        <w:rPr>
          <w:sz w:val="24"/>
        </w:rPr>
        <w:t xml:space="preserve">Punkty sprzedaży, o których mowa w ust. 1, muszą zapewnić, aby przed dokonaniem wyboru produktu klient otrzymał graficzny obraz przygotowany przez Duński Urząd ds. Zdrowia i Leków, przedstawiający limit wiekowy sprzedaży papierosów elektronicznych i pojemników zapasowych, zob. § 15 ust. 1 ustawy o papierosach elektronicznych itp. </w:t>
      </w:r>
    </w:p>
    <w:p w14:paraId="64B0D0F2" w14:textId="6E4CCC06" w:rsidR="007A77E9" w:rsidRDefault="007A77E9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133BE28A" w14:textId="7B6E9262" w:rsidR="007A77E9" w:rsidRDefault="007A77E9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5BF2BA07" w14:textId="09D78546" w:rsidR="007A77E9" w:rsidRDefault="007A77E9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2C208308" w14:textId="77777777" w:rsidR="007A77E9" w:rsidRPr="005124ED" w:rsidRDefault="007A77E9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88BA0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0D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Rozdział 6</w:t>
      </w:r>
    </w:p>
    <w:p w14:paraId="6488BA0E" w14:textId="77777777" w:rsidR="00F01996" w:rsidRPr="00202056" w:rsidRDefault="00F01996" w:rsidP="00F01996">
      <w:pPr>
        <w:spacing w:line="240" w:lineRule="auto"/>
        <w:jc w:val="center"/>
        <w:rPr>
          <w:i/>
          <w:sz w:val="24"/>
        </w:rPr>
      </w:pPr>
      <w:r>
        <w:rPr>
          <w:i/>
          <w:sz w:val="24"/>
        </w:rPr>
        <w:t xml:space="preserve">Fizyczne punkty sprzedaży wyspecjalizowane w sprzedaży papierosów elektronicznych i pojemników zapasowych </w:t>
      </w:r>
    </w:p>
    <w:p w14:paraId="6488BA0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b/>
          <w:sz w:val="24"/>
        </w:rPr>
        <w:t xml:space="preserve">§ 6. </w:t>
      </w:r>
      <w:r>
        <w:rPr>
          <w:sz w:val="24"/>
        </w:rPr>
        <w:t xml:space="preserve">Zakaz umieszczania i prezentowania w widocznym miejscu, o którym mowa w § 3 ust. 1 i 2, nie dotyczy sprzedaży papierosów elektronicznych i pojemników zapasowych z w fizycznych punktach sprzedaży wyspecjalizowanych w sprzedaży tych wyrobów. </w:t>
      </w:r>
    </w:p>
    <w:p w14:paraId="6488BA10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13" w14:textId="21BCFDBB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i/>
          <w:sz w:val="24"/>
        </w:rPr>
        <w:t>Ust. 2.</w:t>
      </w:r>
      <w:r>
        <w:rPr>
          <w:sz w:val="24"/>
        </w:rPr>
        <w:t xml:space="preserve"> Sklep fizyczny określony w ust. 1 uznaje się za wyspecjalizowany w sprzedaży papierosów elektronicznych</w:t>
      </w:r>
      <w:r>
        <w:rPr>
          <w:rFonts w:ascii="Calibri" w:hAnsi="Calibri"/>
          <w:color w:val="000000"/>
          <w:sz w:val="24"/>
        </w:rPr>
        <w:t xml:space="preserve"> i pojemników zapasowych, jeżeli sprzedaje wyłącznie lub głównie papierosy elektroniczne i pojemniki zapasowe z nikotyną i bez nikotyny</w:t>
      </w:r>
      <w:r>
        <w:rPr>
          <w:sz w:val="24"/>
        </w:rPr>
        <w:t>.</w:t>
      </w:r>
    </w:p>
    <w:p w14:paraId="6488BA14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4"/>
        </w:rPr>
      </w:pPr>
    </w:p>
    <w:p w14:paraId="6488BA15" w14:textId="5505EBA8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Ust. 3.</w:t>
      </w:r>
      <w:r>
        <w:rPr>
          <w:sz w:val="24"/>
        </w:rPr>
        <w:t xml:space="preserve"> Odstępstwo od zakazu umieszczania i prezentowania w widocznym miejscy ustanowionego w ust. 1 ma zastosowanie wyłącznie do papierosów elektronicznych i pojemników zapasowych. Jeżeli punkt sprzedaży prowadzi sprzedaż innych produktów lub wyrobów tytoniowych, substytutów tytoniu lub wyrobów ziołowych do palenia, są one objęte zakazem zgodnie z § 3 ust. 1 i 2 oraz zasadami neutralnej informacji o produktach i cenach</w:t>
      </w:r>
      <w:r>
        <w:rPr>
          <w:i/>
          <w:sz w:val="24"/>
        </w:rPr>
        <w:t xml:space="preserve"> lub są one objęte zakazem zgodnie z § 3 ust. 1 i 2 lub § 2 ust. 1 i 2 rozporządzenia w sprawie zakazu umieszczania i prezentowania w widocznym miejscu wyrobów tytoniowych, substytutów tytoniu i wyrobów ziołowych do palenia. </w:t>
      </w:r>
      <w:r>
        <w:rPr>
          <w:sz w:val="24"/>
        </w:rPr>
        <w:t>Ust. 4.</w:t>
      </w:r>
    </w:p>
    <w:p w14:paraId="6488BA1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1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 xml:space="preserve">Ust. 4. </w:t>
      </w:r>
      <w:r>
        <w:rPr>
          <w:sz w:val="24"/>
        </w:rPr>
        <w:t xml:space="preserve">Jeżeli punkt sprzedaży objęty ust. 1 prowadzi sprzedaż papierosów elektronicznych i pojemników zapasowych przy pomocy rozwiązań cyfrowych, takich jak strony internetowe sklepów detalicznych, sklepy internetowe, firmowe strony internetowe, strony firmowe w mediach społecznościowych i aplikacje, podlega przepisom § 5.  </w:t>
      </w:r>
    </w:p>
    <w:p w14:paraId="6488BA18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color w:val="000000" w:themeColor="text1"/>
          <w:sz w:val="24"/>
        </w:rPr>
      </w:pPr>
    </w:p>
    <w:p w14:paraId="6488BA19" w14:textId="77777777" w:rsidR="00F01996" w:rsidRPr="007F49CF" w:rsidRDefault="00F01996" w:rsidP="00F01996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>Ust. 5.</w:t>
      </w:r>
      <w:r>
        <w:rPr>
          <w:color w:val="000000" w:themeColor="text1"/>
          <w:sz w:val="24"/>
        </w:rPr>
        <w:t xml:space="preserve"> W fizycznym punkcie sprzedaży, o którym mowa w ust. 1 zabrania się reklamowania papierosów elektronicznych i pojemników zapasowych w punkcie sprzedaży, w witrynie sklepowej lub na froncie sklepu, z wyjątkiem przypadków przewidzianych w ust. 6. Należy przez to rozumieć m.in.:</w:t>
      </w:r>
    </w:p>
    <w:p w14:paraId="6488BA1A" w14:textId="2614C7F8" w:rsidR="00F01996" w:rsidRPr="007F49CF" w:rsidRDefault="00F01996" w:rsidP="00F019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</w:rPr>
      </w:pPr>
      <w:r>
        <w:rPr>
          <w:sz w:val="24"/>
        </w:rPr>
        <w:t xml:space="preserve">sytuację, w której nie mogą występować żadne elementy, także w otoczeniu produktów, mogące wywoływać efekty promocyjne, min. oświetlenie specjalne, kolory lub efekty, które w inny sposób podkreślają dany produkt, nazwę handlową, cenę lub inne cechy papierosów elektronicznych i pojemników zapasowych; lub </w:t>
      </w:r>
    </w:p>
    <w:p w14:paraId="6488BA1B" w14:textId="77777777" w:rsidR="00F01996" w:rsidRPr="007F49CF" w:rsidRDefault="00F01996" w:rsidP="00F01996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color w:val="000000" w:themeColor="text1"/>
          <w:sz w:val="24"/>
          <w:szCs w:val="24"/>
        </w:rPr>
      </w:pPr>
      <w:r>
        <w:rPr>
          <w:rStyle w:val="tlid-translation"/>
          <w:sz w:val="24"/>
        </w:rPr>
        <w:t>ilustracje, zdjęcia, kolory, logotypy, symbole i inne znaki, które mogą sugerować konsumentowi</w:t>
      </w:r>
      <w:r>
        <w:rPr>
          <w:rStyle w:val="tlid-translation"/>
          <w:color w:val="000000" w:themeColor="text1"/>
          <w:sz w:val="24"/>
        </w:rPr>
        <w:t xml:space="preserve">, że takie wyroby mają korzystny wpływ na zdrowie, są mniej szkodliwe od innych, </w:t>
      </w:r>
      <w:r>
        <w:rPr>
          <w:sz w:val="24"/>
        </w:rPr>
        <w:t>pomagają rzucić palenie</w:t>
      </w:r>
      <w:r>
        <w:rPr>
          <w:rStyle w:val="tlid-translation"/>
          <w:color w:val="000000" w:themeColor="text1"/>
          <w:sz w:val="24"/>
        </w:rPr>
        <w:t xml:space="preserve"> lub wywołują inne pozytywne skutki lub korzyści. </w:t>
      </w:r>
    </w:p>
    <w:p w14:paraId="6488BA1C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6.</w:t>
      </w:r>
      <w:r>
        <w:rPr>
          <w:sz w:val="24"/>
        </w:rPr>
        <w:t xml:space="preserve"> Nazwa fizycznego punktu sprzedaży, o którym mowa w ust. 1 musi być umieszczona na ścianie zewnętrznej sklepu i mieć neutralny wygląd. Nazwa nie może sama w sobie generować efektu reklamy, ale może zawierać słowa „elektroniczne papierosy” lub odnosić się w sposób neutralny do papierosów elektronicznych.</w:t>
      </w:r>
    </w:p>
    <w:p w14:paraId="6488BA1D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A1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7.</w:t>
      </w:r>
      <w:r>
        <w:rPr>
          <w:sz w:val="24"/>
        </w:rPr>
        <w:t xml:space="preserve"> Odstępstwo od zakazu umieszczania i prezentowania w widocznym miejscy ustanowionego w ust. 1 nie umożliwia umieszczania i prezentowania w sposób widoczny papierosów </w:t>
      </w:r>
      <w:r>
        <w:rPr>
          <w:sz w:val="24"/>
        </w:rPr>
        <w:lastRenderedPageBreak/>
        <w:t>elektronicznych i pojemników zapasowych w miejscach innych niż wewnątrz punktu sprzedaży ani rozpowszechniania gazetek reklamowych, oferowania darmowych produktów itp.</w:t>
      </w:r>
    </w:p>
    <w:p w14:paraId="6488BA1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20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21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7</w:t>
      </w:r>
    </w:p>
    <w:p w14:paraId="6488BA22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Automaty samoobsługowe</w:t>
      </w:r>
    </w:p>
    <w:p w14:paraId="6488BA2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488BA24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>§ 7.</w:t>
      </w:r>
      <w:r>
        <w:rPr>
          <w:sz w:val="24"/>
        </w:rPr>
        <w:t xml:space="preserve"> Automaty wydające w systemie samoobsługowym opłacone uprzednio w kasie papierosy elektroniczne lub pojemniki zapasowe muszą mieć neutralny wygląd. Oznaczenia marki, oznaczenia wariantu i ceny, które są podane na automacie, muszą być zapisane czarną czcionką na białym tle.</w:t>
      </w:r>
    </w:p>
    <w:p w14:paraId="6488BA25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6488BA2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Ust. 2.</w:t>
      </w:r>
      <w:r>
        <w:rPr>
          <w:sz w:val="24"/>
        </w:rPr>
        <w:t xml:space="preserve"> Na automacie, o którym mowa w ust. 1, zabronione jest:</w:t>
      </w:r>
    </w:p>
    <w:p w14:paraId="6488BA27" w14:textId="06482A5F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posiadanie lub umieszczanie znaków towarowych i firmowych oraz innych cech charakterystycznych dla tych wyrobów, w tym także zdjęć wyrobu;</w:t>
      </w:r>
    </w:p>
    <w:p w14:paraId="6488BA28" w14:textId="77777777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wyróżnianie informacji oraz</w:t>
      </w:r>
    </w:p>
    <w:p w14:paraId="6488BA29" w14:textId="77777777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posiadanie lub umieszczanie tekstów, ilustracji, zdjęć, kolorów, logotypów, symboli i innych znaków, które mogą sugerować konsumentowi, że dany wyrób sprzedawany w tym automacie ma korzystny wpływ na zdrowie, jest mniej szkodliwy od innych, pomaga rzucić palenie lub wywołuje inne pozytywne skutki lub korzyści..</w:t>
      </w:r>
    </w:p>
    <w:p w14:paraId="6488BA2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6488BA2B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488BA2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2D" w14:textId="33D0B6D4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8</w:t>
      </w:r>
    </w:p>
    <w:p w14:paraId="6488BA2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Kary</w:t>
      </w:r>
    </w:p>
    <w:p w14:paraId="6488BA2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88BA30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 8. </w:t>
      </w:r>
      <w:r>
        <w:rPr>
          <w:sz w:val="24"/>
        </w:rPr>
        <w:t>O ile inne przepisy prawa nie przewidują wyższej kary, karze grzywny podlega ten, kto narusza zakaz ustanowiony w §§ 2 i 3 lub narusza przepisy §§ 4-7.</w:t>
      </w:r>
    </w:p>
    <w:p w14:paraId="6488BA31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2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Ust. 2. </w:t>
      </w:r>
      <w:r>
        <w:rPr>
          <w:sz w:val="24"/>
        </w:rPr>
        <w:t xml:space="preserve"> (osoby prawne) mogą podlegać odpowiedzialności karnej zgodnie z przepisami rozdziału 5 kodeksu karnego.</w:t>
      </w:r>
    </w:p>
    <w:p w14:paraId="657B0863" w14:textId="77777777" w:rsidR="007A77E9" w:rsidRDefault="007A77E9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</w:p>
    <w:p w14:paraId="6488BA33" w14:textId="764F9103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Rozdział 9</w:t>
      </w:r>
    </w:p>
    <w:p w14:paraId="6488BA34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Wejście w życie</w:t>
      </w:r>
    </w:p>
    <w:p w14:paraId="6488BA35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88BA3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 9. </w:t>
      </w:r>
      <w:r>
        <w:rPr>
          <w:sz w:val="24"/>
        </w:rPr>
        <w:t xml:space="preserve">Niniejsze rozporządzenie wchodzi w życie z dniem 1 kwietnia 2021 r. </w:t>
      </w:r>
    </w:p>
    <w:p w14:paraId="6488BA3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9" w14:textId="7DB21CA4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Ministerstwo Zdrowia, dnia 15 stycznia 2021</w:t>
      </w:r>
    </w:p>
    <w:p w14:paraId="6488BA3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B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D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Magnus Heunicke</w:t>
      </w:r>
    </w:p>
    <w:p w14:paraId="6488BA3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</w:rPr>
      </w:pPr>
      <w:r>
        <w:rPr>
          <w:sz w:val="24"/>
        </w:rPr>
        <w:t>/ Mie Saabye</w:t>
      </w:r>
    </w:p>
    <w:p w14:paraId="6488BA47" w14:textId="77777777" w:rsidR="00BD2828" w:rsidRDefault="001E7FAF"/>
    <w:sectPr w:rsidR="00BD28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5933" w14:textId="77777777" w:rsidR="001E7FAF" w:rsidRDefault="001E7FAF" w:rsidP="00350BF0">
      <w:pPr>
        <w:spacing w:after="0" w:line="240" w:lineRule="auto"/>
      </w:pPr>
      <w:r>
        <w:separator/>
      </w:r>
    </w:p>
  </w:endnote>
  <w:endnote w:type="continuationSeparator" w:id="0">
    <w:p w14:paraId="4DD59537" w14:textId="77777777" w:rsidR="001E7FAF" w:rsidRDefault="001E7FAF" w:rsidP="0035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910" w14:textId="77777777" w:rsidR="001E7FAF" w:rsidRDefault="001E7FAF" w:rsidP="00350BF0">
      <w:pPr>
        <w:spacing w:after="0" w:line="240" w:lineRule="auto"/>
      </w:pPr>
      <w:r>
        <w:separator/>
      </w:r>
    </w:p>
  </w:footnote>
  <w:footnote w:type="continuationSeparator" w:id="0">
    <w:p w14:paraId="3E4D31CF" w14:textId="77777777" w:rsidR="001E7FAF" w:rsidRDefault="001E7FAF" w:rsidP="0035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B6"/>
    <w:multiLevelType w:val="hybridMultilevel"/>
    <w:tmpl w:val="A45E59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5205B"/>
    <w:multiLevelType w:val="hybridMultilevel"/>
    <w:tmpl w:val="D31A2F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1221"/>
    <w:multiLevelType w:val="hybridMultilevel"/>
    <w:tmpl w:val="B3EE2FC0"/>
    <w:lvl w:ilvl="0" w:tplc="B420A7B8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45F98"/>
    <w:multiLevelType w:val="hybridMultilevel"/>
    <w:tmpl w:val="D6DC43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96"/>
    <w:rsid w:val="00007AB1"/>
    <w:rsid w:val="001E7FAF"/>
    <w:rsid w:val="001F1C7F"/>
    <w:rsid w:val="003345F5"/>
    <w:rsid w:val="00350BF0"/>
    <w:rsid w:val="0037143F"/>
    <w:rsid w:val="007A77E9"/>
    <w:rsid w:val="007F49CF"/>
    <w:rsid w:val="008B795A"/>
    <w:rsid w:val="00B21D4C"/>
    <w:rsid w:val="00BC77E7"/>
    <w:rsid w:val="00BD5461"/>
    <w:rsid w:val="00BE0E06"/>
    <w:rsid w:val="00EE2588"/>
    <w:rsid w:val="00F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B9AF"/>
  <w15:chartTrackingRefBased/>
  <w15:docId w15:val="{15F0BBD3-4448-4124-BD28-19CA013A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F01996"/>
  </w:style>
  <w:style w:type="paragraph" w:styleId="ListParagraph">
    <w:name w:val="List Paragraph"/>
    <w:basedOn w:val="Normal"/>
    <w:uiPriority w:val="34"/>
    <w:qFormat/>
    <w:rsid w:val="00F01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9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F0"/>
  </w:style>
  <w:style w:type="paragraph" w:styleId="Footer">
    <w:name w:val="footer"/>
    <w:basedOn w:val="Normal"/>
    <w:link w:val="FooterChar"/>
    <w:uiPriority w:val="99"/>
    <w:unhideWhenUsed/>
    <w:rsid w:val="0035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2030</Words>
  <Characters>12327</Characters>
  <Application>Microsoft Office Word</Application>
  <DocSecurity>0</DocSecurity>
  <Lines>267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Friborg Madsen</dc:creator>
  <cp:keywords>class='Internal'</cp:keywords>
  <dc:description/>
  <cp:lastModifiedBy>Ines Varvodic</cp:lastModifiedBy>
  <cp:revision>2</cp:revision>
  <dcterms:created xsi:type="dcterms:W3CDTF">2021-12-13T09:56:00Z</dcterms:created>
  <dcterms:modified xsi:type="dcterms:W3CDTF">2021-12-13T09:56:00Z</dcterms:modified>
</cp:coreProperties>
</file>