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7CE06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76B89" w14:textId="77777777" w:rsidR="0003140A" w:rsidRPr="0003140A" w:rsidRDefault="0003140A" w:rsidP="0003140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Ustawa CI z 2021 r.</w:t>
      </w:r>
    </w:p>
    <w:p w14:paraId="5A6538D1" w14:textId="77777777" w:rsidR="0003140A" w:rsidRPr="0003140A" w:rsidRDefault="0003140A" w:rsidP="0003140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w sprawie niektórych kwestii związanych z zarządzaniem aktywami oraz zmiany niektórych ustaw w celu wzmocnienia spójności systemu prawnego</w:t>
      </w:r>
      <w:r w:rsidRPr="0003140A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footnoteReference w:id="1"/>
      </w:r>
    </w:p>
    <w:p w14:paraId="78417FCA" w14:textId="77777777" w:rsidR="0003140A" w:rsidRDefault="006C6919" w:rsidP="00031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…</w:t>
      </w:r>
    </w:p>
    <w:p w14:paraId="03D06EBC" w14:textId="77777777" w:rsidR="006C6919" w:rsidRDefault="006C6919" w:rsidP="00031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4C9A2" w14:textId="77777777" w:rsidR="006C6919" w:rsidRPr="006C6919" w:rsidRDefault="006C6919" w:rsidP="006C691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</w:rPr>
        <w:t>25. Zmiana ustawy XLII z 1999 r. o ochronie osób niepalących oraz niektórych przepisów dotyczących konsumpcji i dystrybucji wyrobów tytoniowych</w:t>
      </w:r>
    </w:p>
    <w:p w14:paraId="7A28338D" w14:textId="77777777" w:rsidR="006C6919" w:rsidRPr="006C6919" w:rsidRDefault="006C6919" w:rsidP="006C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E910B" w14:textId="0F48E091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>Sekcja 68</w:t>
      </w:r>
      <w:r w:rsidR="004053A9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 ustawie XLII z 1999 r. o ochronie osób niepalących oraz niektórych przepisach dotyczących konsumpcji i dystrybucji wyrobów tytoniowych (zwana dalej „ustawą Nvt”) sekcja 1 lit. </w:t>
      </w:r>
      <w:r>
        <w:rPr>
          <w:rFonts w:ascii="Times New Roman" w:hAnsi="Times New Roman"/>
          <w:i/>
          <w:iCs/>
          <w:sz w:val="24"/>
        </w:rPr>
        <w:t>x)</w:t>
      </w:r>
      <w:r>
        <w:rPr>
          <w:rFonts w:ascii="Times New Roman" w:hAnsi="Times New Roman"/>
          <w:sz w:val="24"/>
        </w:rPr>
        <w:t xml:space="preserve"> otrzymuje brzmienie:</w:t>
      </w:r>
    </w:p>
    <w:p w14:paraId="281F57B2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(Do celów niniejszej ustawy)</w:t>
      </w:r>
    </w:p>
    <w:p w14:paraId="55741583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i/>
          <w:iCs/>
          <w:sz w:val="24"/>
        </w:rPr>
        <w:t>x) numer identyfikacyjny papierosów elektronicznych</w:t>
      </w:r>
      <w:r>
        <w:rPr>
          <w:rFonts w:ascii="Times New Roman" w:hAnsi="Times New Roman"/>
          <w:sz w:val="24"/>
        </w:rPr>
        <w:t xml:space="preserve"> — numer identyfikacyjny używany w odniesieniu do produktów zgłaszanych za pośrednictwem wspólnej elektronicznej bramki wejściowej, określony w decyzji wykonawczej Komisji (UE) 2015/2183 z dnia 24 listopada 2015 r. ustanawiającej wspólny format zgłaszania papierosów elektronicznych i pojemników z wymiennym wkładem;"</w:t>
      </w:r>
    </w:p>
    <w:p w14:paraId="616A383A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>Sekcja 69</w:t>
      </w:r>
      <w:r>
        <w:rPr>
          <w:rFonts w:ascii="Times New Roman" w:hAnsi="Times New Roman"/>
          <w:sz w:val="24"/>
        </w:rPr>
        <w:t xml:space="preserve"> W ustawie Nvt dodaje się sekcję 2/B w brzmieniu:</w:t>
      </w:r>
    </w:p>
    <w:p w14:paraId="42FBE9A7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"Sekcja 2/B Zakazuje się używania produktów zastępujących wyroby tytoniowe zawierających nikotynę w publicznych instytucjach edukacyjnych oraz w instytucjach zajmujących się dobrem i ochroną dzieci.”</w:t>
      </w:r>
    </w:p>
    <w:p w14:paraId="553F8AAD" w14:textId="02B3E67F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Sekcja 70</w:t>
      </w:r>
      <w:r w:rsidR="004053A9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W wyżej wymienionej ustawie sekcja 5 ust. 1-4 otrzymuje brzmienie:</w:t>
      </w:r>
    </w:p>
    <w:p w14:paraId="01B7F4FB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„(1) W odniesieniu do ustawy CXXXIV z 2012 r. o ograniczeniu rozpowszechnienia palenia wśród młodzieży i sprzedaży detalicznej wyrobów tytoniowych (dalej: Fdvtv) zabrania się prowadzenia wszelkiej działalności związanej z handlem detalicznym produktami wymienionymi w sekcji 1 ust. 1</w:t>
      </w:r>
      <w:r>
        <w:rPr>
          <w:rFonts w:ascii="Times New Roman" w:hAnsi="Times New Roman"/>
          <w:i/>
          <w:sz w:val="24"/>
        </w:rPr>
        <w:t xml:space="preserve">(b)-(h) </w:t>
      </w:r>
      <w:r>
        <w:rPr>
          <w:rFonts w:ascii="Times New Roman" w:hAnsi="Times New Roman"/>
          <w:sz w:val="24"/>
        </w:rPr>
        <w:t xml:space="preserve"> w publicznych instytucjach edukacyjnych, instytucjach społecznych zapewniających opiekę osobistą, instytucjach opieki nad dziećmi, instytucjach ochrony dzieci lub instytucjach zdrowia publicznego.</w:t>
      </w:r>
    </w:p>
    <w:p w14:paraId="093DE467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(2) Wyroby tytoniowe i wyroby wymienione w sekcji 1 ust. 1 lit. </w:t>
      </w:r>
      <w:r>
        <w:rPr>
          <w:rFonts w:ascii="Times New Roman" w:hAnsi="Times New Roman"/>
          <w:i/>
          <w:iCs/>
          <w:sz w:val="24"/>
        </w:rPr>
        <w:t>b)-h)</w:t>
      </w:r>
      <w:r>
        <w:rPr>
          <w:rFonts w:ascii="Times New Roman" w:hAnsi="Times New Roman"/>
          <w:sz w:val="24"/>
        </w:rPr>
        <w:t xml:space="preserve"> Fdvtv nie mogą być wprowadzane do obrotu jako próbki towarów.</w:t>
      </w:r>
    </w:p>
    <w:p w14:paraId="26700522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(3) Wyroby tytoniowe i wyroby wymienione w sekcji 1 ust. 1 lit. </w:t>
      </w:r>
      <w:r>
        <w:rPr>
          <w:rFonts w:ascii="Times New Roman" w:hAnsi="Times New Roman"/>
          <w:i/>
          <w:iCs/>
          <w:sz w:val="24"/>
        </w:rPr>
        <w:t>b)-h)</w:t>
      </w:r>
      <w:r>
        <w:rPr>
          <w:rFonts w:ascii="Times New Roman" w:hAnsi="Times New Roman"/>
          <w:sz w:val="24"/>
        </w:rPr>
        <w:t xml:space="preserve"> Fdvtv nie mogą być sprzedawane za pośrednictwem automatów sprzedających.</w:t>
      </w:r>
    </w:p>
    <w:p w14:paraId="3281BF49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(4) Do celów niniejszej sekcji termin „detaliczny handel wyrobami tytoniowymi” oznacza termin zdefiniowany jako taki w Fdvtv.”</w:t>
      </w:r>
    </w:p>
    <w:p w14:paraId="36942B39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Sekcja 71</w:t>
      </w:r>
      <w:r>
        <w:rPr>
          <w:rFonts w:ascii="Times New Roman" w:hAnsi="Times New Roman"/>
          <w:sz w:val="24"/>
        </w:rPr>
        <w:t xml:space="preserve"> W ustawie Nvt dodaje się sekcję 8/A w brzmieniu:</w:t>
      </w:r>
    </w:p>
    <w:p w14:paraId="6D4B07C7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„Sekcja 8/A ust. 1 sekcja 5 ust. 1-4 niniejszej ustawy, ustanowione ustawą CI z 2021 r. o niektórych kwestiach związanych z zarządzaniem aktywami oraz nowelizacją niektórych ustaw w celu wzmocnienia spójności systemu prawnego (dalej: Módtv), służą zapewnieniu zgodności z </w:t>
      </w:r>
      <w:r>
        <w:rPr>
          <w:rFonts w:ascii="Times New Roman" w:hAnsi="Times New Roman"/>
          <w:sz w:val="24"/>
        </w:rPr>
        <w:lastRenderedPageBreak/>
        <w:t>dyrektywą 2006/123/WE Parlamentu Europejskiego i Rady z dnia 12 grudnia 2006 r. dotyczącą usług na rynku wewnętrznym.</w:t>
      </w:r>
    </w:p>
    <w:p w14:paraId="72764C2F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Sekcja 5 ust. 1-4 niniejszej ustawy, ustanowione przez Módtv, zostały uprzednio zgłoszone zgodnie z art. 15 ust. 7 dyrektywy 2006/123/WE Parlamentu Europejskiego i Rady z dnia 12 grudnia 2006 r. dotyczącej usług na rynku wewnętrznym”.</w:t>
      </w:r>
    </w:p>
    <w:p w14:paraId="3F55A0AF" w14:textId="351EE1D9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Sekcja 72</w:t>
      </w:r>
      <w:r w:rsidR="004053A9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</w:p>
    <w:p w14:paraId="53022BEB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</w:rPr>
        <w:t>a)</w:t>
      </w:r>
      <w:r>
        <w:rPr>
          <w:rFonts w:ascii="Times New Roman" w:hAnsi="Times New Roman"/>
          <w:sz w:val="24"/>
        </w:rPr>
        <w:t xml:space="preserve"> sekcji 1 lit. </w:t>
      </w:r>
      <w:r>
        <w:rPr>
          <w:rFonts w:ascii="Times New Roman" w:hAnsi="Times New Roman"/>
          <w:i/>
          <w:iCs/>
          <w:sz w:val="24"/>
        </w:rPr>
        <w:t>r)</w:t>
      </w:r>
      <w:r>
        <w:rPr>
          <w:rFonts w:ascii="Times New Roman" w:hAnsi="Times New Roman"/>
          <w:sz w:val="24"/>
        </w:rPr>
        <w:t xml:space="preserve"> wyrazy „zawierające nikotynę” zastępuje się wyrazami „zawierające nikotynę w dowolnej postaci”,</w:t>
      </w:r>
    </w:p>
    <w:p w14:paraId="155BC81D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</w:rPr>
        <w:t>b)</w:t>
      </w:r>
      <w:r>
        <w:rPr>
          <w:rFonts w:ascii="Times New Roman" w:hAnsi="Times New Roman"/>
          <w:sz w:val="24"/>
        </w:rPr>
        <w:t xml:space="preserve"> sekcji 8 ust. 3„Ustawa CIII z 1997 r. o szczególnych zasadach wprowadzania wyrobów akcyzowych do obrotu” zastępuje się wyrazami „Ustawa LXVIII z 2016 r. o podatku akcyzowym”,</w:t>
      </w:r>
    </w:p>
    <w:p w14:paraId="7D18D008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</w:rPr>
        <w:t>c)</w:t>
      </w:r>
      <w:r>
        <w:rPr>
          <w:rFonts w:ascii="Times New Roman" w:hAnsi="Times New Roman"/>
          <w:sz w:val="24"/>
        </w:rPr>
        <w:t xml:space="preserve"> sekcji 8 § art. 4c lit. </w:t>
      </w:r>
      <w:r>
        <w:rPr>
          <w:rFonts w:ascii="Times New Roman" w:hAnsi="Times New Roman"/>
          <w:i/>
          <w:iCs/>
          <w:sz w:val="24"/>
        </w:rPr>
        <w:t>a)</w:t>
      </w:r>
      <w:r>
        <w:rPr>
          <w:rFonts w:ascii="Times New Roman" w:hAnsi="Times New Roman"/>
          <w:sz w:val="24"/>
        </w:rPr>
        <w:t xml:space="preserve"> wyrazy „pojemniki z wymiennym wkładem i produkty do palenia” zastępuje się wyrazami „pojemniki z wymiennym wkładem, pojemniki z wymiennym wkładem niezawierającym nikotyny, produkty zastępujące wyroby tytoniowe zawierające nikotynę i produkty do palenia”.</w:t>
      </w:r>
    </w:p>
    <w:p w14:paraId="3BF1B865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BCD56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Sekcja 73</w:t>
      </w:r>
      <w:r>
        <w:rPr>
          <w:rFonts w:ascii="Times New Roman" w:hAnsi="Times New Roman"/>
          <w:sz w:val="24"/>
        </w:rPr>
        <w:t xml:space="preserve"> W odniesieniu do ustawy Nvt (ustawy o ochronie osób niepalących) uchyla się następujące sekcje:</w:t>
      </w:r>
    </w:p>
    <w:p w14:paraId="6841437E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a)</w:t>
      </w:r>
      <w:r>
        <w:rPr>
          <w:rFonts w:ascii="Times New Roman" w:hAnsi="Times New Roman"/>
          <w:sz w:val="24"/>
        </w:rPr>
        <w:t xml:space="preserve"> Sekcja 7/K </w:t>
      </w:r>
    </w:p>
    <w:p w14:paraId="2AC71E27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b) </w:t>
      </w:r>
      <w:r>
        <w:rPr>
          <w:rFonts w:ascii="Times New Roman" w:hAnsi="Times New Roman"/>
          <w:sz w:val="24"/>
        </w:rPr>
        <w:t xml:space="preserve">Sekcja 7/L </w:t>
      </w:r>
    </w:p>
    <w:p w14:paraId="33DC8ECB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c)</w:t>
      </w:r>
      <w:r>
        <w:rPr>
          <w:rFonts w:ascii="Times New Roman" w:hAnsi="Times New Roman"/>
          <w:sz w:val="24"/>
        </w:rPr>
        <w:t xml:space="preserve"> Sekcja 8 ust. 2 </w:t>
      </w:r>
    </w:p>
    <w:p w14:paraId="2F5EC64F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d)</w:t>
      </w:r>
      <w:r>
        <w:rPr>
          <w:rFonts w:ascii="Times New Roman" w:hAnsi="Times New Roman"/>
          <w:sz w:val="24"/>
        </w:rPr>
        <w:t xml:space="preserve"> Sekcja 8 ust. 4d oraz</w:t>
      </w:r>
    </w:p>
    <w:p w14:paraId="61EA7FE4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</w:rPr>
        <w:t>e)</w:t>
      </w:r>
      <w:r>
        <w:rPr>
          <w:rFonts w:ascii="Times New Roman" w:hAnsi="Times New Roman"/>
          <w:sz w:val="24"/>
        </w:rPr>
        <w:t xml:space="preserve"> Sekcja 8 ust. 5 lit. </w:t>
      </w:r>
      <w:r>
        <w:rPr>
          <w:rFonts w:ascii="Times New Roman" w:hAnsi="Times New Roman"/>
          <w:i/>
          <w:iCs/>
          <w:sz w:val="24"/>
        </w:rPr>
        <w:t>k)</w:t>
      </w:r>
      <w:r>
        <w:rPr>
          <w:rFonts w:ascii="Times New Roman" w:hAnsi="Times New Roman"/>
          <w:sz w:val="24"/>
        </w:rPr>
        <w:t>.</w:t>
      </w:r>
    </w:p>
    <w:p w14:paraId="7C393AB2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DBBF2" w14:textId="77777777" w:rsidR="0003140A" w:rsidRDefault="0003140A"/>
    <w:sectPr w:rsidR="0003140A" w:rsidSect="00BC322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4963F" w14:textId="77777777" w:rsidR="0038391C" w:rsidRDefault="0038391C" w:rsidP="0003140A">
      <w:pPr>
        <w:spacing w:after="0" w:line="240" w:lineRule="auto"/>
      </w:pPr>
      <w:r>
        <w:separator/>
      </w:r>
    </w:p>
  </w:endnote>
  <w:endnote w:type="continuationSeparator" w:id="0">
    <w:p w14:paraId="15647731" w14:textId="77777777" w:rsidR="0038391C" w:rsidRDefault="0038391C" w:rsidP="0003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1F54B" w14:textId="77777777" w:rsidR="0038391C" w:rsidRDefault="0038391C" w:rsidP="0003140A">
      <w:pPr>
        <w:spacing w:after="0" w:line="240" w:lineRule="auto"/>
      </w:pPr>
      <w:r>
        <w:separator/>
      </w:r>
    </w:p>
  </w:footnote>
  <w:footnote w:type="continuationSeparator" w:id="0">
    <w:p w14:paraId="77050752" w14:textId="77777777" w:rsidR="0038391C" w:rsidRDefault="0038391C" w:rsidP="0003140A">
      <w:pPr>
        <w:spacing w:after="0" w:line="240" w:lineRule="auto"/>
      </w:pPr>
      <w:r>
        <w:continuationSeparator/>
      </w:r>
    </w:p>
  </w:footnote>
  <w:footnote w:id="1">
    <w:p w14:paraId="79F0BEA6" w14:textId="77777777" w:rsidR="0003140A" w:rsidRDefault="0003140A" w:rsidP="0003140A">
      <w:r>
        <w:rPr>
          <w:vertAlign w:val="superscript"/>
        </w:rPr>
        <w:footnoteRef/>
      </w:r>
      <w:r>
        <w:t xml:space="preserve"> Ustawa została przyjęta przez Parlament na posiedzeniu w dniu 15 czerwca 2021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40A"/>
    <w:rsid w:val="0003140A"/>
    <w:rsid w:val="0038391C"/>
    <w:rsid w:val="004053A9"/>
    <w:rsid w:val="00512DD2"/>
    <w:rsid w:val="006C6919"/>
    <w:rsid w:val="009352F0"/>
    <w:rsid w:val="00F7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ED038"/>
  <w15:chartTrackingRefBased/>
  <w15:docId w15:val="{B3A35F52-4F52-4D92-8E7E-3072EC86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Fazekas Zsolt</dc:creator>
  <cp:keywords/>
  <dc:description/>
  <cp:lastModifiedBy>Dimitris Dimitriadis</cp:lastModifiedBy>
  <cp:revision>3</cp:revision>
  <dcterms:created xsi:type="dcterms:W3CDTF">2021-07-26T07:11:00Z</dcterms:created>
  <dcterms:modified xsi:type="dcterms:W3CDTF">2021-08-30T11:24:00Z</dcterms:modified>
</cp:coreProperties>
</file>