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ET-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KESKKONNA- JA ENERGEETIKAMINISTEERIUM</w:t>
      </w:r>
    </w:p>
    <w:p w14:paraId="01BC347A" w14:textId="2CC34D95" w:rsidR="00BA3582" w:rsidRPr="00A03BA9" w:rsidRDefault="00BA3582" w:rsidP="00BA3582">
      <w:pPr>
        <w:spacing w:after="100" w:afterAutospacing="1"/>
        <w:jc w:val="both"/>
      </w:pPr>
      <w:r>
        <w:t>Keskkonna- ja energeetikaminister on säästva jäätmekäitluse seaduse (Horvaatia ametlik väljaanne (Narodne Novine) nr 94/13, 73/17, 14/19 ja 98/19) ar</w:t>
      </w:r>
      <w:bookmarkStart w:id="0" w:name="_GoBack"/>
      <w:bookmarkEnd w:id="0"/>
      <w:r>
        <w:t>tikli 53 lõike 3 kohaselt võtnud vastu</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EESKIRJAD, MILLEGA MUUDETAKSE EESKIRJU PAKENDITE JA PAKENDIJÄÄTMETE KOHTA</w:t>
      </w:r>
    </w:p>
    <w:p w14:paraId="3845F143" w14:textId="77777777" w:rsidR="00F62EE7" w:rsidRPr="00783EFC" w:rsidRDefault="00F62EE7" w:rsidP="00F57C66">
      <w:pPr>
        <w:spacing w:before="240" w:after="360"/>
        <w:jc w:val="center"/>
        <w:rPr>
          <w:b/>
          <w:bCs/>
        </w:rPr>
      </w:pPr>
      <w:r>
        <w:rPr>
          <w:b/>
          <w:bCs/>
        </w:rPr>
        <w:t>Artikkel 1</w:t>
      </w:r>
    </w:p>
    <w:p w14:paraId="6E4559B9" w14:textId="2BF378AC" w:rsidR="00806824" w:rsidRPr="00A03BA9" w:rsidRDefault="00F62EE7" w:rsidP="00F57C66">
      <w:pPr>
        <w:spacing w:after="240"/>
        <w:jc w:val="both"/>
      </w:pPr>
      <w:r>
        <w:t>Pakendite ja pakendijäätmete eeskirjade (</w:t>
      </w:r>
      <w:r>
        <w:rPr>
          <w:i/>
          <w:iCs/>
        </w:rPr>
        <w:t>Narodne Novine</w:t>
      </w:r>
      <w:r>
        <w:t xml:space="preserve"> [NN] nr 88/15, nr 78/16, nr 116/17) artikli 4 lõike 1 punkti 7 esimene taane kustutatakse.</w:t>
      </w:r>
    </w:p>
    <w:p w14:paraId="75900BDC" w14:textId="76BE1670" w:rsidR="000F530C" w:rsidRPr="00A03BA9" w:rsidRDefault="000E085C" w:rsidP="000F530C">
      <w:pPr>
        <w:spacing w:after="240"/>
        <w:jc w:val="both"/>
      </w:pPr>
      <w:r>
        <w:t>Üheksanda taande sõnastust muudetakse järgmiselt:</w:t>
      </w:r>
    </w:p>
    <w:p w14:paraId="3223E84A" w14:textId="77777777" w:rsidR="000F530C" w:rsidRPr="00A03BA9" w:rsidRDefault="00C93959" w:rsidP="000F530C">
      <w:pPr>
        <w:spacing w:after="240"/>
        <w:jc w:val="both"/>
      </w:pPr>
      <w:r>
        <w:t xml:space="preserve">„– </w:t>
      </w:r>
      <w:r>
        <w:rPr>
          <w:i/>
        </w:rPr>
        <w:t>tootja</w:t>
      </w:r>
      <w:r>
        <w:t xml:space="preserve"> tähendab toodete tootjat ja importijat, kes on juriidiline või füüsiline isik – oskustööline või füüsiline isik, kes arendab, toodab, töötleb, müüb, võtab kasutusele või impordib või viib Horvaatia turule pakendatud tooteid“;</w:t>
      </w:r>
    </w:p>
    <w:p w14:paraId="269331FB" w14:textId="77777777" w:rsidR="001612B6" w:rsidRPr="00A03BA9" w:rsidRDefault="002269CE" w:rsidP="00786C7B">
      <w:pPr>
        <w:jc w:val="both"/>
      </w:pPr>
      <w:r>
        <w:t>punkti 18 sõnastust muudetakse järgmiselt:</w:t>
      </w:r>
    </w:p>
    <w:p w14:paraId="77F12E84" w14:textId="77777777" w:rsidR="001612B6" w:rsidRPr="00A03BA9" w:rsidRDefault="001612B6" w:rsidP="00786C7B">
      <w:pPr>
        <w:jc w:val="both"/>
      </w:pPr>
    </w:p>
    <w:p w14:paraId="7A9270F7" w14:textId="192508EC" w:rsidR="00786C7B" w:rsidRPr="00A03BA9" w:rsidRDefault="005220BB" w:rsidP="00786C7B">
      <w:pPr>
        <w:jc w:val="both"/>
      </w:pPr>
      <w:r>
        <w:t xml:space="preserve">„– </w:t>
      </w:r>
      <w:r>
        <w:rPr>
          <w:rStyle w:val="kurziv"/>
          <w:i/>
          <w:bdr w:val="none" w:sz="0" w:space="0" w:color="auto" w:frame="1"/>
        </w:rPr>
        <w:t>jook</w:t>
      </w:r>
      <w:r>
        <w:t xml:space="preserve"> tähendab alkohoolset jooki, karastusjooki, laua-, looduslikku mineraal- ja looduslikku allikavett, puuviljasiirupeid, puuviljamahlu ja -nektareid, piima ja vedelaid piimatooteid ning muid puuviljadel või muul põhinevaid vedelaid tooteid ning mis tahes muud lisandit, mis vedela põhjaga pakendatult moodustab olulise esmase pakendiüksuse“.</w:t>
      </w:r>
    </w:p>
    <w:p w14:paraId="5F04AD0A" w14:textId="77777777" w:rsidR="007B469C" w:rsidRPr="00783EFC" w:rsidRDefault="007B2690" w:rsidP="00DF6E19">
      <w:pPr>
        <w:pStyle w:val="clanak-"/>
        <w:keepNext/>
        <w:spacing w:before="240" w:beforeAutospacing="0" w:after="0" w:afterAutospacing="0"/>
        <w:rPr>
          <w:b/>
          <w:bCs/>
        </w:rPr>
      </w:pPr>
      <w:r>
        <w:rPr>
          <w:b/>
          <w:bCs/>
        </w:rPr>
        <w:t>Artikkel 2</w:t>
      </w:r>
    </w:p>
    <w:p w14:paraId="516F3578" w14:textId="6D2D9FCC" w:rsidR="007B2690" w:rsidRPr="00A03BA9" w:rsidRDefault="007B2690" w:rsidP="00AF7CD5">
      <w:pPr>
        <w:pStyle w:val="clanak-"/>
        <w:spacing w:before="240" w:beforeAutospacing="0" w:after="0" w:afterAutospacing="0"/>
        <w:jc w:val="both"/>
      </w:pPr>
      <w:r>
        <w:t>Artikli 18 lõike 4 lõpust kustutatakse punkt sõnade „pakendijäätmed“ järelt ning lisatakse sõnad „või eksportida see töötlemiseks vastavalt käesolevatele eeskirjadele“;</w:t>
      </w:r>
    </w:p>
    <w:p w14:paraId="32631875" w14:textId="3CD3FBD5" w:rsidR="007B2690" w:rsidRPr="00A03BA9" w:rsidRDefault="007B2690" w:rsidP="007B2690">
      <w:pPr>
        <w:pStyle w:val="clanak-"/>
        <w:spacing w:before="240" w:beforeAutospacing="0" w:after="0" w:afterAutospacing="0"/>
        <w:jc w:val="left"/>
      </w:pPr>
      <w:r>
        <w:t>lõikes 5 kustutatakse koma sõna „töötleja“ järelt ning lisatakse sõnad „või eksporditud töötlemiseks“.</w:t>
      </w:r>
    </w:p>
    <w:p w14:paraId="1EAE0E82" w14:textId="77777777" w:rsidR="005577E2" w:rsidRPr="00783EFC" w:rsidRDefault="005577E2" w:rsidP="00DF6E19">
      <w:pPr>
        <w:pStyle w:val="clanak-"/>
        <w:keepNext/>
        <w:spacing w:before="240" w:beforeAutospacing="0" w:after="0" w:afterAutospacing="0"/>
        <w:rPr>
          <w:b/>
          <w:bCs/>
        </w:rPr>
      </w:pPr>
      <w:r>
        <w:rPr>
          <w:b/>
          <w:bCs/>
        </w:rPr>
        <w:t>Artikkel 3</w:t>
      </w:r>
    </w:p>
    <w:p w14:paraId="166F4814" w14:textId="77777777" w:rsidR="005577E2" w:rsidRPr="00A03BA9" w:rsidRDefault="004974CD" w:rsidP="00DF6E19">
      <w:pPr>
        <w:pStyle w:val="clanak-"/>
        <w:keepNext/>
        <w:spacing w:before="240" w:beforeAutospacing="0" w:after="0" w:afterAutospacing="0"/>
        <w:jc w:val="both"/>
      </w:pPr>
      <w:r>
        <w:t>Artikli 19 sõnastust muudetakse järgmiselt:</w:t>
      </w:r>
    </w:p>
    <w:p w14:paraId="462CD93E" w14:textId="145654F4" w:rsidR="00DD4754" w:rsidRPr="00A03BA9" w:rsidRDefault="00B81D8E" w:rsidP="00DD4754">
      <w:pPr>
        <w:pStyle w:val="clanak-"/>
        <w:spacing w:before="240"/>
        <w:jc w:val="both"/>
      </w:pPr>
      <w:r>
        <w:t>„1) Koguja võtab fondi nõudmisel ja juriidilise isiku või füüsilise isiku (st oskustöölise, kelle valduses on pakendijäätmeid) kutsel liigiti kogutud pakendijäätmed üle.</w:t>
      </w:r>
    </w:p>
    <w:p w14:paraId="4196FF48" w14:textId="77777777" w:rsidR="00DD4754" w:rsidRPr="00A03BA9" w:rsidRDefault="00DD4754" w:rsidP="00DD4754">
      <w:pPr>
        <w:pStyle w:val="clanak-"/>
        <w:spacing w:before="240"/>
        <w:jc w:val="both"/>
      </w:pPr>
      <w:r>
        <w:t>2) Kogujal on õigus saada fondilt tasu töötlejale üle antud pakendijäätmete koguse põhjal arvestatud kogumisteenuse kulude ja Horvaatia Vabariigist pärit pakendijäätmete ekspordi kulude eest vastavalt fondi ja koguja vahelises lepingus ning käesolevates eeskirjades määratletud hinnale ja tingimustele.</w:t>
      </w:r>
    </w:p>
    <w:p w14:paraId="58CC4C3D" w14:textId="77777777" w:rsidR="00DD4754" w:rsidRPr="00A03BA9" w:rsidRDefault="00DD4754" w:rsidP="00DD4754">
      <w:pPr>
        <w:pStyle w:val="clanak-"/>
        <w:spacing w:before="240"/>
        <w:jc w:val="both"/>
      </w:pPr>
      <w:r>
        <w:lastRenderedPageBreak/>
        <w:t>3) Fond arvutab käesoleva artikli lõikes 2 viidatud kogumisteenuse kulud materjaliliikide kaupa, võttes aluseks vormi AO4 andmed ning fondi ja koguja vahelises lepingus määratletud ühikuhinnad.</w:t>
      </w:r>
    </w:p>
    <w:p w14:paraId="3095AD42" w14:textId="77777777" w:rsidR="00DD4754" w:rsidRPr="00A03BA9" w:rsidRDefault="00DD4754" w:rsidP="00DD4754">
      <w:pPr>
        <w:pStyle w:val="clanak-"/>
        <w:spacing w:before="240"/>
        <w:jc w:val="both"/>
      </w:pPr>
      <w:r>
        <w:t>4) Avalik-õiguslik segaolmejäätmete kogumisteenuse pakkuja annab kogujale üle taaskasutatavad olmejäätmete pakendijäätmed, mis on kogutud avaliku teenusega seotud teenuse käigus vastavalt fondi rahastatavat olmejäätmete käitlemist reguleerivale erimäärusele.</w:t>
      </w:r>
    </w:p>
    <w:p w14:paraId="7924826F" w14:textId="77777777" w:rsidR="00DD4754" w:rsidRPr="00A03BA9" w:rsidRDefault="00DD4754" w:rsidP="00DD4754">
      <w:pPr>
        <w:pStyle w:val="clanak-"/>
        <w:spacing w:before="240"/>
        <w:jc w:val="both"/>
      </w:pPr>
      <w:r>
        <w:t>5) Koguja võtab vastavalt käesoleva artikli lõikes 8 viidatud lepingule avalik-õigusliku segaolmejäätmete kogumisteenuse pakkujalt vastu taaskasutatavatest olmejäätmetest pakendijäätmesaadetise, mis vastab nõuetekohase pakendijäätmesaadetise tehnilisele kirjeldusele.</w:t>
      </w:r>
    </w:p>
    <w:p w14:paraId="08ACC4C7" w14:textId="03F440C1" w:rsidR="00DD4754" w:rsidRPr="00A03BA9" w:rsidRDefault="00DD4754" w:rsidP="00DD4754">
      <w:pPr>
        <w:pStyle w:val="clanak-"/>
        <w:spacing w:before="240"/>
        <w:jc w:val="both"/>
      </w:pPr>
      <w:r>
        <w:t>6) Avalik-õiguslikul segaolmejäätmete kogumisteenuse pakkujal on õigus saada fondilt tasu kogujale üle antud pakendijäätmete kogumise, sealhulgas klassifitseerimise kulude eest vastavalt fondi ja selle artikli lõikes 8 viidatud avalik-õigusliku teenusepakkuja vahel sõlmitud lepingus määratletud hindadele ja tingimustele.</w:t>
      </w:r>
    </w:p>
    <w:p w14:paraId="6705C1DC" w14:textId="4F05D587" w:rsidR="00DD4754" w:rsidRPr="00A03BA9" w:rsidRDefault="00DD4754" w:rsidP="00DD4754">
      <w:pPr>
        <w:pStyle w:val="clanak-"/>
        <w:spacing w:before="240"/>
        <w:jc w:val="both"/>
      </w:pPr>
      <w:r>
        <w:t>7) Fond arvutab taaskasutatavatest olmejäätmetest pakendijäätmete kogumise kulud, võttes aluseks käesolevate eeskirjade IX lisas esitatud segaolmejäätmete kogumisteenuse pakkuja kogutud pakendijäätmeid käsitlevas aruandes (edaspidi vorm AO5) esitatud andmed ja käesolevate eeskirjade X lisas esitatud segaolmejäätmete kogumisteenuse pakkujalt üle võetud pakendijäätmete kogust käsitleva koguja sertifikaadi (edaspidi vorm AO6).</w:t>
      </w:r>
    </w:p>
    <w:p w14:paraId="62EAFE45" w14:textId="574C79B9" w:rsidR="00DD4754" w:rsidRPr="00A03BA9" w:rsidRDefault="00DD4754" w:rsidP="00DF6E19">
      <w:pPr>
        <w:pStyle w:val="clanak-"/>
        <w:keepNext/>
        <w:spacing w:before="240"/>
        <w:jc w:val="both"/>
      </w:pPr>
      <w:r>
        <w:t>8) Selle artikli lõigetes 5 ja 6 nimetatud lepingus sätestatakse alljärgnev:</w:t>
      </w:r>
    </w:p>
    <w:p w14:paraId="6C2985BD" w14:textId="77777777" w:rsidR="00DD4754" w:rsidRPr="00A03BA9" w:rsidRDefault="00DD4754" w:rsidP="00DD4754">
      <w:pPr>
        <w:pStyle w:val="clanak-"/>
        <w:spacing w:before="240"/>
        <w:jc w:val="both"/>
      </w:pPr>
      <w:r>
        <w:t>- kogujale üle antava nõuetekohase pakendijäätmesaadetise tehniline kirjeldus, kui kogumiskulusid rahastab fond;</w:t>
      </w:r>
    </w:p>
    <w:p w14:paraId="0FFC9A5A" w14:textId="77777777" w:rsidR="00DD4754" w:rsidRPr="00A03BA9" w:rsidRDefault="00DD4754" w:rsidP="00DD4754">
      <w:pPr>
        <w:pStyle w:val="clanak-"/>
        <w:spacing w:before="240"/>
        <w:jc w:val="both"/>
      </w:pPr>
      <w:r>
        <w:t>- pakendijäätmete kogumisviis taaskasutatavate jäätmete kogumisel, sealhulgas koos ja eraldi kogutavate pakendijäätmete liigid ning kogumise sagedus;</w:t>
      </w:r>
    </w:p>
    <w:p w14:paraId="68BA1761" w14:textId="36691ED9" w:rsidR="00DD4754" w:rsidRPr="00A03BA9" w:rsidRDefault="00DD4754" w:rsidP="00DD4754">
      <w:pPr>
        <w:pStyle w:val="clanak-"/>
        <w:spacing w:before="240"/>
        <w:jc w:val="both"/>
      </w:pPr>
      <w:r>
        <w:t>- pakendijäätmete kogumise hind taaskasutatavate jäätmete kogumisel, sealhulgas kogutud jäätmete klassifitseerimise vastuvõetavad kulud; ja</w:t>
      </w:r>
    </w:p>
    <w:p w14:paraId="461FD647" w14:textId="77777777" w:rsidR="00DD4754" w:rsidRPr="00A03BA9" w:rsidRDefault="00DD4754" w:rsidP="00DD4754">
      <w:pPr>
        <w:pStyle w:val="clanak-"/>
        <w:spacing w:before="240"/>
        <w:jc w:val="both"/>
      </w:pPr>
      <w:r>
        <w:t>- muud taaskasutatavate jäätmete hulka kogutud pakendijäätmetega seotud küsimused.</w:t>
      </w:r>
    </w:p>
    <w:p w14:paraId="4E6C4D2A" w14:textId="77777777" w:rsidR="00DD4754" w:rsidRPr="00A03BA9" w:rsidRDefault="00DD4754" w:rsidP="00DD4754">
      <w:pPr>
        <w:pStyle w:val="clanak-"/>
        <w:spacing w:before="240"/>
        <w:jc w:val="both"/>
      </w:pPr>
      <w:r>
        <w:t>9) Segaolmejäätmete kogumisteenuse pakkuja peab kogujale üle antud pakendijäätmete kohta arvestust ja esitab registrile käimasoleva kuu lõpuks aruande eelmise kuu kohta, kasutades vormi AO5.</w:t>
      </w:r>
    </w:p>
    <w:p w14:paraId="2BD92943" w14:textId="77777777" w:rsidR="00DD4754" w:rsidRPr="00A03BA9" w:rsidRDefault="00DD4754" w:rsidP="00DD4754">
      <w:pPr>
        <w:pStyle w:val="clanak-"/>
        <w:spacing w:before="240"/>
        <w:jc w:val="both"/>
      </w:pPr>
      <w:r>
        <w:t>10) Fond maksab segaolmejäätmete kogumisteenuse pakkujale vormides AO5 ja AO6 esitatud koguste põhjal selle artikli lõikes 6 osutatud tasu.“</w:t>
      </w:r>
    </w:p>
    <w:p w14:paraId="4510C37C" w14:textId="77777777" w:rsidR="0032391C" w:rsidRPr="00783EFC" w:rsidRDefault="0032391C" w:rsidP="00DF6E19">
      <w:pPr>
        <w:pStyle w:val="clanak-"/>
        <w:keepNext/>
        <w:spacing w:before="240" w:beforeAutospacing="0" w:after="0" w:afterAutospacing="0"/>
        <w:rPr>
          <w:b/>
          <w:bCs/>
        </w:rPr>
      </w:pPr>
      <w:r>
        <w:rPr>
          <w:b/>
          <w:bCs/>
        </w:rPr>
        <w:lastRenderedPageBreak/>
        <w:t>Artikkel 4</w:t>
      </w:r>
    </w:p>
    <w:p w14:paraId="2F284537" w14:textId="77777777" w:rsidR="00623FC9" w:rsidRPr="00A03BA9" w:rsidRDefault="00623FC9" w:rsidP="00DF6E19">
      <w:pPr>
        <w:pStyle w:val="clanak-"/>
        <w:keepNext/>
        <w:spacing w:before="240"/>
        <w:jc w:val="left"/>
      </w:pPr>
      <w:r>
        <w:t>Artikli 20 lõike 3 sõnastust muudetakse järgmiselt:</w:t>
      </w:r>
    </w:p>
    <w:p w14:paraId="36F4084D" w14:textId="77777777" w:rsidR="001356CB" w:rsidRPr="00A03BA9" w:rsidRDefault="00623FC9" w:rsidP="00623FC9">
      <w:pPr>
        <w:pStyle w:val="clanak-"/>
        <w:spacing w:before="240" w:beforeAutospacing="0" w:after="0" w:afterAutospacing="0"/>
        <w:jc w:val="both"/>
      </w:pPr>
      <w:r>
        <w:t>„3) Kui Horvaatia Vabariigis puuduvad võimalused teatavate pakendijäätmete või pakendijäätmete töötlemisjääkide töötlemiseks, ekspordib töötleja Horvaatiast pakendijäätmete töötlemisjäägid omal kulul ja koguja ekspordib sellised pakendijäätmed Horvaatia Vabariigist käesoleva eeskirja artikli 20 lõikes 2 nimetatud menetlust kohaldades. Kui eksport toimus kooskõlas fondi kogujale väljastatud nõusolekuga, kannab koguja selliste pakendijäätmete ekspordikulud fond. Fond teatab ministeeriumile väljastatud nõusolekust ja ekspordi põhjustest.“;</w:t>
      </w:r>
    </w:p>
    <w:p w14:paraId="4AEF4A17" w14:textId="77777777" w:rsidR="00672ABA" w:rsidRPr="00A03BA9" w:rsidRDefault="00672ABA" w:rsidP="00DF6E19">
      <w:pPr>
        <w:pStyle w:val="clanak-"/>
        <w:keepNext/>
        <w:spacing w:before="240" w:beforeAutospacing="0" w:after="0" w:afterAutospacing="0"/>
        <w:jc w:val="both"/>
      </w:pPr>
      <w:r>
        <w:t>lõike 4 järgi lisatakse lõiked 5 ja 6 järgmises sõnastuses:</w:t>
      </w:r>
    </w:p>
    <w:p w14:paraId="58FA1F35" w14:textId="79D145CB" w:rsidR="00C97A0B" w:rsidRPr="00A03BA9" w:rsidRDefault="00672ABA" w:rsidP="00623FC9">
      <w:pPr>
        <w:pStyle w:val="clanak-"/>
        <w:spacing w:before="240" w:beforeAutospacing="0" w:after="0" w:afterAutospacing="0"/>
        <w:jc w:val="both"/>
      </w:pPr>
      <w:r>
        <w:t>„5) Fond arvutab pakendijäätmete koguväärtuse, st materjaliliikide kaupa töödeldud pakendijäätmete kogumaksumuse, võttes aluseks käesolevate eeskirjade IX lisa vormi AO5, X lisa vormi AO6 ja XI lisa vormi AO7 andmed, ning võtab töötlejalt ülevõetud pakendijäätmete eest tasu ja maksab töötlejale summa, mis katab töötlemiskulud.</w:t>
      </w:r>
    </w:p>
    <w:p w14:paraId="0E8C1FB4" w14:textId="77777777" w:rsidR="0049475C" w:rsidRPr="00A03BA9" w:rsidRDefault="0049475C" w:rsidP="00623FC9">
      <w:pPr>
        <w:pStyle w:val="clanak-"/>
        <w:spacing w:before="240" w:beforeAutospacing="0" w:after="0" w:afterAutospacing="0"/>
        <w:jc w:val="both"/>
      </w:pPr>
      <w:r>
        <w:t>6) Erimenetluse kohaselt määratleb fond ja lisab lepingusse ülevõetud pakendijäätmete hinna ja summa, mille fond maksab töötlejale ühe aasta või lühema perioodi jooksul, võttes arvesse turuhinda, ning pakendijäätmete taaskasutuse ja kõrvaldamise hinna.“</w:t>
      </w:r>
    </w:p>
    <w:p w14:paraId="30A90200" w14:textId="77777777" w:rsidR="001356CB" w:rsidRPr="00783EFC" w:rsidRDefault="001356CB" w:rsidP="00DF6E19">
      <w:pPr>
        <w:pStyle w:val="clanak-"/>
        <w:keepNext/>
        <w:spacing w:before="240" w:beforeAutospacing="0" w:after="0" w:afterAutospacing="0"/>
        <w:rPr>
          <w:b/>
          <w:bCs/>
        </w:rPr>
      </w:pPr>
      <w:r>
        <w:rPr>
          <w:b/>
          <w:bCs/>
        </w:rPr>
        <w:t>Artikkel 5</w:t>
      </w:r>
    </w:p>
    <w:p w14:paraId="5EBE8A06" w14:textId="77777777" w:rsidR="001356CB" w:rsidRPr="00A03BA9" w:rsidRDefault="00240B3A" w:rsidP="00DF6E19">
      <w:pPr>
        <w:pStyle w:val="clanak-"/>
        <w:keepNext/>
        <w:spacing w:before="240" w:beforeAutospacing="0" w:after="0" w:afterAutospacing="0"/>
        <w:jc w:val="left"/>
      </w:pPr>
      <w:r>
        <w:t>Artikli 22 lõigete 1 ja 2 sõnastust muudetakse järgmiselt:</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Tagatisraha tagastamise süsteem on haldamise süsteem PET-ist, Al/Fe-st ja klaasist valmistatud ühekordsete pakendite jaoks, mille maht on 0,20 liitrit või rohkem ja mis on ette nähtud käesoleva eeskirja artikli 4 lõike 1 punktis 18 nimetatud jookidele. See sisaldab tagatisraha tagastamist, mis ergutab jäätmevaldajat eraldama joogipakendijäätmeid muudest jäätmetest ja toimetama need müüjale või ringlussevõtukoha juhatajale, et saada vastutasuks tagatisraha summa.</w:t>
      </w:r>
    </w:p>
    <w:p w14:paraId="518E0C3C" w14:textId="77777777" w:rsidR="00240B3A" w:rsidRPr="00A03BA9" w:rsidRDefault="00240B3A" w:rsidP="00240B3A">
      <w:pPr>
        <w:pStyle w:val="t-9-8"/>
        <w:spacing w:before="0" w:beforeAutospacing="0" w:after="225" w:afterAutospacing="0"/>
        <w:jc w:val="both"/>
        <w:textAlignment w:val="baseline"/>
      </w:pPr>
      <w:r>
        <w:t>2) Tagatisraha on rahasumma, mille maksavad fondi kontole tootjad, kes viivad turule PET-ist, Al/Fe-st ja klaasist ühekordsetesse pakenditesse pakendatud jooke, mille maht on 0,20 l või rohkem. Tootja küsib ostjalt toote müümisel tagatisraha ja lõpptarbija või tarbija saab müüjalt või ringlussevõtukoha juhatajalt tagatisraha tagasi, kui tagastab neile joogipakendijäätmed. Fond maksab müüjale või ringlussevõtukoha juhatajale tasutud tagatisraha tagasi tootja poolt fondile makstud tagatisraha summast.“</w:t>
      </w:r>
    </w:p>
    <w:p w14:paraId="51784CF6" w14:textId="77777777" w:rsidR="009A4CFF" w:rsidRPr="00783EFC" w:rsidRDefault="009A4CFF" w:rsidP="00DF6E19">
      <w:pPr>
        <w:pStyle w:val="clanak-"/>
        <w:keepNext/>
        <w:spacing w:before="240" w:beforeAutospacing="0" w:after="0" w:afterAutospacing="0"/>
        <w:rPr>
          <w:b/>
          <w:bCs/>
        </w:rPr>
      </w:pPr>
      <w:r>
        <w:rPr>
          <w:b/>
          <w:bCs/>
        </w:rPr>
        <w:t>Artikkel 6</w:t>
      </w:r>
    </w:p>
    <w:p w14:paraId="0F2D5A2E" w14:textId="487608AF" w:rsidR="009A4CFF" w:rsidRPr="00A03BA9" w:rsidRDefault="009A4CFF" w:rsidP="009A4CFF">
      <w:pPr>
        <w:pStyle w:val="clanak-"/>
        <w:spacing w:before="240" w:beforeAutospacing="0" w:after="0" w:afterAutospacing="0"/>
        <w:jc w:val="both"/>
      </w:pPr>
      <w:r>
        <w:t>Artikli 24 lõikesse 7 lisatakse sõna „tarbijad“ järele sõnad „füüsilised isikud“.</w:t>
      </w:r>
    </w:p>
    <w:p w14:paraId="59E93DE6" w14:textId="77777777" w:rsidR="00004EFC" w:rsidRPr="00783EFC" w:rsidRDefault="00004EFC" w:rsidP="00DF6E19">
      <w:pPr>
        <w:pStyle w:val="clanak-"/>
        <w:keepNext/>
        <w:spacing w:before="240" w:beforeAutospacing="0" w:after="0" w:afterAutospacing="0"/>
        <w:rPr>
          <w:b/>
          <w:bCs/>
        </w:rPr>
      </w:pPr>
      <w:r>
        <w:rPr>
          <w:b/>
          <w:bCs/>
        </w:rPr>
        <w:t>Artikkel 7</w:t>
      </w:r>
    </w:p>
    <w:p w14:paraId="63F87A51" w14:textId="10A6C900" w:rsidR="00004EFC" w:rsidRPr="00A03BA9" w:rsidRDefault="00004EFC" w:rsidP="00004EFC">
      <w:pPr>
        <w:pStyle w:val="clanak-"/>
        <w:spacing w:before="240" w:beforeAutospacing="0" w:after="0" w:afterAutospacing="0"/>
        <w:jc w:val="both"/>
      </w:pPr>
      <w:r>
        <w:t>Artikli 32 lõige 1 jäetakse välja.</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lastRenderedPageBreak/>
        <w:t>ÜLEMINEKU- JA LÕPPSÄTTED</w:t>
      </w:r>
    </w:p>
    <w:p w14:paraId="03993760" w14:textId="77777777" w:rsidR="00443BFB" w:rsidRPr="00783EFC" w:rsidRDefault="00443BFB" w:rsidP="00DF6E19">
      <w:pPr>
        <w:pStyle w:val="clanak-"/>
        <w:keepNext/>
        <w:spacing w:before="240" w:beforeAutospacing="0" w:after="0" w:afterAutospacing="0"/>
        <w:rPr>
          <w:b/>
          <w:bCs/>
        </w:rPr>
      </w:pPr>
      <w:r>
        <w:rPr>
          <w:b/>
          <w:bCs/>
        </w:rPr>
        <w:t>Artikkel 8</w:t>
      </w:r>
    </w:p>
    <w:p w14:paraId="27EE06CA" w14:textId="06910909" w:rsidR="00993CA7" w:rsidRDefault="00993CA7" w:rsidP="00993CA7">
      <w:pPr>
        <w:pStyle w:val="t-9-8"/>
        <w:jc w:val="both"/>
      </w:pPr>
    </w:p>
    <w:p w14:paraId="432F30AF" w14:textId="6A9D9E84" w:rsidR="0068096A" w:rsidRDefault="0068096A" w:rsidP="00993CA7">
      <w:pPr>
        <w:pStyle w:val="t-9-8"/>
        <w:jc w:val="both"/>
      </w:pPr>
      <w:r>
        <w:t>Artikli 32 järele lisatakse artikkel 32.a järgmises sõnastuses:</w:t>
      </w:r>
    </w:p>
    <w:p w14:paraId="0A1B8E86" w14:textId="496E8210" w:rsidR="0068096A" w:rsidRPr="00DD073C" w:rsidRDefault="0068096A" w:rsidP="0068096A">
      <w:pPr>
        <w:pStyle w:val="clanak-"/>
        <w:keepNext/>
        <w:keepLines/>
        <w:spacing w:before="240" w:beforeAutospacing="0" w:after="0" w:afterAutospacing="0"/>
        <w:rPr>
          <w:b/>
        </w:rPr>
      </w:pPr>
      <w:r>
        <w:rPr>
          <w:b/>
        </w:rPr>
        <w:t>„Artikkel 32.a</w:t>
      </w:r>
    </w:p>
    <w:p w14:paraId="5E37632D" w14:textId="1D0435D9" w:rsidR="0068096A" w:rsidRPr="00DD073C" w:rsidRDefault="00231DC8" w:rsidP="0068096A">
      <w:pPr>
        <w:pStyle w:val="clanak-"/>
        <w:spacing w:before="240" w:beforeAutospacing="0" w:after="0" w:afterAutospacing="0"/>
        <w:jc w:val="both"/>
      </w:pPr>
      <w:r>
        <w:t>Kuni selleni, kui viiakse lõpule konkursikutse, et valida seaduse ja nende eeskirjade sätete kohase pakendijäätmete kogumise teenuse pakkumiseks kõige soodsam programm, haldavad pakendijäätmeid isikud, kes fondiga sõlmitud lepingu alusel juba jäätmeid koguvad ja keskustega seotud tegevust ellu viivad. See peab toimuma asjakohastes lepingutes ette nähtud tingimuste alusel ja neis sätestatud viisil, kooskõlas artikli 25 lõigetes 7, 8, 9 ja 10 kirjeldatud tasudega ja pakendijäätmete ülevõtmise hindadega, mis on määratud pakendite ja pakendijäätmete eeskirjade (ametlik väljaanne (NN) nr 97/05, 115/05, 81/08, 31/09, 156/09, 38/10, 10/11, 81/11, 126/11, 38/13, 86/13) artikli 20 lõike 3 kohaselt.</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bCs/>
        </w:rPr>
        <w:t>Artikkel 9</w:t>
      </w:r>
    </w:p>
    <w:p w14:paraId="69ED4BF4" w14:textId="77777777" w:rsidR="00B75340" w:rsidRPr="00A03BA9" w:rsidRDefault="000E42DC" w:rsidP="00B75340">
      <w:pPr>
        <w:pStyle w:val="t-9-8"/>
        <w:jc w:val="both"/>
      </w:pPr>
      <w:r>
        <w:t>Pakendite ja pakendijäätmete eeskirjades (ametlik väljaanne (NN) nr 88/15, nr 78/16, nr 116/17) asendatakse sõna „agentuur“ sõnaga „ministeerium“, kasutades sobivat grammatilist sugu ja käänet.</w:t>
      </w:r>
    </w:p>
    <w:p w14:paraId="4F87B5C4" w14:textId="77777777" w:rsidR="00457495" w:rsidRPr="00783EFC" w:rsidRDefault="004F5753" w:rsidP="00DF6E19">
      <w:pPr>
        <w:pStyle w:val="clanak-"/>
        <w:keepNext/>
        <w:spacing w:before="240" w:beforeAutospacing="0" w:after="0" w:afterAutospacing="0"/>
        <w:rPr>
          <w:b/>
          <w:bCs/>
        </w:rPr>
      </w:pPr>
      <w:r>
        <w:rPr>
          <w:b/>
          <w:bCs/>
        </w:rPr>
        <w:t>Artikkel 10</w:t>
      </w:r>
    </w:p>
    <w:p w14:paraId="24551026" w14:textId="77777777" w:rsidR="004F5753" w:rsidRPr="00A03BA9" w:rsidRDefault="004F5753" w:rsidP="007047A2">
      <w:pPr>
        <w:pStyle w:val="clanak-"/>
        <w:spacing w:before="240" w:after="0" w:afterAutospacing="0"/>
        <w:jc w:val="both"/>
      </w:pPr>
      <w:r>
        <w:t>Pakendite ja pakendijäätmete eeskirjade (ametlik väljaanne (NN) nr 88/15, nr 78/16, nr 116/17) II, VIII, IX, X ja XV lisa asendatakse käesolevate eeskirjade lisas (mis on selle lahutamatu osa) esitatud I, II, III, IV ja V lisaga.</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Artikkel 11</w:t>
      </w:r>
    </w:p>
    <w:p w14:paraId="71800441" w14:textId="2427051E" w:rsidR="004F5753" w:rsidRDefault="00231DC8" w:rsidP="00B778C1">
      <w:pPr>
        <w:pStyle w:val="clanak-"/>
        <w:spacing w:before="240" w:after="0" w:afterAutospacing="0"/>
        <w:jc w:val="both"/>
      </w:pPr>
      <w:r>
        <w:t>Eeskirjade artiklite 1 ja 5 sätted seoses piima ja vedelate piimatoodete pakendite ning 0,20 liitri suuruste pakenditega jõustuvad 1. jaanuaril 2021.</w:t>
      </w:r>
    </w:p>
    <w:p w14:paraId="24BDE842" w14:textId="6B989A58" w:rsidR="004F0923" w:rsidRPr="003B54ED" w:rsidRDefault="004F0923" w:rsidP="004F0923">
      <w:pPr>
        <w:keepNext/>
        <w:keepLines/>
        <w:spacing w:before="240" w:beforeAutospacing="1"/>
        <w:jc w:val="center"/>
        <w:rPr>
          <w:b/>
        </w:rPr>
      </w:pPr>
      <w:r>
        <w:rPr>
          <w:b/>
        </w:rPr>
        <w:t>Artikkel 12</w:t>
      </w:r>
    </w:p>
    <w:p w14:paraId="249FE26B" w14:textId="4D312471" w:rsidR="004F0923" w:rsidRPr="00A03BA9" w:rsidRDefault="004F0923" w:rsidP="00B778C1">
      <w:pPr>
        <w:pStyle w:val="clanak-"/>
        <w:spacing w:before="240" w:after="0" w:afterAutospacing="0"/>
        <w:jc w:val="both"/>
      </w:pPr>
      <w:r>
        <w:t>Need eeskirjad jõustuvad kaheksandal päeval pärast ametlikus väljaandes avaldamist.</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KLASS: 351-01/19-04/03</w:t>
      </w:r>
    </w:p>
    <w:p w14:paraId="322F3AED" w14:textId="4E0A6D3C" w:rsidR="004F5753" w:rsidRPr="00A03BA9" w:rsidRDefault="004F5753" w:rsidP="004F5753">
      <w:pPr>
        <w:pStyle w:val="klasa2"/>
        <w:spacing w:before="0" w:beforeAutospacing="0" w:after="0" w:afterAutospacing="0"/>
        <w:jc w:val="both"/>
      </w:pPr>
      <w:r>
        <w:t>TOIMIKU NUMBER: 517-03-2-2-19-28</w:t>
      </w:r>
    </w:p>
    <w:p w14:paraId="58F46991" w14:textId="630D99CA" w:rsidR="004F5753" w:rsidRPr="00A03BA9" w:rsidRDefault="004F5753" w:rsidP="004F5753">
      <w:pPr>
        <w:pStyle w:val="klasa2"/>
        <w:spacing w:before="0" w:beforeAutospacing="0" w:after="0" w:afterAutospacing="0"/>
        <w:jc w:val="both"/>
      </w:pPr>
      <w:r>
        <w:t>Zagreb, 17. jaanuar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lastRenderedPageBreak/>
        <w:t>Minister</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Tomislav Ćorić, PhD, nõuetekohaselt allkirjastatud</w:t>
      </w:r>
    </w:p>
    <w:p w14:paraId="0076E94D" w14:textId="77777777" w:rsidR="00F4485B" w:rsidRPr="00A03BA9" w:rsidRDefault="00F4485B" w:rsidP="00047FEA">
      <w:pPr>
        <w:pStyle w:val="clanak-"/>
        <w:pageBreakBefore/>
        <w:spacing w:before="240" w:beforeAutospacing="0" w:after="0" w:afterAutospacing="0"/>
      </w:pPr>
      <w:r>
        <w:lastRenderedPageBreak/>
        <w:t>I LISA</w:t>
      </w:r>
    </w:p>
    <w:p w14:paraId="6CE0D569" w14:textId="77777777" w:rsidR="00F4485B" w:rsidRPr="00A03BA9" w:rsidRDefault="00F4485B" w:rsidP="00F4485B">
      <w:pPr>
        <w:spacing w:before="240" w:after="360"/>
        <w:jc w:val="right"/>
        <w:rPr>
          <w:b/>
        </w:rPr>
      </w:pPr>
      <w:r>
        <w:rPr>
          <w:b/>
        </w:rPr>
        <w:t>Vorm AO1</w:t>
      </w:r>
    </w:p>
    <w:p w14:paraId="0867FDF5" w14:textId="77777777" w:rsidR="00F4485B" w:rsidRPr="00A03BA9" w:rsidRDefault="00F4485B" w:rsidP="00F4485B">
      <w:pPr>
        <w:jc w:val="center"/>
      </w:pPr>
      <w:r>
        <w:t>ARUANNE ÜHEKORDSE PAKENDI LIIGI JA KOGUSE KOHTA</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ANDMED TOOTJA/IMPORTIJA/EKSPORTIJA KOHTA</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Ring:</w:t>
            </w:r>
          </w:p>
          <w:p w14:paraId="242F694C" w14:textId="6C6F6A37" w:rsidR="00F4485B" w:rsidRPr="00A03BA9" w:rsidRDefault="00F4485B" w:rsidP="00F4485B">
            <w:pPr>
              <w:rPr>
                <w:rFonts w:cs="Times New Roman"/>
                <w:b/>
                <w:bCs/>
              </w:rPr>
            </w:pPr>
            <w:r>
              <w:rPr>
                <w:b/>
              </w:rPr>
              <w:t>A) TOODETUD HORVAATIAS</w:t>
            </w:r>
          </w:p>
          <w:p w14:paraId="49E75EB4" w14:textId="094AA85C" w:rsidR="00F4485B" w:rsidRPr="00A03BA9" w:rsidRDefault="00F4485B" w:rsidP="00F4485B">
            <w:pPr>
              <w:rPr>
                <w:rFonts w:cs="Times New Roman"/>
                <w:b/>
                <w:bCs/>
              </w:rPr>
            </w:pPr>
            <w:r>
              <w:rPr>
                <w:b/>
              </w:rPr>
              <w:t>B) IMPORDITUD HORVAATIASSE</w:t>
            </w:r>
          </w:p>
          <w:p w14:paraId="4C28EDEA" w14:textId="77777777" w:rsidR="00F4485B" w:rsidRPr="00A03BA9" w:rsidRDefault="00F4485B" w:rsidP="00F4485B">
            <w:pPr>
              <w:rPr>
                <w:rFonts w:cs="Times New Roman"/>
                <w:b/>
                <w:bCs/>
              </w:rPr>
            </w:pPr>
            <w:r>
              <w:rPr>
                <w:b/>
              </w:rPr>
              <w:t>C) EKSPORT</w:t>
            </w:r>
          </w:p>
          <w:p w14:paraId="593C11A2" w14:textId="77777777" w:rsidR="00F4485B" w:rsidRPr="00A03BA9" w:rsidRDefault="00F4485B" w:rsidP="00F4485B">
            <w:pPr>
              <w:rPr>
                <w:rFonts w:cs="Times New Roman"/>
                <w:b/>
                <w:bCs/>
              </w:rPr>
            </w:pPr>
            <w:r>
              <w:rPr>
                <w:b/>
              </w:rPr>
              <w:t>D) HORVAATIA TURULT TAGASI VÕTMINE</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PERIOOD:</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Maksja nimi: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Aadress: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Kontaktisik: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Telefon: </w:t>
            </w:r>
          </w:p>
        </w:tc>
        <w:tc>
          <w:tcPr>
            <w:tcW w:w="5218" w:type="dxa"/>
            <w:gridSpan w:val="4"/>
            <w:noWrap/>
            <w:hideMark/>
          </w:tcPr>
          <w:p w14:paraId="4DB77FE5" w14:textId="77777777" w:rsidR="00F4485B" w:rsidRPr="00A03BA9" w:rsidRDefault="00F4485B" w:rsidP="00F4485B">
            <w:pPr>
              <w:rPr>
                <w:rFonts w:cs="Times New Roman"/>
              </w:rPr>
            </w:pPr>
            <w:r>
              <w:t>Faks:</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E-post: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(tegevusalade riiklik klassifikatsioon):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(personaalne identifitseerimisnumber):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ANDMED PEAB SISESTAMA MUUS EUROOPA LIIDU LIIKMESRIIGIS VÕI KOLMANDAS RIIGIS ASUTATATUD TOOTJA:</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ANDMED TOOTJA KOHTA</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Maksja nimi: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Aadress: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OIB/VAT identifitseerimisnumber: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ÜKSIKASJAD TOOTJA AUTORISEERITUD ESINDAJA KOHTA HORVAATIAS</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Autoriseeritud esindaja nimi: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Aadress: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Kontaktisik: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Telefon: </w:t>
            </w:r>
          </w:p>
        </w:tc>
        <w:tc>
          <w:tcPr>
            <w:tcW w:w="5218" w:type="dxa"/>
            <w:gridSpan w:val="4"/>
            <w:noWrap/>
            <w:hideMark/>
          </w:tcPr>
          <w:p w14:paraId="744B87F5" w14:textId="77777777" w:rsidR="00F4485B" w:rsidRPr="00A03BA9" w:rsidRDefault="00F4485B" w:rsidP="00F4485B">
            <w:pPr>
              <w:rPr>
                <w:rFonts w:cs="Times New Roman"/>
              </w:rPr>
            </w:pPr>
            <w:r>
              <w:t xml:space="preserve">Faks: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E-post: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(personaalne identifitseerimisnumber):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ANDMED TAGATISRAHA TAGASTAMISE SÜSTEEMIGA HÕLMATUD JOOGIPAKENDI LIIGI JA KOGUSE KOHTA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TOOTE GTIN-NUMBER**</w:t>
            </w:r>
          </w:p>
        </w:tc>
        <w:tc>
          <w:tcPr>
            <w:tcW w:w="3755" w:type="dxa"/>
            <w:gridSpan w:val="3"/>
            <w:noWrap/>
            <w:hideMark/>
          </w:tcPr>
          <w:p w14:paraId="515DCADD" w14:textId="77777777" w:rsidR="00F4485B" w:rsidRPr="00A03BA9" w:rsidRDefault="00F4485B" w:rsidP="00DF6E19">
            <w:pPr>
              <w:keepNext/>
              <w:rPr>
                <w:rFonts w:cs="Times New Roman"/>
                <w:b/>
                <w:bCs/>
              </w:rPr>
            </w:pPr>
            <w:r>
              <w:rPr>
                <w:b/>
              </w:rPr>
              <w:t>Kogus (tükki)</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ANDMED PAKENDI LIIGI JA KOGUSE KOHTA (MUU KUI II JAOS LOETLETUD PAKEND)</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Pakendimaterjali liik</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KOKKU</w:t>
            </w:r>
          </w:p>
          <w:p w14:paraId="4E92104D" w14:textId="77777777" w:rsidR="00F4485B" w:rsidRPr="00A03BA9" w:rsidRDefault="00F4485B" w:rsidP="00DF6E19">
            <w:pPr>
              <w:keepNext/>
              <w:jc w:val="center"/>
              <w:rPr>
                <w:rFonts w:cs="Times New Roman"/>
                <w:b/>
                <w:bCs/>
              </w:rPr>
            </w:pPr>
            <w:r>
              <w:rPr>
                <w:b/>
              </w:rPr>
              <w:t>(tonnides)</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Kogus</w:t>
            </w:r>
          </w:p>
          <w:p w14:paraId="0A0A2F4A" w14:textId="77777777" w:rsidR="00F4485B" w:rsidRPr="00A03BA9" w:rsidRDefault="00F4485B" w:rsidP="00DF6E19">
            <w:pPr>
              <w:keepNext/>
              <w:jc w:val="center"/>
              <w:rPr>
                <w:rFonts w:cs="Times New Roman"/>
                <w:b/>
                <w:bCs/>
              </w:rPr>
            </w:pPr>
            <w:r>
              <w:rPr>
                <w:b/>
              </w:rPr>
              <w:t>(tükki)</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PLAST (PET – joogid, v.a piim ja vedelad piimatooted)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 (PET – piim ja vedelad piimatooted)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PLAST (PET – muu)</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lastRenderedPageBreak/>
              <w:t>METALL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METALL AL – joogid, v.a piim ja vedelad piimatooted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METALL AL – piim ja vedelad piimatooted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METALL FE – joogid, v.a piim ja vedelad piimatooted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METALL FE – piim ja vedelad piimatooted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PABER/PAPP</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MITMEKIHILINE PAKEND (KOMPOSIIT)*</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PLAST</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KLAAS</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ALUMIINIUM</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RAUD</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TEKSTIIL</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PUIT</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PABER JA PAPP</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MITMEKIHILINE PAKEND (KOMPOSIIT) – joogid, v.a piim ja vedelad piimatooted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MITMEKIHILINE PAKEND (KOMPOSIIT) – piim ja vedelad piimatooted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PUIT</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TEKSTIIL</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PLAST (polümeerid)</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PLAST (polümeerid) – joogid, v.a piim ja vedelad piimatooted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 (polümeerid) – piim ja vedelad piimatooted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PLASTKOTID SEINAPAKSUSEGA &lt; 15 mikronit</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PLASTKOTID SEINAPAKSUSEGA ≥ 15 &lt; 50 mikronit</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PLASTKOTID SEINAPAKSUSEGA ≥ 50 mikronit</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KLAAS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KLAAS – joogid, v.a piim ja vedelad piimatooted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KLAAS – piim ja vedelad piimatooted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OHTLIKE AINETEGA SAASTUNUD PAKEND</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PLAST</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KLAAS</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ALUMIINIUM</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RAUD</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TEKSTIIL</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PUIT</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PABER JA PAPP</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Mitmekihilise pakendi (komposiitpakendi) summaarne kogus tuleks esitada selle koostismaterjalide summana (kõigi materjalide kogus kokku peaks olema sama mis mitmekihilise pakendi (komposiitpakendi) kogus).</w:t>
            </w:r>
          </w:p>
          <w:p w14:paraId="45D62C5A" w14:textId="43C2F852" w:rsidR="00F4485B" w:rsidRPr="00A03BA9" w:rsidRDefault="00F4485B" w:rsidP="00F4485B">
            <w:pPr>
              <w:jc w:val="both"/>
              <w:rPr>
                <w:rFonts w:cs="Times New Roman"/>
              </w:rPr>
            </w:pPr>
            <w:r>
              <w:t>** GTIN tuleks sisestada registrisse, kui turule tuuakse esmakordselt uus jook (eeskirjade artikli 23 lõige 1).</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Allkiri</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Koht:</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Kuupäev:</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Vastuvõtja:</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Keskkonnakaitse ja energiatõhususe fond, Radnička cesta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II LISA</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Vorm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ARUANNE KOGUTUD PAKENDIJÄÄTMETE KOHTA</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JÄRGNEVA KUU KOHTA:</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Dokumendi kuupäev ja asukoht:</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AASTA:</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ANDMED KOGUJA KOHTA</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Nimi:</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Telefon/faks:</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Registrijärgse asukoha aadress:</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(personaalne identifitseerimisnumber):</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Kontaktisik:</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E-post:</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ANDMED KOGUTUD TAGATISRAHA TAGASTAMISE SÜSTEEMIGA HÕLMATUD PAKENDIJÄÄTMETE KOHTA (VÕETUD TARBIJATELT ÜLE MANUAALSELT JA AUTOMATISEERITUD SEADMETE KAUDU)</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MÜÜJA/RINGLUSSEVÕTUKOHA NIMI JA REGISTRIJÄRGNE ASUKOHT</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PAKENDIJÄÄTME LIIK</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KLAAS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KOTTIDE/ANUMATE ARV</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KOTTIDE/ANUMATE ARV</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KOTTIDE/ANUMATE ARV</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MANUAALSELT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MANUAALSELT</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MANUAALSELT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MANUAALSELT</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MANUAALSELT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MANUAALSELT</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KOKKU</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KOKKU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ANDMED TAASKASUTUSSE VIIDUD TAGATISRAHA TAGASTAMISE SÜSTEEMIGA HÕLMATUD PAKENDIJÄÄTMETE KOHTA</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PAKENDIJÄÄTME LIIK</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TAASKASUTUSASUTUSE NIMI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ANTUD ÜLE TAASKASUTUSASUTUSELE</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KOGUS KOGUJA LAOS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KOTTIDE/ANUMATE ARV</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KOGU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KLAAS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KOGU KLAAS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AL-FE PURGID</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KOGU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ANDMED SEGAOLMEJÄÄTMETE KOGUMISTEENUSE PAKKUJALT SAADUD PAKENDIJÄÄTMETE KOHTA</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PAKENDIJÄÄTME LIIK</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SEGAOLMEJÄÄTMETE KOGUMISTEENUSE PAKKUJA NIMI</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ÜLE VÕETUD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TAASKASUTUSASUTUSE NIMI</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ANTUD ÜLE TAASKASUTUSASUTUSELE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KOGUS KOGUJA LAOS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PLAST</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KOGU PLAST</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KLAAS</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KOGU KLAAS</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KOGU METALL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ANDMED OMA KOGUMISVÕRGUSTIKU KAUDU KOGUTUD PAKENDIJÄÄTMETE KOHTA</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PAKENDIJÄÄTME LIIK</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KOGUTUD</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TAASKASUTUSASUTUSE NIMI</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ANTUD ÜLE TAASKASUTUSASUTUSELE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KOGUS KOGUJA LAOS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PLAST</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KOGU PLAST</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KLAAS</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KOGU KLAAS</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KOGU METALL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TEKSTIIL</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KOGU TEKSTIIL</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PUIT</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KOGU PUIT</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PABER JA PAPP</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KOGU PABER JA PAPP</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MITMEKIHILINE (KOMPOSIIT)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KOGU MITMEKIHILINE (KOMPOSIIT)</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MUU</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KOGU MUU</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ANDMED KOGUTUD OHTLIKE AINETEGA SAASTUNUD PAKENDITE KOGUSE KOHTA</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PAKENDIJÄÄTME LIIK</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KOGUTUD KOGUS</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TAASKASUTUSASUTUSE NIMI</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ANTUD ÜLE TAASKASUTUSASUTUSELE</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KOGUS KOGUJA LAOS</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PLAST</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KLAAS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TEKSTIIL</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PUIT</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PABER JA PAPP</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Andmete korrektsuse eest vastutav isik:</w:t>
      </w:r>
    </w:p>
    <w:p w14:paraId="05A75F01" w14:textId="77777777" w:rsidR="006B1B64" w:rsidRPr="00A03BA9" w:rsidRDefault="006B1B64" w:rsidP="006B1B64">
      <w:pPr>
        <w:spacing w:after="60"/>
        <w:ind w:left="-567"/>
        <w:rPr>
          <w:rFonts w:eastAsia="Calibri"/>
          <w:sz w:val="20"/>
          <w:szCs w:val="20"/>
        </w:rPr>
      </w:pPr>
      <w:r>
        <w:rPr>
          <w:sz w:val="20"/>
        </w:rPr>
        <w:t>(jäätmekoguja)</w:t>
      </w:r>
    </w:p>
    <w:p w14:paraId="00F45E44" w14:textId="77777777" w:rsidR="006B1B64" w:rsidRPr="00A03BA9" w:rsidRDefault="006B1B64" w:rsidP="006B1B64">
      <w:pPr>
        <w:spacing w:after="60"/>
        <w:ind w:left="-567"/>
        <w:rPr>
          <w:rFonts w:eastAsia="Calibri"/>
          <w:sz w:val="20"/>
          <w:szCs w:val="20"/>
        </w:rPr>
      </w:pPr>
      <w:r>
        <w:rPr>
          <w:sz w:val="20"/>
        </w:rPr>
        <w:t>Nimi ja perekonnanimi</w:t>
      </w:r>
    </w:p>
    <w:p w14:paraId="39D11352" w14:textId="77777777" w:rsidR="006B1B64" w:rsidRPr="00A03BA9" w:rsidRDefault="006B1B64" w:rsidP="006B1B64">
      <w:pPr>
        <w:spacing w:after="120"/>
        <w:ind w:left="-567"/>
        <w:rPr>
          <w:sz w:val="20"/>
          <w:szCs w:val="20"/>
        </w:rPr>
      </w:pPr>
      <w:r>
        <w:rPr>
          <w:sz w:val="20"/>
        </w:rPr>
        <w:t>Vastutava isiku nimi, perekonnanimi ja allkiri</w:t>
      </w:r>
    </w:p>
    <w:p w14:paraId="24DF089C" w14:textId="77777777" w:rsidR="006B1B64" w:rsidRPr="00A03BA9" w:rsidRDefault="006B1B64" w:rsidP="006B1B64">
      <w:pPr>
        <w:ind w:left="-567"/>
        <w:jc w:val="both"/>
        <w:rPr>
          <w:rFonts w:eastAsia="Calibri"/>
          <w:sz w:val="20"/>
          <w:szCs w:val="20"/>
        </w:rPr>
      </w:pPr>
      <w:r>
        <w:rPr>
          <w:b/>
          <w:sz w:val="20"/>
        </w:rPr>
        <w:t>MANUS</w:t>
      </w:r>
      <w:r>
        <w:rPr>
          <w:sz w:val="20"/>
        </w:rPr>
        <w:t>: taaskasutusasutusele üle antud pakendijäätmete koguste tõendid (jäätmelehe või jäätmete piiriülese ringluse dokumendi koopia ja taaskasutusasutuse kaalukviitung) ning tõendid selle kohta, et eksporditud pakendijäätmete eksport ja töötlemine toimus asjakohaste ELi õigusaktide tingimuste kohaselt ning neid järgides.</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Vastuvõtja:</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Keskkonnakaitse ja energiatõhususe fond, Radnička cesta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III LISA</w:t>
      </w:r>
    </w:p>
    <w:p w14:paraId="19D09A7C" w14:textId="168EE6EF" w:rsidR="003B2305" w:rsidRPr="00A03BA9" w:rsidRDefault="003B2305" w:rsidP="003B2305">
      <w:pPr>
        <w:spacing w:after="120" w:line="276" w:lineRule="auto"/>
        <w:jc w:val="right"/>
        <w:rPr>
          <w:b/>
        </w:rPr>
      </w:pPr>
      <w:r>
        <w:rPr>
          <w:b/>
        </w:rPr>
        <w:t>Vorm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SEGAOLMEJÄÄTMETE KOGUMISTEENUSE PAKKUJA ARUANNE KOGUTUD PAKENDIJÄÄTMETE KOHTA</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JÄRGNEVA KUU KOHTA:</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Dokumendi kuupäev ja asukoht:</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AASTA:</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ÜKSIKASJAD SEGAOLMEJÄÄTMETE KOGUMISTEENUSE PAKKUJA KOHTA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Nimi:</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Telefon/faks:</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Registrijärgse asukoha aadress:</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(personaalne identifitseerimisnumber):</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Kontaktisik:</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Piirkond:</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ANDMED ERALDI KOGUTUD PAKENDIJÄÄTMETE KOGUSTE KOHTA</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PAKENDIJÄÄTME LIIK</w:t>
            </w:r>
          </w:p>
        </w:tc>
        <w:tc>
          <w:tcPr>
            <w:tcW w:w="2055" w:type="dxa"/>
            <w:gridSpan w:val="3"/>
            <w:vAlign w:val="center"/>
          </w:tcPr>
          <w:p w14:paraId="62BB6E9C" w14:textId="77777777" w:rsidR="003B2305" w:rsidRPr="00A03BA9" w:rsidRDefault="003B2305" w:rsidP="00035963">
            <w:pPr>
              <w:jc w:val="center"/>
              <w:rPr>
                <w:sz w:val="20"/>
                <w:szCs w:val="20"/>
              </w:rPr>
            </w:pPr>
            <w:r>
              <w:rPr>
                <w:sz w:val="20"/>
              </w:rPr>
              <w:t>KOGUTUD JA LIIGITATUD</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KOGUJALE ÜLE ANTUD</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KOGUJA NIMI</w:t>
            </w:r>
          </w:p>
        </w:tc>
        <w:tc>
          <w:tcPr>
            <w:tcW w:w="1914" w:type="dxa"/>
            <w:gridSpan w:val="2"/>
            <w:vAlign w:val="center"/>
          </w:tcPr>
          <w:p w14:paraId="2FC84107" w14:textId="77777777" w:rsidR="003B2305" w:rsidRPr="00A03BA9" w:rsidRDefault="003B2305" w:rsidP="00035963">
            <w:pPr>
              <w:jc w:val="center"/>
              <w:rPr>
                <w:sz w:val="20"/>
                <w:szCs w:val="20"/>
              </w:rPr>
            </w:pPr>
            <w:r>
              <w:rPr>
                <w:sz w:val="20"/>
              </w:rPr>
              <w:t>KOGUS LAOS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PLAST</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KOGU PLAST</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KLAAS</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KOGU KLAAS</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KOGU METALL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Andmete korrektsuse eest vastutav isik:</w:t>
      </w:r>
    </w:p>
    <w:p w14:paraId="61760D46" w14:textId="77777777" w:rsidR="003B2305" w:rsidRPr="00A03BA9" w:rsidRDefault="003B2305" w:rsidP="003B2305">
      <w:pPr>
        <w:spacing w:after="120"/>
        <w:rPr>
          <w:rFonts w:eastAsia="Calibri"/>
          <w:sz w:val="20"/>
          <w:szCs w:val="20"/>
        </w:rPr>
      </w:pPr>
      <w:r>
        <w:rPr>
          <w:sz w:val="20"/>
        </w:rPr>
        <w:lastRenderedPageBreak/>
        <w:t>(Segaolmejäätmete kogumisteenuse pakkuja)</w:t>
      </w:r>
    </w:p>
    <w:p w14:paraId="08E81598" w14:textId="77777777" w:rsidR="003B2305" w:rsidRPr="00A03BA9" w:rsidRDefault="003B2305" w:rsidP="003B2305">
      <w:pPr>
        <w:spacing w:after="120"/>
        <w:rPr>
          <w:rFonts w:eastAsia="Calibri"/>
          <w:sz w:val="20"/>
          <w:szCs w:val="20"/>
        </w:rPr>
      </w:pPr>
      <w:r>
        <w:rPr>
          <w:sz w:val="20"/>
        </w:rPr>
        <w:t>Nimi ja perekonnanimi</w:t>
      </w:r>
    </w:p>
    <w:p w14:paraId="4A910F8E" w14:textId="77777777" w:rsidR="002958F5" w:rsidRPr="00A03BA9" w:rsidRDefault="003B2305" w:rsidP="003B2305">
      <w:pPr>
        <w:rPr>
          <w:sz w:val="20"/>
          <w:szCs w:val="20"/>
        </w:rPr>
      </w:pPr>
      <w:r>
        <w:rPr>
          <w:sz w:val="20"/>
        </w:rPr>
        <w:t>Vastutava isiku nimi, perekonnanimi ja allkiri</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Vastuvõtja:</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Keskkonnakaitse ja energiatõhususe fond, Radnička cesta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IV LISA</w:t>
      </w:r>
    </w:p>
    <w:p w14:paraId="32D7C39C" w14:textId="033E1FA4" w:rsidR="002958F5" w:rsidRPr="00A03BA9" w:rsidRDefault="002958F5" w:rsidP="002958F5">
      <w:pPr>
        <w:spacing w:after="240" w:line="276" w:lineRule="auto"/>
        <w:jc w:val="right"/>
        <w:rPr>
          <w:b/>
        </w:rPr>
      </w:pPr>
      <w:r>
        <w:rPr>
          <w:b/>
        </w:rPr>
        <w:t>Vorm AO6</w:t>
      </w:r>
    </w:p>
    <w:p w14:paraId="1A77F378" w14:textId="77777777" w:rsidR="002958F5" w:rsidRPr="00A03BA9" w:rsidRDefault="002958F5" w:rsidP="002958F5">
      <w:pPr>
        <w:spacing w:before="120" w:after="120" w:line="276" w:lineRule="auto"/>
        <w:jc w:val="center"/>
      </w:pPr>
      <w:r>
        <w:t>KOGUJA SERTIFIKAAT SEGAOLMEJÄÄTMETE KOGUMISTEENUSE PAKKUJALT ÜLE VÕETUD PAKENDIJÄÄTMETE KOGUSTE KOHTA</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JÄRGNEVA KUU KOHTA:</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Dokumendi kuupäev ja asukoht:</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AASTA:</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ANDMED KOGUJA KOHTA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Nimi:</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Telefon/faks:</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Registrijärgse asukoha aadress:</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(personaalne identifitseerimisnumber):</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Kontaktisik:</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Piirkond:</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ÜKSIKASJAD SEGAOLMEJÄÄTMETE KOGUMISTEENUSE PAKKUJA KOHTA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Nimi:</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Telefon/faks:</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Registrijärgse asukoha aadress:</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(personaalne identifitseerimisnumber):</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Kontaktisik:</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ANDMED ÜLE VÕETUD ERALDI KOGUTUD PAKENDIJÄÄTMETE KOGUSTE KOHTA</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PAKENDIJÄÄTME LIIK</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KOGUS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PLAST</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KLAAS</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Andmete korrektsuse eest vastutav isik:</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Andmete korrektsuse eest vastutav isik:</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(jäätmekoguja)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(Segaolmejäätmete kogumisteenuse pakkuja)</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Nimi ja perekonnanimi</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Nimi ja perekonnanimi</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Vastutava isiku nimi, perekonnanimi ja allkiri</w:t>
            </w:r>
          </w:p>
        </w:tc>
        <w:tc>
          <w:tcPr>
            <w:tcW w:w="2849" w:type="pct"/>
          </w:tcPr>
          <w:p w14:paraId="1DA838A2" w14:textId="129406E5" w:rsidR="007F4A16" w:rsidRPr="00C21A36" w:rsidRDefault="007F4A16" w:rsidP="007F4A16">
            <w:pPr>
              <w:spacing w:before="240" w:after="20"/>
              <w:rPr>
                <w:bCs/>
              </w:rPr>
            </w:pPr>
            <w:r>
              <w:rPr>
                <w:sz w:val="20"/>
              </w:rPr>
              <w:t>Vastutava isiku nimi, perekonnanimi ja allkiri</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Vastuvõtja:</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Keskkonnakaitse ja energiatõhususe fond, Radnička cesta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V LISA</w:t>
      </w:r>
    </w:p>
    <w:p w14:paraId="1055ABE0" w14:textId="77777777" w:rsidR="00F4485B" w:rsidRPr="00A03BA9" w:rsidRDefault="00F4485B" w:rsidP="00F4485B">
      <w:pPr>
        <w:jc w:val="right"/>
        <w:rPr>
          <w:b/>
        </w:rPr>
      </w:pPr>
      <w:r>
        <w:rPr>
          <w:b/>
        </w:rPr>
        <w:t>Vorm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ARUANNE ÜHEKORDSE PAKENDI LIIGI JA KOGUSE KOHTA</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ANDMED TOOTJA/IMPORTIJA/EKSPORTIJA KOHTA</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Ring:</w:t>
            </w:r>
          </w:p>
          <w:p w14:paraId="7D2EBC99" w14:textId="01508EA1" w:rsidR="00F4485B" w:rsidRPr="00A03BA9" w:rsidRDefault="00F4485B" w:rsidP="00F4485B">
            <w:pPr>
              <w:rPr>
                <w:rFonts w:cs="Times New Roman"/>
                <w:b/>
                <w:bCs/>
              </w:rPr>
            </w:pPr>
            <w:r>
              <w:rPr>
                <w:b/>
              </w:rPr>
              <w:t>A) TOODETUD HORVAATIAS</w:t>
            </w:r>
          </w:p>
          <w:p w14:paraId="05062BDA" w14:textId="0A7C64E0" w:rsidR="00F4485B" w:rsidRPr="00A03BA9" w:rsidRDefault="00F4485B" w:rsidP="00F4485B">
            <w:pPr>
              <w:rPr>
                <w:rFonts w:cs="Times New Roman"/>
                <w:b/>
                <w:bCs/>
              </w:rPr>
            </w:pPr>
            <w:r>
              <w:rPr>
                <w:b/>
              </w:rPr>
              <w:t>B) IMPORDITUD HORVAATIASSE</w:t>
            </w:r>
          </w:p>
          <w:p w14:paraId="58CCFDD2" w14:textId="77777777" w:rsidR="00F4485B" w:rsidRPr="00A03BA9" w:rsidRDefault="00F4485B" w:rsidP="00F4485B">
            <w:pPr>
              <w:rPr>
                <w:rFonts w:cs="Times New Roman"/>
                <w:b/>
                <w:bCs/>
              </w:rPr>
            </w:pPr>
            <w:r>
              <w:rPr>
                <w:b/>
              </w:rPr>
              <w:t>C) EKSPORT</w:t>
            </w:r>
          </w:p>
          <w:p w14:paraId="4B3240E6" w14:textId="77777777" w:rsidR="00F4485B" w:rsidRPr="00A03BA9" w:rsidRDefault="00F4485B" w:rsidP="00F4485B">
            <w:pPr>
              <w:rPr>
                <w:rFonts w:cs="Times New Roman"/>
                <w:b/>
                <w:bCs/>
              </w:rPr>
            </w:pPr>
            <w:r>
              <w:rPr>
                <w:b/>
              </w:rPr>
              <w:t>D) HORVAATIA TURULT TAGASI VÕTMINE</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PERIOOD:</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Maksja nimi: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Aadress: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Kontaktisik: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Telefon:</w:t>
            </w:r>
          </w:p>
        </w:tc>
        <w:tc>
          <w:tcPr>
            <w:tcW w:w="4500" w:type="dxa"/>
            <w:gridSpan w:val="4"/>
            <w:noWrap/>
            <w:hideMark/>
          </w:tcPr>
          <w:p w14:paraId="5F67A3EB" w14:textId="77777777" w:rsidR="00F4485B" w:rsidRPr="00A03BA9" w:rsidRDefault="00F4485B" w:rsidP="00F4485B">
            <w:pPr>
              <w:rPr>
                <w:rFonts w:cs="Times New Roman"/>
              </w:rPr>
            </w:pPr>
            <w:r>
              <w:t xml:space="preserve">Faks: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E-post: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(tegevusalade riiklik klassifikatsioon):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(personaalne identifitseerimisnumber):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ANDMED PEAB SISESTAMA MUUS EUROOPA LIIDU LIIKMESRIIGIS VÕI KOLMANDAS RIIGIS ASUTATATUD TOOTJA:</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ANDMED TOOTJA KOHTA</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Maksja nimi: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Aadress: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OIB/VAT identifitseerimisnumber: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ÜKSIKASJAD TOOTJA AUTORISEERITUD ESINDAJA KOHTA HORVAATIAS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Autoriseeritud esindaja nimi: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Aadress: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Kontaktisik: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Telefon: </w:t>
            </w:r>
          </w:p>
        </w:tc>
        <w:tc>
          <w:tcPr>
            <w:tcW w:w="4500" w:type="dxa"/>
            <w:gridSpan w:val="4"/>
            <w:noWrap/>
            <w:hideMark/>
          </w:tcPr>
          <w:p w14:paraId="23E6322A" w14:textId="77777777" w:rsidR="00F4485B" w:rsidRPr="00A03BA9" w:rsidRDefault="00F4485B" w:rsidP="00F4485B">
            <w:pPr>
              <w:rPr>
                <w:rFonts w:cs="Times New Roman"/>
              </w:rPr>
            </w:pPr>
            <w:r>
              <w:t xml:space="preserve">Faks: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E-post: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(personaalne identifitseerimisnumber):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ANDMED PAKENDI LIIGI JA KOGUSE KOHTA</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Pakendimaterjali liik</w:t>
            </w:r>
          </w:p>
          <w:p w14:paraId="551EB431" w14:textId="77777777" w:rsidR="00F4485B" w:rsidRPr="00A03BA9" w:rsidRDefault="00F4485B" w:rsidP="00DF6E19">
            <w:pPr>
              <w:keepNext/>
              <w:rPr>
                <w:rFonts w:cs="Times New Roman"/>
                <w:b/>
                <w:bCs/>
              </w:rPr>
            </w:pPr>
            <w:r>
              <w:rPr>
                <w:b/>
              </w:rPr>
              <w:t>VÄLJASPOOL TAGATISRAHA TAGASTAMISE SÜSTEEMI</w:t>
            </w:r>
          </w:p>
        </w:tc>
        <w:tc>
          <w:tcPr>
            <w:tcW w:w="1794" w:type="dxa"/>
            <w:noWrap/>
            <w:hideMark/>
          </w:tcPr>
          <w:p w14:paraId="15F3ACA5" w14:textId="77777777" w:rsidR="00F4485B" w:rsidRPr="00A03BA9" w:rsidRDefault="00F4485B" w:rsidP="00DF6E19">
            <w:pPr>
              <w:keepNext/>
              <w:jc w:val="center"/>
              <w:rPr>
                <w:rFonts w:cs="Times New Roman"/>
                <w:b/>
                <w:bCs/>
              </w:rPr>
            </w:pPr>
            <w:r>
              <w:rPr>
                <w:b/>
              </w:rPr>
              <w:t>KOKKU</w:t>
            </w:r>
          </w:p>
          <w:p w14:paraId="4032FE8C" w14:textId="77777777" w:rsidR="00F4485B" w:rsidRPr="00A03BA9" w:rsidRDefault="00F4485B" w:rsidP="00DF6E19">
            <w:pPr>
              <w:keepNext/>
              <w:jc w:val="center"/>
              <w:rPr>
                <w:rFonts w:cs="Times New Roman"/>
                <w:b/>
                <w:bCs/>
              </w:rPr>
            </w:pPr>
            <w:r>
              <w:rPr>
                <w:b/>
              </w:rPr>
              <w:t>(tonnides)</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KOKKU (tk)</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METALL (PET – pakendis joogid, v.a piim ja vedelad piimatooted)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 (PET – pakendis piim ja vedelad piimatooted)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PLAST (PET – muu)</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METALL (AL – pakendis joogid, v.a piim ja vedelad piimatooted)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METALL (AL – pakendis piim ja vedelad piimatooted)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lastRenderedPageBreak/>
              <w:t>METALL (AL – muu)</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METALL (FE – pakendis joogid, v.a piim ja vedelad piimatooted)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METALL (FE – pakendis piim ja vedelad piimatooted)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METALL (FE – muu)</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PABER/PAPP</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MITMEKIHILINE (KOMPOSIIT) – joogid, v.a piim ja vedelad piimatooted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MITMEKIHILINE PAKEND (KOMPOSIIT) – piim ja vedelad piimatooted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MITMEKIHILINE PAKEND (KOMPOSIIT)*</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PLAST</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KLAAS</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ALUMIINIUM</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RAUD</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TEKSTIIL</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PUIT</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PABER JA PAPP</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PUIT</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TEKSTIIL</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PLAST (muud polümeerid – joogid, v.a piim ja vedelad piimatooted)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PLAST (muud polümeerid – joogid, v.a piim ja vedelad piimatooted)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PLAST (muud polümeerid)</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PLASTKOTID SEINAPAKSUSEGA &lt; 15 mikronit</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PLASTKOTID SEINAPAKSUSEGA ≥ 15 &lt; 50 mikronit</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PLASTKOTID SEINAPAKSUSEGA ≥ 50 mikronit</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KLAAS (joogid, v.a piim ja vedelad piimatooted)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KLAAS (piim ja vedelad piimatooted)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KLAAS (muu)</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Ohtlike ainetega saastunud pakend</w:t>
            </w:r>
          </w:p>
        </w:tc>
        <w:tc>
          <w:tcPr>
            <w:tcW w:w="1794" w:type="dxa"/>
            <w:noWrap/>
          </w:tcPr>
          <w:p w14:paraId="72EEDDC4" w14:textId="77777777" w:rsidR="00F4485B" w:rsidRPr="00A03BA9" w:rsidRDefault="00F4485B" w:rsidP="00DF6E19">
            <w:pPr>
              <w:keepNext/>
              <w:jc w:val="center"/>
              <w:rPr>
                <w:rFonts w:cs="Times New Roman"/>
                <w:b/>
                <w:bCs/>
              </w:rPr>
            </w:pPr>
            <w:r>
              <w:rPr>
                <w:b/>
              </w:rPr>
              <w:t>KOKKU (tonnides)</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PLAST</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KLAAS</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ALUMIINIUM</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RAUD</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TEKSTIIL</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PUIT</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PABER JA PAPP</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Pakendimaterjali liik TAGATISRAHA TAGASTAMISE SÜSTEEMIS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KOKKU</w:t>
            </w:r>
          </w:p>
          <w:p w14:paraId="36488BA4" w14:textId="77777777" w:rsidR="00F4485B" w:rsidRPr="00A03BA9" w:rsidRDefault="00F4485B" w:rsidP="00DF6E19">
            <w:pPr>
              <w:keepNext/>
              <w:jc w:val="center"/>
              <w:rPr>
                <w:rFonts w:cs="Times New Roman"/>
              </w:rPr>
            </w:pPr>
            <w:r>
              <w:rPr>
                <w:b/>
              </w:rPr>
              <w:t>(tonnides)</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KOKKU</w:t>
            </w:r>
          </w:p>
          <w:p w14:paraId="664CCF80" w14:textId="77777777" w:rsidR="00F4485B" w:rsidRPr="00A03BA9" w:rsidRDefault="00F4485B" w:rsidP="00DF6E19">
            <w:pPr>
              <w:keepNext/>
              <w:jc w:val="center"/>
              <w:rPr>
                <w:rFonts w:cs="Times New Roman"/>
                <w:b/>
              </w:rPr>
            </w:pPr>
            <w:r>
              <w:rPr>
                <w:b/>
              </w:rPr>
              <w:t>(tk)</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joogid, v.a piim ja vedelad piimatooted</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piim ja vedelad piimatooted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lastRenderedPageBreak/>
              <w:t>GLASS – joogid, v.a piim ja vedelad piimatooted</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GLASS – piim ja vedelad piimatooted</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AL PURGID – joogid, v.a piim ja vedelad piimatooted</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AL PURGID – piim ja vedelad piimatooted</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FE PURGID – joogid, v.a piim ja vedelad piimatooted</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FE PURGID – piim ja vedelad piimatooted</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Mitmekihilise pakendi (komposiitpakendi) summaarne kogus tuleks esitada selle koostismaterjalide summana (kõigi materjalide kogus kokku peaks olema sama mis mitmekihilise pakendi (komposiitpakendi) kogus).</w:t>
            </w:r>
          </w:p>
          <w:p w14:paraId="79FF4B0B" w14:textId="77777777" w:rsidR="00B81334" w:rsidRDefault="00B81334" w:rsidP="00F4485B"/>
          <w:p w14:paraId="56AD5252" w14:textId="77777777" w:rsidR="00B81334" w:rsidRPr="00A03BA9" w:rsidRDefault="00B81334" w:rsidP="00F4485B">
            <w:pPr>
              <w:rPr>
                <w:rFonts w:cs="Times New Roman"/>
              </w:rPr>
            </w:pPr>
            <w:r>
              <w:t>Koht:</w:t>
            </w:r>
          </w:p>
          <w:p w14:paraId="1DA66735" w14:textId="0F2CC748" w:rsidR="00B81334" w:rsidRPr="00A03BA9" w:rsidRDefault="00B81334" w:rsidP="00F4485B">
            <w:pPr>
              <w:jc w:val="right"/>
              <w:rPr>
                <w:rFonts w:cs="Times New Roman"/>
              </w:rPr>
            </w:pPr>
            <w:r>
              <w:t>Allkiri</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Kuupäev:</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Vastuvõtja:</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Keskkonnakaitse ja energiatõhususe fond, Radnička cesta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78B" w14:textId="77777777" w:rsidR="00C9543C" w:rsidRDefault="00C9543C" w:rsidP="0015270B">
      <w:r>
        <w:separator/>
      </w:r>
    </w:p>
  </w:endnote>
  <w:endnote w:type="continuationSeparator" w:id="0">
    <w:p w14:paraId="64DD8F7D" w14:textId="77777777" w:rsidR="00C9543C" w:rsidRDefault="00C9543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E8FDE" w14:textId="77777777" w:rsidR="00C9543C" w:rsidRDefault="00C9543C" w:rsidP="0015270B">
      <w:r>
        <w:separator/>
      </w:r>
    </w:p>
  </w:footnote>
  <w:footnote w:type="continuationSeparator" w:id="0">
    <w:p w14:paraId="09CB9AEF" w14:textId="77777777" w:rsidR="00C9543C" w:rsidRDefault="00C9543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341A"/>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2FF7"/>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78434"/>
  <w15:docId w15:val="{D7322D2A-84E8-4AF4-AD34-049FE530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F77C4F-87CC-4FD9-B9C5-03C9AD32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2946</Words>
  <Characters>16793</Characters>
  <Application>Microsoft Office Word</Application>
  <DocSecurity>0</DocSecurity>
  <Lines>139</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PLACIDO, Ana</cp:lastModifiedBy>
  <cp:revision>7</cp:revision>
  <cp:lastPrinted>2019-01-02T13:25:00Z</cp:lastPrinted>
  <dcterms:created xsi:type="dcterms:W3CDTF">2020-07-13T10:09:00Z</dcterms:created>
  <dcterms:modified xsi:type="dcterms:W3CDTF">2020-07-22T12:53:00Z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