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E377C2" w:rsidP="0093333B">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Pr>
          <w:rFonts w:ascii="Courier New" w:hAnsi="Courier New"/>
          <w:sz w:val="20"/>
        </w:rPr>
        <w:t xml:space="preserve">1. -----IND- 2019 0309 HU- EL- ------ </w:t>
      </w:r>
      <w:r>
        <w:rPr>
          <w:rFonts w:ascii="Segoe UI" w:hAnsi="Segoe UI"/>
          <w:color w:val="000000"/>
          <w:sz w:val="20"/>
        </w:rPr>
        <w:t>20201130</w:t>
      </w:r>
      <w:r>
        <w:rPr>
          <w:rFonts w:ascii="Calibri" w:hAnsi="Calibri"/>
          <w:sz w:val="20"/>
        </w:rPr>
        <w:t xml:space="preserve"> </w:t>
      </w:r>
      <w:r>
        <w:rPr>
          <w:rFonts w:ascii="Courier New" w:hAnsi="Courier New"/>
          <w:sz w:val="20"/>
        </w:rPr>
        <w:t>--- --- FINAL</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Διάταγμα αριθ. 51/2019 του υπουργού Γεωργίας της 28ης Οκτωβρίου 2019</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για την τροποποίηση του διατάγματος αριθ. 53/2017 του υπουργού Γεωργίας, της 18ης Οκτωβρίου 2017, για τις συνθήκες λειτουργίας μονάδων καύσης με ολική ονομαστική θερμική ισχύ μεγαλύτερη ή ίση με 140 kWth αλλά μικρότερη από 50 MWth και για τις οριακές τιμές ατμοσφαιρικών ρύπων που εκπέμπονται από αυτές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Δυνάμει της εξουσιοδότησης που χορηγείται κατά το άρθρο 110 παράγραφος 8 στοιχείο </w:t>
      </w:r>
      <w:r>
        <w:rPr>
          <w:rFonts w:ascii="Times New Roman" w:hAnsi="Times New Roman"/>
          <w:i/>
          <w:iCs/>
          <w:sz w:val="24"/>
        </w:rPr>
        <w:t>ζ)</w:t>
      </w:r>
      <w:r>
        <w:rPr>
          <w:rFonts w:ascii="Times New Roman" w:hAnsi="Times New Roman"/>
          <w:sz w:val="24"/>
        </w:rPr>
        <w:t xml:space="preserve"> του νόμου LIII του 1995 σχετικά με τους γενικούς κανόνες περιβαλλοντικής προστασίας, ενεργώντας στο πλαίσιο των αρμοδιοτήτων μου, όπως ορίζονται στο άρθρο 79 παράγραφος 9 του κυβερνητικού διατάγματος αριθ. 94/2018 της 22ας Μαΐου 2018 σχετικά με τις αρμοδιότητες και τις εξουσίες των μελών της κυβέρνησης, διά του παρόντος εκδίδω το ακόλουθο διάταγμα:</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Άρθρο 1</w:t>
      </w:r>
      <w:r>
        <w:rPr>
          <w:rFonts w:ascii="Times New Roman" w:hAnsi="Times New Roman"/>
          <w:sz w:val="24"/>
        </w:rPr>
        <w:t xml:space="preserve"> 1) Το ακόλουθο σημείο 1α προστίθεται στο άρθρο 2 παράγραφος 1 του διατάγματος αριθ. 53/2017 του υπουργού Γεωργίας, της 18ης Οκτωβρίου 2017, για τις συνθήκες λειτουργίας μονάδων καύσης με ολική ονομαστική θερμική ισχύ μεγαλύτερη ή ίση με 140 kWth αλλά μικρότερη από 50 MWth και για τις οριακές τιμές ατμοσφαιρικών ρύπων που εκπέμπονται από αυτές (εφεξής: το «διάταγμα»):</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(Για τους σκοπούς του παρόντος διατάγματος)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«1.α</w:t>
      </w:r>
      <w:r>
        <w:rPr>
          <w:rFonts w:ascii="Times New Roman" w:hAnsi="Times New Roman"/>
          <w:i/>
          <w:iCs/>
          <w:sz w:val="24"/>
        </w:rPr>
        <w:t xml:space="preserve"> “σύστημα μεταφοράς αερίου” </w:t>
      </w:r>
      <w:r>
        <w:rPr>
          <w:rFonts w:ascii="Times New Roman" w:hAnsi="Times New Roman"/>
          <w:sz w:val="24"/>
        </w:rPr>
        <w:t>νοείται ως ένα συνεργατικό σύστημα φυσικού αερίου δυνάμει του νόμου XL του 2008 για την παροχή φυσικού αερίου·»</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Το άρθρο 2 παράγραφος 1 σημείο 9 του διατάγματος αντικαθίσταται από τα ακόλουθα:</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«9. </w:t>
      </w:r>
      <w:r>
        <w:rPr>
          <w:rFonts w:ascii="Times New Roman" w:hAnsi="Times New Roman"/>
          <w:i/>
          <w:iCs/>
          <w:sz w:val="24"/>
        </w:rPr>
        <w:t>“συνολική ονομαστική θερμική ισχύς”</w:t>
      </w:r>
      <w:r>
        <w:rPr>
          <w:rFonts w:ascii="Times New Roman" w:hAnsi="Times New Roman"/>
          <w:sz w:val="24"/>
        </w:rPr>
        <w:t xml:space="preserve"> νοείται ως το άθροισμα των ονομαστικών θερμικών ισχύων μονάδων καύσης που υπολογίζεται σύμφωνα με τον κανόνα συνυπολογισμού, το οποίο στην περίπτωση μονάδας καύσης είναι ισοδύναμο με την ονομαστική θερμική ισχύ της·»</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Άρθρο 2</w:t>
      </w:r>
      <w:r>
        <w:rPr>
          <w:rFonts w:ascii="Times New Roman" w:hAnsi="Times New Roman"/>
          <w:sz w:val="24"/>
        </w:rPr>
        <w:t xml:space="preserve"> 1) Το άρθρο 4 παράγραφοι 6 και 7 του διατάγματος τίθεται σε ισχύ με την εξής διατύπωση:</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«6) Οι οριακές τιμές εκπομπών που ορίζονται στο παράρτημα 1 εφαρμόζονται στις μονάδες καύσεις κατηγορίας I με συνολική ονομαστική θερμική ισχύ μεγαλύτερη από ή ίση με 1 MWth και που λειτουργούν για έως 500 ώρες λειτουργίας ανά έτος, ως κυλιόμενος μέσος όρος σε περίοδο πέντε ετών, με την εξαίρεση πως η οριακή τιμή εκπομπών για στερεά υλικά για μονάδες καύσης που τροφοδοτούνται με στερεά καύσιμα από βιομάζα είναι 200 mg/Nm3 και η οριακή τιμή εκπομπών μονοξειδίου του άνθρακα είναι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7) Έως την 1η Ιανουαρίου 2030, οι οριακές τιμές που ορίζονται στο παράρτημα 1 ισχύουν για εγκαταστάσεις καύσης κατηγορίας I με συνολική ονομαστική θερμική ισχύ μεγαλύτερη από 5 MWth, όπου το 50 % της παραγωγής χρήσιμης θερμότητας των εν λόγω μονάδων, ως κυλιόμενος μέσος όρος σε περίοδο πέντε ετών, παραδίδεται με τη μορφή ατμού ή θερμότητας ή θερμού νερού σε δημόσιο δίκτυο οικιακής θέρμανσης, με την εξαίρεση πως η οριακή τιμή εκπομπών διοξειδίου του θείου για μονάδες που τροφοδοτούνται με στερεά και υγρά καύσιμα είναι 1 100 mg/Nm3 και η οριακή τιμή εκπομπών για στερεά καύσιμα για μονάδες καύσης που τροφοδοτούνται με στερεά καύσιμα είναι 150 mg/Nm3, ενώ η οριακή τιμή μονοξειδίου του άνθρακα για μονάδες καύσης που τροφοδοτούνται με στερεό καύσιμο από βιομάζα είναι 375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2) Το άρθρο 4 παράγραφος 9 του διατάγματος τίθεται σε ισχύ με την ακόλουθη διατύπωση:</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«9) Έως την 1η Ιανουαρίου 2030, οι οριακές τιμές εκπομπών που ορίζονται στο παράρτημα 1 πρέπει να εφαρμόζονται σε οξείδια του αζώτου από κινητήρες κατηγορίας 1 και αεριοστροβίλους με συνολική ονομαστική θερμική ισχύ άνω των 5 MWth και χρησιμοποιούνται για τη λειτουργία σταθμών συμπίεσης αερίου που απαιτούνται για την εγγύηση της ασφάλειας και προστασίας των συστημάτων μεταφοράς, με την εξαίρεση πως σε περίπτωση κινητήρων αερίου που τέθηκαν σε λειτουργία πριν από την 1η Ιανουαρίου 1994, η οριακή τιμή εκπομπών για οξείδια αζώτου είναι 565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Η παράγραφος 4 σημείο 10 του διατάγματος αντικαθίσταται από τα ακόλουθα:</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«10) Οι οριακές τιμές εκπομπών που ορίζονται στο παράρτημα 1 εφαρμόζονται σε μονάδες καύσης κατηγορίας II που λειτουργούν για έως 500 ώρες λειτουργίας ανά έτος, ως κυλιόμενος μέσος όρος σε περίοδο πέντε ετών, με την εξαίρεση πως η οριακή τιμή εκπομπών για στερεά υλικά μονάδων καύσης που τροφοδοτούνται με στερεά καύσιμα από βιομάζα είναι 100 mg/Nm3 και η οριακή τιμή εκπομπών μονοξειδίου του άνθρακα για μονάδες καύσης με συνολική θερμική ισχύ μεγαλύτερη ή ίση με 1 MWth, οι οποίες τροφοδοτούνται με στερεό καύσιμο από βιομάζα είναι 375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Η παράγραφος 4 σημείο 13 του διατάγματος αντικαθίσταται από τα ακόλουθα:</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«13) Στην περίπτωση σταθερών κινητήρων, οι οριακές τιμές εκπομπών δεν ισχύουν για</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α)</w:t>
      </w:r>
      <w:r>
        <w:rPr>
          <w:rFonts w:ascii="Times New Roman" w:hAnsi="Times New Roman"/>
          <w:sz w:val="24"/>
        </w:rPr>
        <w:t xml:space="preserve"> </w:t>
      </w:r>
      <w:r>
        <w:rPr>
          <w:rFonts w:ascii="Times New Roman" w:hAnsi="Times New Roman"/>
          <w:i/>
          <w:iCs/>
          <w:sz w:val="24"/>
        </w:rPr>
        <w:t>κινητήρες</w:t>
      </w:r>
      <w:r>
        <w:rPr>
          <w:rFonts w:ascii="Times New Roman" w:hAnsi="Times New Roman"/>
          <w:sz w:val="24"/>
        </w:rPr>
        <w:t xml:space="preserve"> με ονομαστική θερμική ισχύ μικρότερη από 1 MWth, του οποίου η χρήση καυσίμου είναι μικρότερη από 50 kg/h και</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β)</w:t>
      </w:r>
      <w:r>
        <w:rPr>
          <w:rFonts w:ascii="Times New Roman" w:hAnsi="Times New Roman"/>
          <w:sz w:val="24"/>
        </w:rPr>
        <w:t xml:space="preserve"> </w:t>
      </w:r>
      <w:r>
        <w:rPr>
          <w:rFonts w:ascii="Times New Roman" w:hAnsi="Times New Roman"/>
          <w:i/>
          <w:iCs/>
          <w:sz w:val="24"/>
        </w:rPr>
        <w:t xml:space="preserve">σταθερούς κινητήρες </w:t>
      </w:r>
      <w:r>
        <w:rPr>
          <w:rFonts w:ascii="Times New Roman" w:hAnsi="Times New Roman"/>
          <w:sz w:val="24"/>
        </w:rPr>
        <w:t>με παροχή έκτακτης ανάγκης, η οποία λειτουργεί λιγότερο από 50 ώρες ανά έτος.»</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Άρθρο 3 </w:t>
      </w:r>
      <w:r>
        <w:rPr>
          <w:rFonts w:ascii="Times New Roman" w:hAnsi="Times New Roman"/>
          <w:sz w:val="24"/>
        </w:rPr>
        <w:t>Το άρθρο 12 παράγραφοι 2 και 3 του διατάγματος αντικαθίσταται από τα ακόλουθα:</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Έως τις 31 Δεκεμβρίου 2029, οι οριακές τιμές εκπομπών που ορίζονται στο παράρτημα 1 εφαρμόζονται σε μονάδες καύσης κατηγορίας I με συνολική ονομαστική θερμική ισχύ μεγαλύτερη από ή ίση με 1 MWth αλλά μικρότερη από 5 MWth, με τις ακόλουθες εξαιρέσεις: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α) </w:t>
      </w:r>
      <w:r>
        <w:rPr>
          <w:rFonts w:ascii="Times New Roman" w:hAnsi="Times New Roman"/>
          <w:sz w:val="24"/>
        </w:rPr>
        <w:t>σε περίπτωση καύσης στερεής βιομάζας, η οριακή τιμή εκπομπών μονοξειδίου του άνθρακα είναι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β)</w:t>
      </w:r>
      <w:r>
        <w:rPr>
          <w:rFonts w:ascii="Times New Roman" w:hAnsi="Times New Roman"/>
          <w:sz w:val="24"/>
        </w:rPr>
        <w:t xml:space="preserve"> σε περίπτωση κινητήρων αερίου που τέθηκαν σε λειτουργία πριν από την 1η Ιανουαρίου 1994, οι οποίοι έχουν συνολική ονομαστική θερμική ισχύ άνω των 3 MWth, η οριακή τιμή οξειδίων του αζώτου είναι 565 mg/Nm3, η οριακή τιμή εκπομπών CO για τετράχρονους κινητήρες είναι 375 mg/Nm3, για δίχρονους κινητήρες είναι 320 mg/Nm3 και για ολικές οργανικές ενώσεις, οι οποίες εκφράζονται ως C (άνθρακα), εκτός από το μεθάνιο, η οριακή τιμή εκπομπών είναι 115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Έως τις 31 Δεκεμβρίου 2024, οι οριακές τιμές εκπομπών στο παράρτημα 1 εφαρμόζονται σε μονάδες καύσης κατηγορίας I με συνολική ονομαστική θερμική ισχύ μεγαλύτερη από 5 MWth με τις ακόλουθες εξαιρέσεις: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α) </w:t>
      </w:r>
      <w:r>
        <w:rPr>
          <w:rFonts w:ascii="Times New Roman" w:hAnsi="Times New Roman"/>
          <w:sz w:val="24"/>
        </w:rPr>
        <w:t>σε περίπτωση καύσης στερεής βιομάζας, η οριακή τιμή εκπομπών μονοξειδίου του άνθρακα είναι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β)</w:t>
      </w:r>
      <w:r>
        <w:rPr>
          <w:rFonts w:ascii="Times New Roman" w:hAnsi="Times New Roman"/>
          <w:sz w:val="24"/>
        </w:rPr>
        <w:t xml:space="preserve"> σε περίπτωση κινητήρων αερίου που τέθηκαν σε λειτουργία πριν από την 1η Ιανουαρίου 1994, η οριακή τιμή οξειδίων του αζώτου είναι mg/Nm3, η οριακή τιμή εκπομπών μονοξειδίου του άνθρακα για τετράχρονους κινητήρες είναι 375 mg/Nm3, για δίχρονους κινητήρες είναι 320 mg/Nm3 και για ολικές οργανικές ενώσεις, οι οποίες εκφράζονται ως C (άνθρακα), εκτός από το μεθάνιο, η οριακή τιμή εκπομπών είναι 115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Άρθρο 4</w:t>
      </w:r>
      <w:r>
        <w:rPr>
          <w:rFonts w:ascii="Times New Roman" w:hAnsi="Times New Roman"/>
          <w:sz w:val="24"/>
        </w:rPr>
        <w:t xml:space="preserve"> 1) Το παράρτημα 1 του διατάγματος τροποποιείται σύμφωνα με το παράρτημα 1.</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Το παράρτημα 2 του διατάγματος τίθεται σε ισχύ σύμφωνα με το παράρτημα 2.</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Το παράρτημα 3 του διατάγματος τίθεται σε ισχύ σύμφωνα με το παράρτημα 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4) Το παράρτημα 4 του διατάγματος τροποποιείται σύμφωνα με το παράρτημα 4.</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5) Το παράρτημα 5 του διατάγματος τροποποιείται σύμφωνα με το παράρτημα 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Άρθρο 5</w:t>
      </w:r>
      <w:r>
        <w:rPr>
          <w:rFonts w:ascii="Times New Roman" w:hAnsi="Times New Roman"/>
          <w:sz w:val="24"/>
        </w:rPr>
        <w:t xml:space="preserve"> Στο παράρτημα 4 σημείο 3, το υποσημείο 3.4 του διατάγματος καταργείται διά του παρόντος.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Άρθρο 6</w:t>
      </w:r>
      <w:r>
        <w:rPr>
          <w:rFonts w:ascii="Times New Roman" w:hAnsi="Times New Roman"/>
          <w:sz w:val="24"/>
        </w:rPr>
        <w:t xml:space="preserve"> 1) Το παρόν διάταγμα, με τις εξαιρέσεις που ορίζονται στις παραγράφους 2 έως 3, τίθεται σε ισχύ την 15η ημέρα από τη δημοσίευσή του.</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Το άρθρο 2 παράγραφος 1 και 2, άρθρο 4 παράγραφος 3 και το παράρτημα 3 τίθενται σε ισχύ την 1η Ιανουαρίου 2025.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Το άρθρο 4 παράγραφος 2 και το παράρτημα 2 τίθενται σε ισχύ την 1η Ιανουαρίου 2030.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Άρθρο 7</w:t>
      </w:r>
      <w:r>
        <w:rPr>
          <w:rFonts w:ascii="Times New Roman" w:hAnsi="Times New Roman"/>
          <w:sz w:val="24"/>
        </w:rPr>
        <w:t xml:space="preserve"> 1) Το εν λόγω διάταγμα εξυπηρετεί τον σκοπό συμμόρφωσης με την οδηγία (ΕΕ) 2015/2193 του Ευρωπαϊκού Κοινοβουλίου και του Συμβουλίου, της 25ης Νοεμβρίου 2015, για τον περιορισμό των εκπομπών ορισμένων ρύπων στην ατμόσφαιρα από μεσαίου μεγέθους μονάδες καύσης.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Τηρείται η απαίτηση για προηγούμενη κοινοποίηση αυτού του σχεδίου διατάγματος, όπως ορίζεται στα άρθρα 5 έως 7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Παράρτημα 1 του διατάγματος αριθ. 51/2019 του υπουργού Γεωργίας της 28ης Οκτωβρίου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Στο παράρτημα 1 σημείο 2, το υποσημείο 2.3 του διατάγματος αντικαθίσταται από τα εξής: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«2.3. Η οριακή τιμή εκπομπών NOx είναι 320 mg/m3 για καύση λιγνίτη, 300 mg/m3 για λέβητες καύσης ρευστών καυσίμων που τροφοδοτούνται με στερεά καύσιμα από βιομάζα και 210 mg/m3 για λέβητες καύσης ρευστών καυσίμων που τροφοδοτούνται με άλλα στερεά καύσιμα.»</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Στο παράρτημα 1 σημείο 3, το υποσημείο 3.1 του διατάγματος αντικαθίσταται από τα εξής: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«3.1. Η οριακή τιμή εκπομπών NOx είναι 300 mg/m3 για δίχρονους κινητήρες, 225 mg/m3 για τετράχρονους κινητήρες που τροφοδοτούνται με αέριο βιομάζας και υγειονομικής ταφής, 1 650 mg/m3 για κινητήρες ντίζελ που χρησιμοποιούνται αποκλειστικά για ερευνητικές γεωτρήσεις και 1 500 mg/m3 για άλλους κινητήρες ντίζελ.»</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Στο παράρτημα 1 σημείο 3 του διατάγματος προστίθεται το ακόλουθο υποσημείο 3.4:</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«3.4. Η οριακή τιμή εκπομπών TOC για κινητήρες αερίου που χρησιμοποιούν φυσικό αέριο με περιεκτικότητα σε αιθάνιο μεγαλύτερη από 5 % είναι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Παράρτημα 2 του διατάγματος αριθ. 51/2019 του υπουργού Γεωργίας της 28ης Οκτωβρίου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Στο κελί B:5 του πίνακα στο παράρτημα 5 σημείο 2 του διατάγματος, ο αριθμός «1 500» αντικαθίσταται από το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Στο παράρτημα 2 σημείο 2 του διατάγματος, το υποσημείο 2.5 τίθεται σε ισχύ ως εξής: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«2.5. Η οριακή τιμή εκπομπών NOx είναι 320 mg/Nm3 για καύση λιγνίτη, 300 mg/Nm3 για λέβητες καύσης ρευστών καυσίμων που τροφοδοτούνται με στερεά καύσιμα από βιομάζα και 210 mg/Nm3 για λέβητες καύσης ρευστών καυσίμων που τροφοδοτούνται με άλλα στερεά καύσιμα.»</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3. Στο παράρτημα 2 σημείο 3 του διατάγματος, το υποσημείο 3.3 τίθεται σε ισχύ ως εξής:</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«3.3. Η οριακή τιμή εκπομπών NOx είναι 1 500 mg/Nm3 στις ακόλουθες περιπτώσεις: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α)</w:t>
      </w:r>
      <w:r>
        <w:rPr>
          <w:rFonts w:ascii="Times New Roman" w:hAnsi="Times New Roman"/>
          <w:sz w:val="24"/>
        </w:rPr>
        <w:t xml:space="preserve"> για κινητήρες ντίζελ που η κατασκευή τους ξεκίνησε πριν από τις 18 Μαΐου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β)</w:t>
      </w:r>
      <w:r>
        <w:rPr>
          <w:rFonts w:ascii="Times New Roman" w:hAnsi="Times New Roman"/>
          <w:sz w:val="24"/>
        </w:rPr>
        <w:t xml:space="preserve"> για κινητήρες διπλού καυσίμου σε υγρή μορφή.»</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Στο παράρτημα 2 σημείο 3 του διατάγματος προστίθεται το ακόλουθο υποσημείο 3.8:</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«3.8. Η οριακή τιμή εκπομπών TOC για κινητήρες αερίου που χρησιμοποιούν φυσικό αέριο με περιεκτικότητα σε αιθάνιο μεγαλύτερη από 5 % είναι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Παράρτημα 3 του διατάγματος αριθ. 51/2019 του υπουργού Γεωργίας της 28ης Οκτωβρίου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Στο κελί B:5 του πίνακα στο παράρτημα 3 σημείο 2 του διατάγματος, ο αριθμός «1 500» αντικαθίσταται από το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Στο παράρτημα 3 σημείο 2 του διατάγματος, το υποσημείο 2.6 τίθεται σε ισχύ ως εξής: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«2.6. Η οριακή τιμή εκπομπών NOx είναι 320 mg/m3 για καύση λιγνίτη, 300 mg/m3 για λέβητες καύσης ρευστών καυσίμων που τροφοδοτούνται με στερεά καύσιμα από βιομάζα και 210 mg/m3 για λέβητες καύσης ρευστών καυσίμων που τροφοδοτούνται με άλλα στερεά καύσιμα.»</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Στο παράρτημα 3 σημείο 3 του διατάγματος, το υποσημείο 3.2 τίθεται σε ισχύ ως εξής:</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«3.2. Η οριακή τιμή εκπομπών NOx είναι 1 500 mg/Nm3 στις ακόλουθες περιπτώσεις: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α)</w:t>
      </w:r>
      <w:r>
        <w:rPr>
          <w:rFonts w:ascii="Times New Roman" w:hAnsi="Times New Roman"/>
          <w:sz w:val="24"/>
        </w:rPr>
        <w:t xml:space="preserve"> για κινητήρες ντίζελ που η κατασκευή τους ξεκίνησε πριν από τις 18 Μαΐου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β)</w:t>
      </w:r>
      <w:r>
        <w:rPr>
          <w:rFonts w:ascii="Times New Roman" w:hAnsi="Times New Roman"/>
          <w:sz w:val="24"/>
        </w:rPr>
        <w:t xml:space="preserve"> για κινητήρες διπλού καυσίμου σε υγρή μορφή.»</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Το παράρτημα 3 σημείο 3 του διατάγματος τίθεται σε ισχύ με τα ακόλουθα υποσημεία 3.9 και 3.10: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«3.9. Η οριακή τιμή εκπομπών TOC για κινητήρες αερίου που χρησιμοποιούν φυσικό αέριο με περιεκτικότητα σε αιθάνιο μεγαλύτερη από 5 % είναι 95 mg/m3.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3.10. Στην περίπτωση κινητήρων αερίου που τίθενται σε λειτουργία πριν από την 1η Ιανουαρίου 1994 που χρησιμοποιούνται για τη λειτουργία σταθμών συμπίεσης αερίου που απαιτούνται για την εγγύηση της ασφάλειας και προστασίας του συστήματος μεταφοράς αερίου, η οριακή τιμή εκπομπών CO για τετράχρονους κινητήρες είναι 375 mg/m3, για δίχρονους κινητήρες είναι 320 mg/m3 και η οριακή τιμή εκπομπών TOC είναι 115 mg/m3 έως την 1η Ιανουαρίου 2030».</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Παράρτημα 4 του διατάγματος αριθ. 51/2019 του υπουργού Γεωργίας της 28ης Οκτωβρίου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Στο παράρτημα 4 σημείο 2, το υποσημείο 2.5 του διατάγματος αντικαθίσταται από τα εξής: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«2.5. Η οριακή τιμή εκπομπών NOx είναι 320 mg/m3 για καύση λιγνίτη, 300 mg/m3 για λέβητες καύσης ρευστών καυσίμων που τροφοδοτούνται με στερεά καύσιμα από βιομάζα και 210 mg/m3 για λέβητες καύσης ρευστών καυσίμων που τροφοδοτούνται με άλλα στερεά καύσιμα.»</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Στο παράρτημα 4 σημείο 3, το υποσημείο 3.3 του διατάγματος αντικαθίσταται από τα εξής: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«3.3. Η οριακή τιμή εκπομπών NOx για κινητήρες ντίζελ, εάν οι εκπομπές τους σε NOx είναι περιορισμένες λόγω πρωτογενών μέτρων, είναι 1 650 mg/m3 για κινητήρες ντίζελ που χρησιμοποιούνται αποκλειστικά για ερευνητικές γεωτρήσεις και 1 500 mg/m3 για άλλους κινητήρες ντίζελ.»</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3. Στο παράρτημα 4 σημείο 3 του διατάγματος προστίθεται το ακόλουθο υποσημείο 3.8:</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«3.8. Η οριακή τιμή εκπομπών TOC για κινητήρες αερίου που χρησιμοποιούν φυσικό αέριο με περιεκτικότητα σε αιθάνιο μεγαλύτερη από 5 % είναι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Παράρτημα 5 του διατάγματος αριθ. 51/2019 του υπουργού Γεωργίας της 28ης Οκτωβρίου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Στο κελί B:5 του πίνακα στο παράρτημα 5 σημείο 2 του διατάγματος, ο αριθμός «1 500» αντικαθίσταται από το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Στο παράρτημα 5 σημείο 2 του διατάγματος τα υποσημεία 2.3 και 2.4 αντικαθίστανται από τα εξής:</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«2.3. Η οριακή τιμή εκπομπών NOx για μονάδες καύσης που τροφοδοτούνται με στερεά καύσιμα με συνολική ονομαστική θερμική ισχύ μεγαλύτερη από ή ίση με 1 MWth αλλά μικρότερη από 5 MWth είναι 500 mg/Nm3, με την εξαίρεση πως η καύση λιγνίτη είναι 320 mg/Nm3 και για λέβητες καύσης ρευστών καυσίμων που τροφοδοτούνται με στερεά καύσιμα από βιομάζα είναι 300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2.4. Η οριακή τιμή εκπομπών NOx για λέβητες ρευστών καυσίμων που τροφοδοτούνται με άλλα στερεά καύσιμα είναι 210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Στο παράρτημα 5 σημείο 3, το υποσημείο 3.2 του διατάγματος αντικαθίσταται από τα εξής:</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«3.2. Στην περίπτωση κινητήρων που λειτουργούν για 500–1 500 ώρες ανά έτος, οι εκπομπές τους σε NOx είναι περιορισμένες λόγω πρωτογενών μέτρων, εφαρμόζονται οι ακόλουθες οριακές τιμές εκπομπής NOx:</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α)</w:t>
      </w:r>
      <w:r>
        <w:rPr>
          <w:rFonts w:ascii="Times New Roman" w:hAnsi="Times New Roman"/>
          <w:sz w:val="24"/>
        </w:rPr>
        <w:t xml:space="preserve"> 1 300 mg/Nm3</w:t>
      </w:r>
      <w:r>
        <w:rPr>
          <w:rFonts w:ascii="Times New Roman" w:hAnsi="Times New Roman"/>
          <w:i/>
          <w:sz w:val="24"/>
        </w:rPr>
        <w:t xml:space="preserve"> </w:t>
      </w:r>
      <w:r>
        <w:rPr>
          <w:rFonts w:ascii="Times New Roman" w:hAnsi="Times New Roman"/>
          <w:sz w:val="24"/>
        </w:rPr>
        <w:t>για κινητήρες ντίζελ με συνολική ονομαστική θερμική ισχύ έως και 20 MWth με ≤ 1 200 r/min,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β)</w:t>
      </w:r>
      <w:r>
        <w:rPr>
          <w:rFonts w:ascii="Times New Roman" w:hAnsi="Times New Roman"/>
          <w:sz w:val="24"/>
        </w:rPr>
        <w:t xml:space="preserve"> 1 500 mg/Nm3</w:t>
      </w:r>
      <w:r>
        <w:rPr>
          <w:rFonts w:ascii="Times New Roman" w:hAnsi="Times New Roman"/>
          <w:i/>
          <w:sz w:val="24"/>
        </w:rPr>
        <w:t xml:space="preserve"> </w:t>
      </w:r>
      <w:r>
        <w:rPr>
          <w:rFonts w:ascii="Times New Roman" w:hAnsi="Times New Roman"/>
          <w:sz w:val="24"/>
        </w:rPr>
        <w:t>για κινητήρες ντίζελ με συνολική ονομαστική θερμική ισχύ έως και 20 MWth και για δίχρονους κινητήρες καυσίμων σε υγρή μορφή,</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γ)</w:t>
      </w:r>
      <w:r>
        <w:rPr>
          <w:rFonts w:ascii="Times New Roman" w:hAnsi="Times New Roman"/>
          <w:sz w:val="24"/>
        </w:rPr>
        <w:t xml:space="preserve"> 750 mg/Nm3 για κινητήρες ντίζελ με &gt; 1 200 r/min,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δ)</w:t>
      </w:r>
      <w:r>
        <w:rPr>
          <w:rFonts w:ascii="Times New Roman" w:hAnsi="Times New Roman"/>
          <w:sz w:val="24"/>
        </w:rPr>
        <w:t xml:space="preserve"> 380 mg/Nm3 για κινητήρες διπλού καυσίμου σε αέρια μορφή.»</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Στο παράρτημα 5 σημείο 3 του διατάγματος προστίθεται το ακόλουθο υποσημείο 3.9: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«3.9. Η οριακή τιμή εκπομπών TOC για κινητήρες αερίου που χρησιμοποιούν φυσικό αέριο με περιεκτικότητα σε αιθάνιο μεγαλύτερη από 5 % είναι 95 mg/m3.»</w:t>
      </w:r>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C2F" w:rsidRDefault="00196C2F" w:rsidP="000A7E07">
      <w:pPr>
        <w:spacing w:after="0" w:line="240" w:lineRule="auto"/>
      </w:pPr>
      <w:r>
        <w:separator/>
      </w:r>
    </w:p>
  </w:endnote>
  <w:endnote w:type="continuationSeparator" w:id="0">
    <w:p w:rsidR="00196C2F" w:rsidRDefault="00196C2F"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C2F" w:rsidRDefault="00196C2F" w:rsidP="000A7E07">
      <w:pPr>
        <w:spacing w:after="0" w:line="240" w:lineRule="auto"/>
      </w:pPr>
      <w:r>
        <w:separator/>
      </w:r>
    </w:p>
  </w:footnote>
  <w:footnote w:type="continuationSeparator" w:id="0">
    <w:p w:rsidR="00196C2F" w:rsidRDefault="00196C2F"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196C2F"/>
    <w:rsid w:val="00672D79"/>
    <w:rsid w:val="0093333B"/>
    <w:rsid w:val="00A8487D"/>
    <w:rsid w:val="00D23C28"/>
    <w:rsid w:val="00E377C2"/>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3.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2129</Words>
  <Characters>12141</Characters>
  <Application>Microsoft Office Word</Application>
  <DocSecurity>0</DocSecurity>
  <Lines>101</Lines>
  <Paragraphs>28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GOUCK, Lisa</cp:lastModifiedBy>
  <cp:revision>6</cp:revision>
  <dcterms:created xsi:type="dcterms:W3CDTF">2020-09-23T07:03:00Z</dcterms:created>
  <dcterms:modified xsi:type="dcterms:W3CDTF">2020-11-30T16:08:00Z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