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019E" w14:textId="77777777" w:rsidR="00C43AFA" w:rsidRDefault="00C43AFA" w:rsidP="00187BA0">
      <w:pPr>
        <w:spacing w:after="0" w:line="240" w:lineRule="auto"/>
        <w:rPr>
          <w:rFonts w:ascii="Times New Roman" w:eastAsia="Lucida Sans Unicode" w:hAnsi="Times New Roman" w:cs="Times New Roman"/>
          <w:b/>
          <w:bCs/>
          <w:sz w:val="24"/>
          <w:szCs w:val="24"/>
          <w:lang w:eastAsia="fr-FR"/>
        </w:rPr>
      </w:pP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C43AFA" w:rsidRPr="00C32FE3" w14:paraId="4DADB735" w14:textId="77777777" w:rsidTr="00F21523">
        <w:trPr>
          <w:cantSplit/>
        </w:trPr>
        <w:tc>
          <w:tcPr>
            <w:tcW w:w="3982" w:type="dxa"/>
            <w:gridSpan w:val="3"/>
          </w:tcPr>
          <w:p w14:paraId="5F1BEF07" w14:textId="77777777" w:rsidR="00C43AFA" w:rsidRPr="00C32FE3" w:rsidRDefault="00C43AFA" w:rsidP="00187BA0">
            <w:pPr>
              <w:pStyle w:val="SNREPUBLIQUE"/>
            </w:pPr>
            <w:r>
              <w:t xml:space="preserve">REPÚBLICA FRANCESA</w:t>
            </w:r>
          </w:p>
        </w:tc>
      </w:tr>
      <w:tr w:rsidR="00C43AFA" w:rsidRPr="00C32FE3" w14:paraId="3DC6B001" w14:textId="77777777" w:rsidTr="00F21523">
        <w:trPr>
          <w:cantSplit/>
          <w:trHeight w:hRule="exact" w:val="113"/>
        </w:trPr>
        <w:tc>
          <w:tcPr>
            <w:tcW w:w="1527" w:type="dxa"/>
          </w:tcPr>
          <w:p w14:paraId="1C5A5A07" w14:textId="77777777" w:rsidR="00C43AFA" w:rsidRPr="00C32FE3" w:rsidRDefault="00C43AFA" w:rsidP="00187BA0">
            <w:pPr>
              <w:spacing w:after="0" w:line="240" w:lineRule="auto"/>
            </w:pPr>
          </w:p>
        </w:tc>
        <w:tc>
          <w:tcPr>
            <w:tcW w:w="968" w:type="dxa"/>
            <w:tcBorders>
              <w:bottom w:val="single" w:sz="1" w:space="0" w:color="000000"/>
            </w:tcBorders>
          </w:tcPr>
          <w:p w14:paraId="513C75FD" w14:textId="77777777" w:rsidR="00C43AFA" w:rsidRPr="00C32FE3" w:rsidRDefault="00C43AFA" w:rsidP="00187BA0">
            <w:pPr>
              <w:spacing w:after="0" w:line="240" w:lineRule="auto"/>
            </w:pPr>
          </w:p>
        </w:tc>
        <w:tc>
          <w:tcPr>
            <w:tcW w:w="1487" w:type="dxa"/>
          </w:tcPr>
          <w:p w14:paraId="178754A3" w14:textId="77777777" w:rsidR="00C43AFA" w:rsidRPr="00C32FE3" w:rsidRDefault="00C43AFA" w:rsidP="00187BA0">
            <w:pPr>
              <w:spacing w:after="0" w:line="240" w:lineRule="auto"/>
            </w:pPr>
          </w:p>
        </w:tc>
      </w:tr>
      <w:tr w:rsidR="00C43AFA" w:rsidRPr="00C32FE3" w14:paraId="5EF9FE56" w14:textId="77777777" w:rsidTr="00F21523">
        <w:trPr>
          <w:cantSplit/>
        </w:trPr>
        <w:tc>
          <w:tcPr>
            <w:tcW w:w="3982" w:type="dxa"/>
            <w:gridSpan w:val="3"/>
          </w:tcPr>
          <w:p w14:paraId="0A5AF873" w14:textId="77777777" w:rsidR="00C43AFA" w:rsidRPr="00C32FE3" w:rsidRDefault="00C43AFA" w:rsidP="00187BA0">
            <w:pPr>
              <w:pStyle w:val="SNTimbre"/>
            </w:pPr>
            <w:r>
              <w:t xml:space="preserve">Ministerio de la Transición Ecológica</w:t>
            </w:r>
          </w:p>
        </w:tc>
      </w:tr>
      <w:tr w:rsidR="00C43AFA" w:rsidRPr="00C32FE3" w14:paraId="4F3B44EE" w14:textId="77777777" w:rsidTr="00F21523">
        <w:trPr>
          <w:cantSplit/>
          <w:trHeight w:hRule="exact" w:val="227"/>
        </w:trPr>
        <w:tc>
          <w:tcPr>
            <w:tcW w:w="1527" w:type="dxa"/>
          </w:tcPr>
          <w:p w14:paraId="379F09AD" w14:textId="77777777" w:rsidR="00C43AFA" w:rsidRPr="00C32FE3" w:rsidRDefault="00C43AFA" w:rsidP="00187BA0">
            <w:pPr>
              <w:spacing w:after="0" w:line="240" w:lineRule="auto"/>
            </w:pPr>
          </w:p>
        </w:tc>
        <w:tc>
          <w:tcPr>
            <w:tcW w:w="968" w:type="dxa"/>
            <w:tcBorders>
              <w:bottom w:val="single" w:sz="1" w:space="0" w:color="000000"/>
            </w:tcBorders>
          </w:tcPr>
          <w:p w14:paraId="6B4302EB" w14:textId="77777777" w:rsidR="00C43AFA" w:rsidRPr="00C32FE3" w:rsidRDefault="00C43AFA" w:rsidP="00187BA0">
            <w:pPr>
              <w:spacing w:after="0" w:line="240" w:lineRule="auto"/>
            </w:pPr>
          </w:p>
        </w:tc>
        <w:tc>
          <w:tcPr>
            <w:tcW w:w="1487" w:type="dxa"/>
          </w:tcPr>
          <w:p w14:paraId="04D3DFBF" w14:textId="77777777" w:rsidR="00C43AFA" w:rsidRPr="00C32FE3" w:rsidRDefault="00C43AFA" w:rsidP="00187BA0">
            <w:pPr>
              <w:spacing w:after="0" w:line="240" w:lineRule="auto"/>
            </w:pPr>
          </w:p>
        </w:tc>
      </w:tr>
      <w:tr w:rsidR="00C43AFA" w:rsidRPr="00C32FE3" w14:paraId="377331BB" w14:textId="77777777" w:rsidTr="00F21523">
        <w:trPr>
          <w:cantSplit/>
          <w:trHeight w:hRule="exact" w:val="227"/>
        </w:trPr>
        <w:tc>
          <w:tcPr>
            <w:tcW w:w="1527" w:type="dxa"/>
          </w:tcPr>
          <w:p w14:paraId="2FD02E30" w14:textId="77777777" w:rsidR="00C43AFA" w:rsidRPr="00C32FE3" w:rsidRDefault="00C43AFA" w:rsidP="00187BA0">
            <w:pPr>
              <w:spacing w:after="0" w:line="240" w:lineRule="auto"/>
            </w:pPr>
          </w:p>
        </w:tc>
        <w:tc>
          <w:tcPr>
            <w:tcW w:w="968" w:type="dxa"/>
          </w:tcPr>
          <w:p w14:paraId="6088A51A" w14:textId="77777777" w:rsidR="00C43AFA" w:rsidRPr="00C32FE3" w:rsidRDefault="00C43AFA" w:rsidP="00187BA0">
            <w:pPr>
              <w:spacing w:after="0" w:line="240" w:lineRule="auto"/>
            </w:pPr>
          </w:p>
        </w:tc>
        <w:tc>
          <w:tcPr>
            <w:tcW w:w="1487" w:type="dxa"/>
          </w:tcPr>
          <w:p w14:paraId="7532C317" w14:textId="77777777" w:rsidR="00C43AFA" w:rsidRPr="00C32FE3" w:rsidRDefault="00C43AFA" w:rsidP="00187BA0">
            <w:pPr>
              <w:spacing w:after="0" w:line="240" w:lineRule="auto"/>
            </w:pPr>
          </w:p>
        </w:tc>
      </w:tr>
    </w:tbl>
    <w:p w14:paraId="5947ADD2" w14:textId="77777777" w:rsidR="00C43AFA" w:rsidRDefault="00C43AFA" w:rsidP="00187BA0">
      <w:pPr>
        <w:pStyle w:val="SNNature"/>
        <w:spacing w:before="0" w:after="0"/>
      </w:pPr>
    </w:p>
    <w:p w14:paraId="2DE437CB" w14:textId="77777777" w:rsidR="00BF56AE" w:rsidRPr="00C32FE3" w:rsidRDefault="00BF56AE" w:rsidP="00187BA0">
      <w:pPr>
        <w:pStyle w:val="SNNature"/>
        <w:spacing w:before="0" w:after="0"/>
      </w:pPr>
      <w:r>
        <w:t xml:space="preserve">Decreto n.º                          de</w:t>
      </w:r>
    </w:p>
    <w:p w14:paraId="273D2CCE" w14:textId="77777777" w:rsidR="00BF56AE" w:rsidRDefault="00BF56AE" w:rsidP="00187BA0">
      <w:pPr>
        <w:pStyle w:val="SNtitre"/>
        <w:spacing w:after="0"/>
      </w:pPr>
      <w:r>
        <w:t xml:space="preserve">sobre la proporción mínima de envases reutilizados que deben comercializarse anualmente</w:t>
      </w:r>
    </w:p>
    <w:p w14:paraId="70ECAE4E" w14:textId="77777777" w:rsidR="00AB34D5" w:rsidRPr="00AB34D5" w:rsidRDefault="00AB34D5" w:rsidP="00187BA0">
      <w:pPr>
        <w:pStyle w:val="SNNORCentr"/>
      </w:pPr>
    </w:p>
    <w:p w14:paraId="42E7CD83" w14:textId="2387E567" w:rsidR="00BF56AE" w:rsidRPr="00C32FE3" w:rsidRDefault="00BF56AE" w:rsidP="00187BA0">
      <w:pPr>
        <w:pStyle w:val="SNNORCentr"/>
      </w:pPr>
      <w:r>
        <w:t xml:space="preserve">NOR:</w:t>
      </w:r>
      <w:r>
        <w:t xml:space="preserve"> </w:t>
      </w:r>
      <w:r>
        <w:t xml:space="preserve">TREP2109066D</w:t>
      </w:r>
    </w:p>
    <w:p w14:paraId="51C3F913" w14:textId="77777777" w:rsidR="00AB34D5" w:rsidRDefault="00AB34D5" w:rsidP="00187BA0">
      <w:pPr>
        <w:pStyle w:val="SNAutorit"/>
        <w:spacing w:before="0" w:after="0"/>
        <w:jc w:val="both"/>
        <w:rPr>
          <w:i/>
        </w:rPr>
      </w:pPr>
    </w:p>
    <w:p w14:paraId="6637299D" w14:textId="77777777" w:rsidR="00187BA0" w:rsidRDefault="00187BA0" w:rsidP="00187BA0">
      <w:pPr>
        <w:pStyle w:val="SNAutorit"/>
        <w:spacing w:before="0" w:after="0"/>
        <w:jc w:val="both"/>
        <w:rPr>
          <w:b w:val="0"/>
          <w:i/>
        </w:rPr>
      </w:pPr>
      <w:r>
        <w:rPr>
          <w:i/>
        </w:rPr>
        <w:t xml:space="preserve">Personas a las que afecta:</w:t>
      </w:r>
      <w:r>
        <w:t xml:space="preserve"> </w:t>
      </w:r>
      <w:r>
        <w:rPr>
          <w:b w:val="0"/>
          <w:i/>
        </w:rPr>
        <w:t xml:space="preserve">fabricantes de envases, productores, importadores, distribuidores u otros comercializadores de productos que utilicen envases, los sistemas de responsabilidad ampliada del productor a que se refiere el artículo L. 541-10, los que participen en actividades de reutilización y valorización.</w:t>
      </w:r>
    </w:p>
    <w:p w14:paraId="6D445276" w14:textId="77777777" w:rsidR="006F7816" w:rsidRPr="00187BA0" w:rsidRDefault="006F7816" w:rsidP="00187BA0">
      <w:pPr>
        <w:pStyle w:val="SNAutorit"/>
        <w:spacing w:before="0" w:after="0"/>
        <w:jc w:val="both"/>
        <w:rPr>
          <w:i/>
        </w:rPr>
      </w:pPr>
    </w:p>
    <w:p w14:paraId="711C5E51" w14:textId="77777777" w:rsidR="00187BA0" w:rsidRPr="00187BA0" w:rsidRDefault="00187BA0" w:rsidP="00187BA0">
      <w:pPr>
        <w:pStyle w:val="SNAutorit"/>
        <w:spacing w:before="0" w:after="0"/>
        <w:jc w:val="both"/>
      </w:pPr>
      <w:r>
        <w:rPr>
          <w:i/>
        </w:rPr>
        <w:t xml:space="preserve">Objeto:</w:t>
      </w:r>
      <w:r>
        <w:t xml:space="preserve"> </w:t>
      </w:r>
      <w:r>
        <w:rPr>
          <w:b w:val="0"/>
          <w:i/>
        </w:rPr>
        <w:t xml:space="preserve">proporción mínima de envases reutilizados que deben comercializarse anualmente en Francia de conformidad con el artículo 67 de la Ley n.º 2020-105, de 10 de febrero de 2020, sobre la lucha contra los desperdicios y la economía circular.</w:t>
      </w:r>
    </w:p>
    <w:p w14:paraId="685B4787" w14:textId="77777777" w:rsidR="00187BA0" w:rsidRDefault="00187BA0" w:rsidP="00187BA0">
      <w:pPr>
        <w:pStyle w:val="SNAutorit"/>
        <w:spacing w:before="0" w:after="0"/>
        <w:jc w:val="both"/>
        <w:rPr>
          <w:i/>
        </w:rPr>
      </w:pPr>
    </w:p>
    <w:p w14:paraId="10D3FADC" w14:textId="77777777" w:rsidR="00BF56AE" w:rsidRPr="00C975AF" w:rsidRDefault="00BF56AE" w:rsidP="00187BA0">
      <w:pPr>
        <w:pStyle w:val="SNAutorit"/>
        <w:spacing w:before="0" w:after="0"/>
        <w:jc w:val="both"/>
        <w:rPr>
          <w:b w:val="0"/>
          <w:i/>
        </w:rPr>
      </w:pPr>
      <w:r>
        <w:rPr>
          <w:i/>
        </w:rPr>
        <w:t xml:space="preserve">Entrada en vigor: </w:t>
      </w:r>
      <w:r>
        <w:rPr>
          <w:i/>
          <w:b w:val="0"/>
        </w:rPr>
        <w:t xml:space="preserve">el Decreto entrará en vigor el 1 de enero de 2022.</w:t>
      </w:r>
    </w:p>
    <w:p w14:paraId="2F4B8438" w14:textId="77777777" w:rsidR="00AB34D5" w:rsidRDefault="00AB34D5" w:rsidP="00187BA0">
      <w:pPr>
        <w:pStyle w:val="SNAutorit"/>
        <w:spacing w:before="0" w:after="0"/>
        <w:jc w:val="both"/>
        <w:rPr>
          <w:i/>
        </w:rPr>
      </w:pPr>
    </w:p>
    <w:p w14:paraId="7F1C17F4" w14:textId="77777777" w:rsidR="00BF56AE" w:rsidRPr="00214C72" w:rsidRDefault="00BF56AE" w:rsidP="00187BA0">
      <w:pPr>
        <w:pStyle w:val="SNAutorit"/>
        <w:spacing w:before="0" w:after="0"/>
        <w:jc w:val="both"/>
        <w:rPr>
          <w:b w:val="0"/>
          <w:i/>
        </w:rPr>
      </w:pPr>
      <w:r>
        <w:rPr>
          <w:i/>
        </w:rPr>
        <w:t xml:space="preserve">Nota explicativa: </w:t>
      </w:r>
      <w:r>
        <w:rPr>
          <w:i/>
          <w:b w:val="0"/>
        </w:rPr>
        <w:t xml:space="preserve">el Decreto define para los años 2022 a 2027 la proporción mínima de envases reutilizados que deben comercializarse anualmente en Francia para alcanzar los objetivos de reutilización establecidos en el artículo L. 541-1 del Código de Medio Ambiente, es decir, el 5 % en 2023 y el 10 % en 2027.</w:t>
      </w:r>
      <w:r>
        <w:rPr>
          <w:i/>
          <w:b w:val="0"/>
        </w:rPr>
        <w:t xml:space="preserve"> </w:t>
      </w:r>
      <w:r>
        <w:rPr>
          <w:i/>
          <w:b w:val="0"/>
        </w:rPr>
        <w:t xml:space="preserve">En él se especifican los productores afectados y se prevé la posibilidad de que dichos productores formen una estructura colectiva o se basen en su sistema de responsabilidad ampliada del productor para cumplir su obligación de envasado reutilizado.</w:t>
      </w:r>
    </w:p>
    <w:p w14:paraId="73CFF402" w14:textId="77777777" w:rsidR="00AB34D5" w:rsidRDefault="00AB34D5" w:rsidP="00187BA0">
      <w:pPr>
        <w:pStyle w:val="SNAutorit"/>
        <w:spacing w:before="0" w:after="0"/>
        <w:jc w:val="both"/>
        <w:rPr>
          <w:i/>
        </w:rPr>
      </w:pPr>
    </w:p>
    <w:p w14:paraId="0BD0E10C" w14:textId="77777777" w:rsidR="00BF56AE" w:rsidRPr="000D7A23" w:rsidRDefault="00BF56AE" w:rsidP="00187BA0">
      <w:pPr>
        <w:pStyle w:val="SNAutorit"/>
        <w:spacing w:before="0" w:after="0"/>
        <w:jc w:val="both"/>
        <w:rPr>
          <w:b w:val="0"/>
          <w:i/>
        </w:rPr>
      </w:pPr>
      <w:r>
        <w:rPr>
          <w:i/>
        </w:rPr>
        <w:t xml:space="preserve">Referencias: </w:t>
      </w:r>
      <w:r>
        <w:rPr>
          <w:i/>
          <w:b w:val="0"/>
        </w:rPr>
        <w:t xml:space="preserve">el Código de Medio Ambiente, en su versión modificada por el presente Decreto, puede consultarse en el sitio web de Légifrance (</w:t>
      </w:r>
      <w:hyperlink r:id="rId8" w:history="1">
        <w:r>
          <w:rPr>
            <w:rStyle w:val="Hyperlink"/>
            <w:b w:val="0"/>
            <w:i/>
          </w:rPr>
          <w:t xml:space="preserve">https://www.legifrance.gouv.fr</w:t>
        </w:r>
      </w:hyperlink>
      <w:r>
        <w:rPr>
          <w:b w:val="0"/>
          <w:i/>
        </w:rPr>
        <w:t xml:space="preserve">).</w:t>
      </w:r>
      <w:r>
        <w:rPr>
          <w:b w:val="0"/>
          <w:i/>
        </w:rPr>
        <w:t xml:space="preserve"> </w:t>
      </w:r>
    </w:p>
    <w:p w14:paraId="6756479F" w14:textId="77777777" w:rsidR="00AB34D5" w:rsidRDefault="00AB34D5" w:rsidP="00187BA0">
      <w:pPr>
        <w:pStyle w:val="SNAutorit"/>
        <w:spacing w:before="0" w:after="0"/>
      </w:pPr>
    </w:p>
    <w:p w14:paraId="74069CCA" w14:textId="77777777" w:rsidR="00BF56AE" w:rsidRPr="00C32FE3" w:rsidRDefault="00BF56AE" w:rsidP="00187BA0">
      <w:pPr>
        <w:pStyle w:val="SNAutorit"/>
        <w:spacing w:before="0" w:after="0"/>
      </w:pPr>
      <w:r>
        <w:t xml:space="preserve">El Primer Ministro francés,</w:t>
      </w:r>
    </w:p>
    <w:p w14:paraId="3CB9DF27" w14:textId="77777777" w:rsidR="00AB34D5" w:rsidRDefault="00AB34D5" w:rsidP="00187BA0">
      <w:pPr>
        <w:pStyle w:val="SNRapport"/>
        <w:spacing w:before="0" w:after="0"/>
        <w:jc w:val="both"/>
      </w:pPr>
    </w:p>
    <w:p w14:paraId="41B2B90E" w14:textId="77777777" w:rsidR="00BF56AE" w:rsidRPr="00C32FE3" w:rsidRDefault="00BF56AE" w:rsidP="00187BA0">
      <w:pPr>
        <w:pStyle w:val="SNRapport"/>
        <w:spacing w:before="0" w:after="0"/>
        <w:jc w:val="both"/>
      </w:pPr>
      <w:r>
        <w:t xml:space="preserve">A raíz del informe de la Ministra francesa de la Transición Ecológica,</w:t>
      </w:r>
    </w:p>
    <w:p w14:paraId="0072186B" w14:textId="77777777" w:rsidR="009666CF" w:rsidRDefault="009666CF" w:rsidP="00A57CCE">
      <w:pPr>
        <w:pStyle w:val="SNVisa"/>
      </w:pPr>
    </w:p>
    <w:p w14:paraId="341F7B8A" w14:textId="77777777" w:rsidR="009666CF" w:rsidRDefault="009666CF" w:rsidP="00A57CCE">
      <w:pPr>
        <w:pStyle w:val="SNVisa"/>
      </w:pPr>
      <w:r>
        <w:t xml:space="preserve">Vista la Directiva 2008/98/CE del Parlamento Europeo y del Consejo, de 19 de noviembre de 2008, sobre los residuos y por la que se derogan determinadas Directivas, en particular el artículo 9;</w:t>
      </w:r>
      <w:r>
        <w:t xml:space="preserve"> </w:t>
      </w:r>
    </w:p>
    <w:p w14:paraId="36D33F97" w14:textId="77777777" w:rsidR="009666CF" w:rsidRDefault="009666CF" w:rsidP="00A57CCE">
      <w:pPr>
        <w:pStyle w:val="SNVisa"/>
      </w:pPr>
    </w:p>
    <w:p w14:paraId="613B5CC2" w14:textId="77777777" w:rsidR="00BF56AE" w:rsidRDefault="00BF56AE" w:rsidP="00A57CCE">
      <w:pPr>
        <w:pStyle w:val="SNVisa"/>
      </w:pPr>
      <w:r>
        <w:t xml:space="preserve">Vista la Ley n.º 2020-105, de 10 de febrero de 2020, sobre la lucha contra los desperdicios y la economía circular, en particular los artículos 9, 67 y 130;</w:t>
      </w:r>
    </w:p>
    <w:p w14:paraId="3D6258FE" w14:textId="77777777" w:rsidR="00AB34D5" w:rsidRDefault="00AB34D5" w:rsidP="00A57CCE">
      <w:pPr>
        <w:pStyle w:val="SNVisa"/>
      </w:pPr>
    </w:p>
    <w:p w14:paraId="00FCCBF0" w14:textId="7EAE0D3C" w:rsidR="00BF56AE" w:rsidRDefault="00BF56AE" w:rsidP="00A57CCE">
      <w:pPr>
        <w:pStyle w:val="SNVisa"/>
      </w:pPr>
      <w:r>
        <w:t xml:space="preserve">Visto el Código de Medio Ambiente, en particular los artículos L. 541-1, L. 541-9-6, L. 541-10, L. 541-10-1, L. 541-10-3, L. 541-10-8, L. 541-10-18, L. 541-50, R. 541-128 y R. 543-43;</w:t>
      </w:r>
    </w:p>
    <w:p w14:paraId="35E1F319" w14:textId="77777777" w:rsidR="00A57CCE" w:rsidRDefault="00A57CCE" w:rsidP="00A57CCE">
      <w:pPr>
        <w:pStyle w:val="SNVisa"/>
      </w:pPr>
    </w:p>
    <w:p w14:paraId="6B44A064" w14:textId="3C6DBDC6" w:rsidR="00A57CCE" w:rsidRDefault="00A57CCE" w:rsidP="00A57CCE">
      <w:pPr>
        <w:pStyle w:val="SNVisa"/>
      </w:pPr>
      <w:r>
        <w:t xml:space="preserve">Visto el Código Rural y de la Pesca Marítima y, en particular, los artículos L. 641-1 a L. 641-13;</w:t>
      </w:r>
    </w:p>
    <w:p w14:paraId="7D286A7C" w14:textId="77777777" w:rsidR="00AB34D5" w:rsidRDefault="00AB34D5" w:rsidP="00A57CCE">
      <w:pPr>
        <w:pStyle w:val="SNVisa"/>
      </w:pPr>
    </w:p>
    <w:p w14:paraId="128A0F03" w14:textId="77777777" w:rsidR="00AC1325" w:rsidRDefault="00AC1325" w:rsidP="00A57CCE">
      <w:pPr>
        <w:pStyle w:val="SNVisa"/>
      </w:pPr>
      <w:r>
        <w:t xml:space="preserve">Vista la notificación n.º </w:t>
      </w:r>
      <w:r>
        <w:rPr>
          <w:highlight w:val="yellow"/>
        </w:rPr>
        <w:t xml:space="preserve">xxx </w:t>
      </w:r>
      <w:r>
        <w:t xml:space="preserve">dirigida a la Comisión Europea el </w:t>
      </w:r>
      <w:r>
        <w:rPr>
          <w:highlight w:val="yellow"/>
        </w:rPr>
        <w:t xml:space="preserve">xxx</w:t>
      </w:r>
      <w:r>
        <w:t xml:space="preserve">;</w:t>
      </w:r>
    </w:p>
    <w:p w14:paraId="556E9DC3" w14:textId="77777777" w:rsidR="00AC1325" w:rsidRDefault="00AC1325" w:rsidP="00A57CCE">
      <w:pPr>
        <w:pStyle w:val="SNVisa"/>
      </w:pPr>
    </w:p>
    <w:p w14:paraId="0FA71A1C" w14:textId="4EDB981F" w:rsidR="00BF56AE" w:rsidRDefault="00BF56AE" w:rsidP="00921C73">
      <w:pPr>
        <w:pStyle w:val="SNConsultation"/>
      </w:pPr>
      <w:r>
        <w:t xml:space="preserve">Vistas las observaciones formuladas durante la consulta pública realizada entre </w:t>
      </w:r>
      <w:r>
        <w:rPr>
          <w:highlight w:val="yellow"/>
        </w:rPr>
        <w:t xml:space="preserve">xxx</w:t>
      </w:r>
      <w:r>
        <w:t xml:space="preserve"> y </w:t>
      </w:r>
      <w:r>
        <w:rPr>
          <w:highlight w:val="yellow"/>
        </w:rPr>
        <w:t xml:space="preserve">xxx</w:t>
      </w:r>
      <w:r>
        <w:t xml:space="preserve">, de conformidad con el artículo L. 123-19-1 del Código de Medio Ambiente;</w:t>
      </w:r>
    </w:p>
    <w:p w14:paraId="5967BEBE" w14:textId="2BFA0F09" w:rsidR="00A57CCE" w:rsidRDefault="00A57CCE" w:rsidP="00921C73">
      <w:pPr>
        <w:pStyle w:val="SNConsultation"/>
      </w:pPr>
    </w:p>
    <w:p w14:paraId="331F9F37" w14:textId="0314E57F" w:rsidR="00A57CCE" w:rsidRDefault="00A57CCE" w:rsidP="00921C73">
      <w:pPr>
        <w:pStyle w:val="SNConsultation"/>
      </w:pPr>
      <w:r>
        <w:t xml:space="preserve">Previa consulta al Consejo de Estado (sección de obras públicas),</w:t>
      </w:r>
    </w:p>
    <w:p w14:paraId="54A96061" w14:textId="000E7FB1" w:rsidR="00921C73" w:rsidRDefault="00921C73" w:rsidP="00921C73">
      <w:pPr>
        <w:pStyle w:val="SNConsultation"/>
      </w:pPr>
    </w:p>
    <w:p w14:paraId="18A1569A" w14:textId="664A8EAE" w:rsidR="00D8707E" w:rsidRDefault="009D168F" w:rsidP="003D24BC">
      <w:pPr>
        <w:spacing w:after="0" w:line="240" w:lineRule="auto"/>
        <w:ind w:left="709"/>
        <w:rPr>
          <w:sz w:val="24"/>
          <w:szCs w:val="24"/>
          <w:rFonts w:ascii="Times New Roman" w:eastAsia="Lucida Sans Unicode" w:hAnsi="Times New Roman" w:cs="Times New Roman"/>
        </w:rPr>
      </w:pPr>
      <w:r>
        <w:rPr>
          <w:sz w:val="24"/>
          <w:rFonts w:ascii="Times New Roman" w:hAnsi="Times New Roman"/>
        </w:rPr>
        <w:t xml:space="preserve">Decreta:</w:t>
      </w:r>
    </w:p>
    <w:p w14:paraId="56911ECC" w14:textId="77777777" w:rsidR="009D168F" w:rsidRPr="00BF55F5" w:rsidRDefault="009D168F" w:rsidP="00187BA0">
      <w:pPr>
        <w:spacing w:after="0" w:line="240" w:lineRule="auto"/>
        <w:rPr>
          <w:rFonts w:ascii="Times New Roman" w:eastAsia="Lucida Sans Unicode" w:hAnsi="Times New Roman" w:cs="Times New Roman"/>
          <w:sz w:val="24"/>
          <w:szCs w:val="24"/>
          <w:lang w:eastAsia="fr-FR"/>
        </w:rPr>
      </w:pPr>
    </w:p>
    <w:p w14:paraId="00840ECB" w14:textId="77777777" w:rsidR="00807CC7" w:rsidRDefault="00807CC7" w:rsidP="00187BA0">
      <w:pPr>
        <w:spacing w:after="0" w:line="240" w:lineRule="auto"/>
        <w:jc w:val="center"/>
        <w:rPr>
          <w:rFonts w:ascii="Times New Roman" w:eastAsia="Times New Roman" w:hAnsi="Times New Roman" w:cs="Times New Roman"/>
          <w:b/>
          <w:sz w:val="24"/>
          <w:szCs w:val="24"/>
          <w:u w:val="single"/>
          <w:lang w:eastAsia="fr-FR"/>
        </w:rPr>
      </w:pPr>
    </w:p>
    <w:p w14:paraId="653821BD" w14:textId="77777777" w:rsidR="00C271D8" w:rsidRPr="00782886" w:rsidRDefault="00C271D8" w:rsidP="00187BA0">
      <w:pPr>
        <w:spacing w:after="0" w:line="240" w:lineRule="auto"/>
        <w:jc w:val="center"/>
        <w:rPr>
          <w:b/>
          <w:sz w:val="24"/>
          <w:szCs w:val="24"/>
          <w:u w:val="single"/>
          <w:rFonts w:ascii="Times New Roman" w:eastAsia="Times New Roman" w:hAnsi="Times New Roman" w:cs="Times New Roman"/>
        </w:rPr>
      </w:pPr>
      <w:r>
        <w:rPr>
          <w:b/>
          <w:sz w:val="24"/>
          <w:u w:val="single"/>
          <w:rFonts w:ascii="Times New Roman" w:hAnsi="Times New Roman"/>
        </w:rPr>
        <w:t xml:space="preserve">Artículo 1</w:t>
      </w:r>
    </w:p>
    <w:p w14:paraId="35733F01" w14:textId="2B3078EA" w:rsidR="00366B6B" w:rsidRDefault="00366B6B" w:rsidP="00187BA0">
      <w:pPr>
        <w:spacing w:after="0" w:line="240" w:lineRule="auto"/>
        <w:jc w:val="both"/>
        <w:rPr>
          <w:rFonts w:ascii="Times New Roman" w:hAnsi="Times New Roman" w:cs="Times New Roman"/>
          <w:sz w:val="24"/>
          <w:szCs w:val="24"/>
        </w:rPr>
      </w:pPr>
    </w:p>
    <w:p w14:paraId="49AED7A6" w14:textId="5CEF0B57" w:rsidR="00F14525"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El libro V, título IV, capítulo I, sección 10 del Código de Medio Ambiente se completa con una subsección 7 como sigue:</w:t>
      </w:r>
    </w:p>
    <w:p w14:paraId="673FB6D0" w14:textId="77777777" w:rsidR="00F14525" w:rsidRDefault="00F14525" w:rsidP="00187BA0">
      <w:pPr>
        <w:spacing w:after="0" w:line="240" w:lineRule="auto"/>
        <w:jc w:val="both"/>
        <w:rPr>
          <w:rFonts w:ascii="Times New Roman" w:hAnsi="Times New Roman" w:cs="Times New Roman"/>
          <w:sz w:val="24"/>
          <w:szCs w:val="24"/>
        </w:rPr>
      </w:pPr>
    </w:p>
    <w:p w14:paraId="7D9B7342" w14:textId="30D6E42C" w:rsidR="008958DF" w:rsidRDefault="00F14525" w:rsidP="00187BA0">
      <w:pPr>
        <w:spacing w:after="0" w:line="240" w:lineRule="auto"/>
        <w:jc w:val="both"/>
        <w:rPr>
          <w:sz w:val="24"/>
          <w:szCs w:val="24"/>
          <w:rFonts w:ascii="Times New Roman" w:hAnsi="Times New Roman" w:cs="Times New Roman"/>
        </w:rPr>
      </w:pPr>
      <w:r>
        <w:rPr>
          <w:sz w:val="24"/>
          <w:rFonts w:ascii="Times New Roman" w:hAnsi="Times New Roman"/>
        </w:rPr>
        <w:t xml:space="preserve">«Subsección 7 – Reutilización de envases</w:t>
      </w:r>
    </w:p>
    <w:p w14:paraId="6EBB86D5" w14:textId="77777777" w:rsidR="008958DF" w:rsidRDefault="008958DF" w:rsidP="00187BA0">
      <w:pPr>
        <w:spacing w:after="0" w:line="240" w:lineRule="auto"/>
        <w:jc w:val="both"/>
        <w:rPr>
          <w:rFonts w:ascii="Times New Roman" w:hAnsi="Times New Roman" w:cs="Times New Roman"/>
          <w:sz w:val="24"/>
          <w:szCs w:val="24"/>
        </w:rPr>
      </w:pPr>
    </w:p>
    <w:p w14:paraId="2144EB86" w14:textId="1A7B68F0" w:rsidR="006C2522" w:rsidRDefault="008958DF" w:rsidP="00187BA0">
      <w:pPr>
        <w:spacing w:after="0" w:line="240" w:lineRule="auto"/>
        <w:jc w:val="both"/>
        <w:rPr>
          <w:sz w:val="24"/>
          <w:szCs w:val="24"/>
          <w:rFonts w:ascii="Times New Roman" w:hAnsi="Times New Roman" w:cs="Times New Roman"/>
        </w:rPr>
      </w:pPr>
      <w:r>
        <w:rPr>
          <w:sz w:val="24"/>
          <w:rFonts w:ascii="Times New Roman" w:hAnsi="Times New Roman"/>
        </w:rPr>
        <w:t xml:space="preserve">Artículo R. 541-370.</w:t>
      </w:r>
      <w:r>
        <w:rPr>
          <w:sz w:val="24"/>
          <w:rFonts w:ascii="Times New Roman" w:hAnsi="Times New Roman"/>
        </w:rPr>
        <w:t xml:space="preserve"> </w:t>
      </w:r>
      <w:r>
        <w:rPr>
          <w:sz w:val="24"/>
          <w:rFonts w:ascii="Times New Roman" w:hAnsi="Times New Roman"/>
        </w:rPr>
        <w:t xml:space="preserve">- A efectos de lo dispuesto en el artículo L. 541-1, apartado III, y en el sentido de la presente subsección, se entenderá por:</w:t>
      </w:r>
    </w:p>
    <w:p w14:paraId="6C0C2534" w14:textId="77777777" w:rsidR="006C2522" w:rsidRDefault="006C2522" w:rsidP="00187BA0">
      <w:pPr>
        <w:spacing w:after="0" w:line="240" w:lineRule="auto"/>
        <w:jc w:val="both"/>
        <w:rPr>
          <w:rFonts w:ascii="Times New Roman" w:hAnsi="Times New Roman" w:cs="Times New Roman"/>
          <w:sz w:val="24"/>
          <w:szCs w:val="24"/>
        </w:rPr>
      </w:pPr>
    </w:p>
    <w:p w14:paraId="28FC3E91" w14:textId="5327DF8D" w:rsidR="00814CE5"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«envase»: el que cumpla las condiciones especificadas en el artículo R. 543-43 del Código de Medio Ambiente y al que se hace referencia en el artículo L. 541-10-1, puntos 1 y 2;</w:t>
      </w:r>
    </w:p>
    <w:p w14:paraId="6FF9121F" w14:textId="77777777" w:rsidR="006C2522" w:rsidRDefault="006C2522" w:rsidP="00187BA0">
      <w:pPr>
        <w:spacing w:after="0" w:line="240" w:lineRule="auto"/>
        <w:jc w:val="both"/>
        <w:rPr>
          <w:rFonts w:ascii="Times New Roman" w:hAnsi="Times New Roman" w:cs="Times New Roman"/>
          <w:sz w:val="24"/>
          <w:szCs w:val="24"/>
        </w:rPr>
      </w:pPr>
    </w:p>
    <w:p w14:paraId="41391A1C" w14:textId="5211433A" w:rsidR="006C2522"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«productor»:</w:t>
      </w:r>
      <w:r>
        <w:t xml:space="preserve"> </w:t>
      </w:r>
      <w:r>
        <w:rPr>
          <w:sz w:val="24"/>
          <w:rFonts w:ascii="Times New Roman" w:hAnsi="Times New Roman"/>
        </w:rPr>
        <w:t xml:space="preserve">toda persona que, a título profesional, envase o haya envasado sus productos con el fin de comercializarlos, cualquier importador cuyos productos se comercialicen en envases o, si el productor o importador no puede ser identificado, la persona responsable de la primera comercialización de dichos productos;</w:t>
      </w:r>
    </w:p>
    <w:p w14:paraId="46AB7EE9" w14:textId="77777777" w:rsidR="00642318" w:rsidRDefault="00642318" w:rsidP="00187BA0">
      <w:pPr>
        <w:spacing w:after="0" w:line="240" w:lineRule="auto"/>
        <w:jc w:val="both"/>
        <w:rPr>
          <w:rFonts w:ascii="Times New Roman" w:hAnsi="Times New Roman" w:cs="Times New Roman"/>
          <w:sz w:val="24"/>
          <w:szCs w:val="24"/>
        </w:rPr>
      </w:pPr>
    </w:p>
    <w:p w14:paraId="3C308936" w14:textId="4C5E7C2D" w:rsidR="00A62B56" w:rsidRPr="00AA30CE" w:rsidRDefault="002253EB" w:rsidP="00476913">
      <w:pPr>
        <w:spacing w:after="0" w:line="240" w:lineRule="auto"/>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«envase reutilizado»: envase objeto de al menos un segundo uso para un uso idéntico a aquel para el que fue diseñado y cuya reutilización o valorización esté organizada por el productor o en su nombre.</w:t>
      </w:r>
      <w:r>
        <w:rPr>
          <w:sz w:val="24"/>
          <w:rFonts w:ascii="Times New Roman" w:hAnsi="Times New Roman"/>
        </w:rPr>
        <w:t xml:space="preserve"> </w:t>
      </w:r>
      <w:r>
        <w:rPr>
          <w:sz w:val="24"/>
          <w:rFonts w:ascii="Times New Roman" w:hAnsi="Times New Roman"/>
        </w:rPr>
        <w:t xml:space="preserve">Un envase que es objeto de al menos un segundo uso al ser llenado en el punto de venta como parte de la venta a granel, o en casa en el caso de un dispositivo de recarga</w:t>
      </w:r>
      <w:r>
        <w:rPr>
          <w:sz w:val="24"/>
          <w:rFonts w:ascii="Times New Roman" w:hAnsi="Times New Roman"/>
        </w:rPr>
        <w:t xml:space="preserve"> organizado por el productor, se considera reutilizado.</w:t>
      </w:r>
    </w:p>
    <w:p w14:paraId="5A05CC17" w14:textId="77777777" w:rsidR="003F22D4" w:rsidRPr="00AA30CE" w:rsidRDefault="003F22D4" w:rsidP="00B74777">
      <w:pPr>
        <w:spacing w:after="0" w:line="240" w:lineRule="auto"/>
        <w:jc w:val="both"/>
        <w:rPr>
          <w:rFonts w:ascii="Times New Roman" w:hAnsi="Times New Roman" w:cs="Times New Roman"/>
          <w:sz w:val="24"/>
          <w:szCs w:val="24"/>
        </w:rPr>
      </w:pPr>
    </w:p>
    <w:p w14:paraId="097CC865" w14:textId="7EE25A2D" w:rsidR="00A434B1" w:rsidRPr="00AA30CE" w:rsidRDefault="002253EB" w:rsidP="00871620">
      <w:pPr>
        <w:spacing w:after="0" w:line="240" w:lineRule="auto"/>
        <w:jc w:val="both"/>
        <w:rPr>
          <w:sz w:val="24"/>
          <w:szCs w:val="24"/>
          <w:rFonts w:ascii="Times New Roman" w:hAnsi="Times New Roman" w:cs="Times New Roman"/>
        </w:rPr>
      </w:pPr>
      <w:r>
        <w:rPr>
          <w:sz w:val="24"/>
          <w:rFonts w:ascii="Times New Roman" w:hAnsi="Times New Roman"/>
        </w:rPr>
        <w:t xml:space="preserve">Artículo R. 541-371.</w:t>
      </w:r>
      <w:r>
        <w:rPr>
          <w:sz w:val="24"/>
          <w:rFonts w:ascii="Times New Roman" w:hAnsi="Times New Roman"/>
        </w:rPr>
        <w:t xml:space="preserve"> </w:t>
      </w:r>
      <w:r>
        <w:rPr>
          <w:sz w:val="24"/>
          <w:rFonts w:ascii="Times New Roman" w:hAnsi="Times New Roman"/>
        </w:rPr>
        <w:t xml:space="preserve">I. – La proporción mínima de envases reutilizados que deben comercializarse anualmente de conformidad con el artículo L. 541-1, apartado III, es la siguiente:</w:t>
      </w:r>
    </w:p>
    <w:p w14:paraId="13208BBB" w14:textId="77777777" w:rsidR="00A434B1" w:rsidRPr="00AA30CE" w:rsidRDefault="00A434B1" w:rsidP="00187BA0">
      <w:pPr>
        <w:spacing w:after="0" w:line="240" w:lineRule="auto"/>
        <w:jc w:val="both"/>
        <w:rPr>
          <w:rFonts w:ascii="Times New Roman" w:hAnsi="Times New Roman" w:cs="Times New Roman"/>
          <w:sz w:val="24"/>
          <w:szCs w:val="24"/>
        </w:rPr>
      </w:pPr>
    </w:p>
    <w:p w14:paraId="629D51E2" w14:textId="638BDC41" w:rsidR="00624CF6" w:rsidRPr="00AA30CE" w:rsidRDefault="002253EB" w:rsidP="005D7C0E">
      <w:pPr>
        <w:pStyle w:val="ListParagraph"/>
        <w:spacing w:after="0" w:line="240" w:lineRule="auto"/>
        <w:jc w:val="both"/>
        <w:rPr>
          <w:sz w:val="24"/>
          <w:szCs w:val="24"/>
          <w:rFonts w:ascii="Times New Roman" w:hAnsi="Times New Roman" w:cs="Times New Roman"/>
        </w:rPr>
      </w:pPr>
      <w:r>
        <w:rPr>
          <w:sz w:val="24"/>
          <w:rFonts w:ascii="Times New Roman" w:hAnsi="Times New Roman"/>
        </w:rPr>
        <w:t xml:space="preserve">- 1,5 % en 2022,</w:t>
      </w:r>
    </w:p>
    <w:p w14:paraId="485B39D8" w14:textId="639C2DB6"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- 5 % en 2023,</w:t>
      </w:r>
    </w:p>
    <w:p w14:paraId="6EC6FF23" w14:textId="078D8D59"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- 6 % en 2024,</w:t>
      </w:r>
    </w:p>
    <w:p w14:paraId="6336E297" w14:textId="5C7439BD"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- 7 % en 2025,</w:t>
      </w:r>
    </w:p>
    <w:p w14:paraId="4B9FA4E1" w14:textId="71D80084"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- 8 % en 2026,</w:t>
      </w:r>
    </w:p>
    <w:p w14:paraId="46852667" w14:textId="720F2ADD"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- 10 % en 2027.</w:t>
      </w:r>
    </w:p>
    <w:p w14:paraId="7D1F0F03" w14:textId="77777777" w:rsidR="003F22D4" w:rsidRPr="00AA30CE" w:rsidRDefault="003F22D4" w:rsidP="002253EB">
      <w:pPr>
        <w:spacing w:after="0" w:line="240" w:lineRule="auto"/>
        <w:jc w:val="both"/>
        <w:rPr>
          <w:rFonts w:ascii="Times New Roman" w:hAnsi="Times New Roman" w:cs="Times New Roman"/>
          <w:sz w:val="24"/>
          <w:szCs w:val="24"/>
        </w:rPr>
      </w:pPr>
    </w:p>
    <w:p w14:paraId="2B8FDEE0" w14:textId="41ED053E"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 – No se ven afectados por este objetivo ni por las disposiciones de la presente subsección:</w:t>
      </w:r>
    </w:p>
    <w:p w14:paraId="496609B9" w14:textId="77777777" w:rsidR="006467A9" w:rsidRPr="00AA30CE" w:rsidRDefault="006467A9" w:rsidP="00187BA0">
      <w:pPr>
        <w:spacing w:after="0" w:line="240" w:lineRule="auto"/>
        <w:jc w:val="both"/>
        <w:rPr>
          <w:rFonts w:ascii="Times New Roman" w:hAnsi="Times New Roman" w:cs="Times New Roman"/>
          <w:sz w:val="24"/>
          <w:szCs w:val="24"/>
        </w:rPr>
      </w:pPr>
    </w:p>
    <w:p w14:paraId="6A8FC995" w14:textId="00E11695"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los envases de productos para los que una disposición legislativa o reglamentaria nacional o comunitaria prohíbe la reutilización de dichos envases debido a los requisitos de salud o seguridad</w:t>
      </w:r>
      <w:r>
        <w:rPr>
          <w:sz w:val="24"/>
          <w:rFonts w:ascii="Times New Roman" w:hAnsi="Times New Roman"/>
        </w:rPr>
        <w:t xml:space="preserve"> del consumidor;</w:t>
      </w:r>
    </w:p>
    <w:p w14:paraId="29354EFE" w14:textId="77777777" w:rsidR="00C35960" w:rsidRPr="00AA30CE" w:rsidRDefault="00C35960" w:rsidP="00187BA0">
      <w:pPr>
        <w:spacing w:after="0" w:line="240" w:lineRule="auto"/>
        <w:jc w:val="both"/>
        <w:rPr>
          <w:rFonts w:ascii="Times New Roman" w:hAnsi="Times New Roman" w:cs="Times New Roman"/>
          <w:sz w:val="24"/>
          <w:szCs w:val="24"/>
        </w:rPr>
      </w:pPr>
    </w:p>
    <w:p w14:paraId="7D243565" w14:textId="321BEE97"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hasta el 1 de enero de 2024, los envases de productos para los que el pliego de condiciones de los signos de identificación de calidad y origen previstos en los artículos L. 641-1 a L. 641-13 del Código Rural y de Pesca Marítima prohíben la reutilización o valorización de sus envases.</w:t>
      </w:r>
    </w:p>
    <w:p w14:paraId="71215CB3" w14:textId="77777777" w:rsidR="00A25624" w:rsidRPr="00AA30CE" w:rsidRDefault="00A25624" w:rsidP="00187BA0">
      <w:pPr>
        <w:spacing w:after="0" w:line="240" w:lineRule="auto"/>
        <w:jc w:val="both"/>
        <w:rPr>
          <w:rFonts w:ascii="Times New Roman" w:hAnsi="Times New Roman" w:cs="Times New Roman"/>
          <w:sz w:val="24"/>
          <w:szCs w:val="24"/>
        </w:rPr>
      </w:pPr>
    </w:p>
    <w:p w14:paraId="0CE16C4F" w14:textId="740A677D" w:rsidR="003F3509" w:rsidRPr="00AA30CE" w:rsidRDefault="002253EB">
      <w:pPr>
        <w:spacing w:after="0" w:line="240" w:lineRule="auto"/>
        <w:jc w:val="both"/>
        <w:rPr>
          <w:sz w:val="24"/>
          <w:szCs w:val="24"/>
          <w:rFonts w:ascii="Times New Roman" w:hAnsi="Times New Roman" w:cs="Times New Roman"/>
        </w:rPr>
      </w:pPr>
      <w:r>
        <w:rPr>
          <w:sz w:val="24"/>
          <w:rFonts w:ascii="Times New Roman" w:hAnsi="Times New Roman"/>
        </w:rPr>
        <w:t xml:space="preserve">III. – La unidad de medida de los envases reutilizados corresponderá a cualquier envase primario, secundario o terciario.</w:t>
      </w:r>
      <w:r>
        <w:rPr>
          <w:sz w:val="24"/>
          <w:rFonts w:ascii="Times New Roman" w:hAnsi="Times New Roman"/>
        </w:rPr>
        <w:t xml:space="preserve"> </w:t>
      </w:r>
    </w:p>
    <w:p w14:paraId="3F04B8D7" w14:textId="77777777" w:rsidR="003F3509" w:rsidRPr="00AA30CE" w:rsidRDefault="00205EE6" w:rsidP="00413B02">
      <w:pPr>
        <w:spacing w:after="0" w:line="240" w:lineRule="auto"/>
        <w:jc w:val="both"/>
        <w:rPr>
          <w:sz w:val="24"/>
          <w:szCs w:val="24"/>
          <w:rFonts w:ascii="Times New Roman" w:hAnsi="Times New Roman" w:cs="Times New Roman"/>
        </w:rPr>
      </w:pPr>
      <w:r>
        <w:rPr>
          <w:sz w:val="24"/>
          <w:rFonts w:ascii="Times New Roman" w:hAnsi="Times New Roman"/>
        </w:rPr>
        <w:t xml:space="preserve"> </w:t>
      </w:r>
    </w:p>
    <w:p w14:paraId="3333D50A" w14:textId="2FFAEC64" w:rsidR="00F43519" w:rsidRPr="00AA30CE" w:rsidRDefault="002253EB" w:rsidP="003F3509">
      <w:pPr>
        <w:spacing w:after="0" w:line="240" w:lineRule="auto"/>
        <w:jc w:val="both"/>
        <w:rPr>
          <w:sz w:val="24"/>
          <w:szCs w:val="24"/>
          <w:rFonts w:ascii="Times New Roman" w:hAnsi="Times New Roman" w:cs="Times New Roman"/>
        </w:rPr>
      </w:pPr>
      <w:r>
        <w:rPr>
          <w:sz w:val="24"/>
          <w:rFonts w:ascii="Times New Roman" w:hAnsi="Times New Roman"/>
        </w:rPr>
        <w:t xml:space="preserve">No obstante, el productor podrá adoptar otra unidad de medida para los envases reutilizados correspondiente a una capacidad equivalente, cuando pueda justificar que dicha unidad de medida equivalente es más adecuada para los productos envasados.</w:t>
      </w:r>
      <w:r>
        <w:rPr>
          <w:sz w:val="24"/>
          <w:rFonts w:ascii="Times New Roman" w:hAnsi="Times New Roman"/>
        </w:rPr>
        <w:t xml:space="preserve"> </w:t>
      </w:r>
      <w:r>
        <w:rPr>
          <w:sz w:val="24"/>
          <w:rFonts w:ascii="Times New Roman" w:hAnsi="Times New Roman"/>
        </w:rPr>
        <w:t xml:space="preserve">En este caso, la unidad de medida corresponderá a una capacidad equivalente a 0,5 litros para líquidos y 0,5 kilogramos en otros casos.</w:t>
      </w:r>
    </w:p>
    <w:p w14:paraId="6680BEAA" w14:textId="77777777" w:rsidR="00413B02" w:rsidRPr="00AA30CE" w:rsidRDefault="00413B02" w:rsidP="00413B02">
      <w:pPr>
        <w:spacing w:after="0" w:line="240" w:lineRule="auto"/>
        <w:jc w:val="both"/>
        <w:rPr>
          <w:rFonts w:ascii="Times New Roman" w:hAnsi="Times New Roman" w:cs="Times New Roman"/>
          <w:sz w:val="24"/>
          <w:szCs w:val="24"/>
        </w:rPr>
      </w:pPr>
    </w:p>
    <w:p w14:paraId="741F7E62" w14:textId="2962342C" w:rsidR="00A233C5" w:rsidRPr="00AA30CE" w:rsidRDefault="002253EB" w:rsidP="00B74777">
      <w:pPr>
        <w:spacing w:after="0" w:line="240" w:lineRule="auto"/>
        <w:jc w:val="both"/>
        <w:rPr>
          <w:sz w:val="24"/>
          <w:szCs w:val="24"/>
          <w:rFonts w:ascii="Times New Roman" w:hAnsi="Times New Roman" w:cs="Times New Roman"/>
        </w:rPr>
      </w:pPr>
      <w:r>
        <w:rPr>
          <w:sz w:val="24"/>
          <w:rFonts w:ascii="Times New Roman" w:hAnsi="Times New Roman"/>
        </w:rPr>
        <w:t xml:space="preserve">IV. – El observatorio de reutilización y valorización está llevando a cabo un estudio antes del 1 de diciembre de 2022 para caracterizar los márgenes existentes de progresión de los diferentes flujos de envases y categorías de productos.</w:t>
      </w:r>
      <w:r>
        <w:rPr>
          <w:sz w:val="24"/>
          <w:rFonts w:ascii="Times New Roman" w:hAnsi="Times New Roman"/>
        </w:rPr>
        <w:t xml:space="preserve"> </w:t>
      </w:r>
      <w:r>
        <w:rPr>
          <w:sz w:val="24"/>
          <w:rFonts w:ascii="Times New Roman" w:hAnsi="Times New Roman"/>
        </w:rPr>
        <w:t xml:space="preserve">Los objetivos establecidos en el apartado I podrán revisarse en consecuencia.</w:t>
      </w:r>
    </w:p>
    <w:p w14:paraId="774074C0" w14:textId="77777777" w:rsidR="00B74777" w:rsidRPr="00AA30CE" w:rsidRDefault="00B74777" w:rsidP="00B74777">
      <w:pPr>
        <w:spacing w:after="0" w:line="240" w:lineRule="auto"/>
        <w:jc w:val="both"/>
        <w:rPr>
          <w:rFonts w:ascii="Times New Roman" w:hAnsi="Times New Roman" w:cs="Times New Roman"/>
          <w:sz w:val="24"/>
          <w:szCs w:val="24"/>
        </w:rPr>
      </w:pPr>
    </w:p>
    <w:p w14:paraId="399E3BE6" w14:textId="03FEFD9A" w:rsidR="00D05C46"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Artículo R. 541-372.</w:t>
      </w:r>
      <w:r>
        <w:rPr>
          <w:sz w:val="24"/>
          <w:rFonts w:ascii="Times New Roman" w:hAnsi="Times New Roman"/>
        </w:rPr>
        <w:t xml:space="preserve"> </w:t>
      </w:r>
      <w:r>
        <w:rPr>
          <w:sz w:val="24"/>
          <w:rFonts w:ascii="Times New Roman" w:hAnsi="Times New Roman"/>
        </w:rPr>
        <w:t xml:space="preserve">- I. – A efectos del artículo L. 541-1, apartado III, las personas obligadas a cumplir las proporciones mínimas de envases reutilizados establecidas en el artículo R. 541-371 serán los productores responsables de comercializar al menos 10 000 unidades de productos envasados al año y de declarar un volumen de negocios anual superior a los siguientes valores:</w:t>
      </w:r>
    </w:p>
    <w:p w14:paraId="2E28EEE8" w14:textId="781B951D" w:rsidR="00D05C46"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- 50 millones EUR hasta el 31 de diciembre de 2024,</w:t>
      </w:r>
    </w:p>
    <w:p w14:paraId="0FEDC01B" w14:textId="0BEE314A" w:rsidR="00496410"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- 20 millones EUR desde el 1 de enero de 2025 hasta el 31 de diciembre de 2025.</w:t>
      </w:r>
    </w:p>
    <w:p w14:paraId="0FD6637E" w14:textId="4BE59A0E" w:rsidR="00D05C46" w:rsidRPr="00AA30CE" w:rsidRDefault="00496410" w:rsidP="00187BA0">
      <w:pPr>
        <w:spacing w:after="0" w:line="240" w:lineRule="auto"/>
        <w:jc w:val="both"/>
        <w:rPr>
          <w:sz w:val="24"/>
          <w:szCs w:val="24"/>
          <w:rFonts w:ascii="Times New Roman" w:hAnsi="Times New Roman" w:cs="Times New Roman"/>
        </w:rPr>
      </w:pPr>
      <w:r>
        <w:rPr>
          <w:sz w:val="24"/>
          <w:rFonts w:ascii="Times New Roman" w:hAnsi="Times New Roman"/>
        </w:rPr>
        <w:t xml:space="preserve">A partir del 1 de enero de 2026, el criterio del volumen de negocios anual se aplicará sin umbral.</w:t>
      </w:r>
    </w:p>
    <w:p w14:paraId="7D2F155B" w14:textId="77777777" w:rsidR="008612AE" w:rsidRPr="00AA30CE" w:rsidRDefault="008612AE" w:rsidP="00187BA0">
      <w:pPr>
        <w:spacing w:after="0" w:line="240" w:lineRule="auto"/>
        <w:jc w:val="both"/>
        <w:rPr>
          <w:rFonts w:ascii="Times New Roman" w:hAnsi="Times New Roman" w:cs="Times New Roman"/>
          <w:sz w:val="24"/>
          <w:szCs w:val="24"/>
        </w:rPr>
      </w:pPr>
    </w:p>
    <w:p w14:paraId="4806D3ED" w14:textId="4CE48103" w:rsidR="007456D4"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 – Cualquier productor a que se refiere el apartado I del presente artículo podrá optar por participar con otros productores afectados en la creación de una estructura colectiva para poner en común y ejecutar las acciones necesarias para la comercialización de envases reutilizados.</w:t>
      </w:r>
      <w:r>
        <w:rPr>
          <w:sz w:val="24"/>
          <w:rFonts w:ascii="Times New Roman" w:hAnsi="Times New Roman"/>
        </w:rPr>
        <w:t xml:space="preserve"> </w:t>
      </w:r>
    </w:p>
    <w:p w14:paraId="0EBB7FF8" w14:textId="77777777" w:rsidR="007456D4" w:rsidRPr="00AA30CE" w:rsidRDefault="007456D4" w:rsidP="00187BA0">
      <w:pPr>
        <w:spacing w:after="0" w:line="240" w:lineRule="auto"/>
        <w:jc w:val="both"/>
        <w:rPr>
          <w:rFonts w:ascii="Times New Roman" w:hAnsi="Times New Roman" w:cs="Times New Roman"/>
          <w:sz w:val="24"/>
          <w:szCs w:val="24"/>
        </w:rPr>
      </w:pPr>
    </w:p>
    <w:p w14:paraId="6143F1BC" w14:textId="2D36AC46" w:rsidR="007456D4" w:rsidRPr="00AA30CE" w:rsidRDefault="007C6371" w:rsidP="00187BA0">
      <w:pPr>
        <w:spacing w:after="0" w:line="240" w:lineRule="auto"/>
        <w:jc w:val="both"/>
        <w:rPr>
          <w:sz w:val="24"/>
          <w:szCs w:val="24"/>
          <w:rFonts w:ascii="Times New Roman" w:hAnsi="Times New Roman" w:cs="Times New Roman"/>
        </w:rPr>
      </w:pPr>
      <w:r>
        <w:rPr>
          <w:sz w:val="24"/>
          <w:rFonts w:ascii="Times New Roman" w:hAnsi="Times New Roman"/>
        </w:rPr>
        <w:t xml:space="preserve">En este caso, los productores miembros de la estructura colectiva serán responsables solidariamente del cumplimiento del objetivo anual correspondiente a la suma de las proporciones mínimas de envases reutilizados que deben comercializar todos los productores asociados.</w:t>
      </w:r>
      <w:r>
        <w:rPr>
          <w:sz w:val="24"/>
          <w:rFonts w:ascii="Times New Roman" w:hAnsi="Times New Roman"/>
        </w:rPr>
        <w:t xml:space="preserve">  </w:t>
      </w:r>
    </w:p>
    <w:p w14:paraId="1E211F17" w14:textId="77777777" w:rsidR="00CA0250" w:rsidRPr="00AA30CE" w:rsidRDefault="00CA0250" w:rsidP="00187BA0">
      <w:pPr>
        <w:spacing w:after="0" w:line="240" w:lineRule="auto"/>
        <w:jc w:val="both"/>
        <w:rPr>
          <w:rFonts w:ascii="Times New Roman" w:hAnsi="Times New Roman" w:cs="Times New Roman"/>
          <w:sz w:val="24"/>
          <w:szCs w:val="24"/>
        </w:rPr>
      </w:pPr>
    </w:p>
    <w:p w14:paraId="4D562BBD" w14:textId="3CEEFE6E" w:rsidR="00331FAC"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III. – Los sistemas de responsabilidad ampliada del productor autorizados para los envases a que se refiere el artículo L. 541-10-1, apartados 1 y 2, del Código de Medio Ambiente podrán proponer a los productores afectados la obligación de comercializar una proporción mínima de envases reutilizados, incluidos los envases no cubiertos por su autorización, para desempeñar el papel de la estructura colectiva mencionada en el apartado II. Los sistemas de responsabilidad ampliada del productor intervendrán en las condiciones establecidas en el párrafo segundo del apartado II.</w:t>
      </w:r>
    </w:p>
    <w:p w14:paraId="160CFB48" w14:textId="77777777" w:rsidR="003F19A6" w:rsidRPr="00AA30CE" w:rsidRDefault="003F19A6" w:rsidP="00187BA0">
      <w:pPr>
        <w:spacing w:after="0" w:line="240" w:lineRule="auto"/>
        <w:jc w:val="both"/>
        <w:rPr>
          <w:rFonts w:ascii="Times New Roman" w:hAnsi="Times New Roman" w:cs="Times New Roman"/>
          <w:sz w:val="24"/>
          <w:szCs w:val="24"/>
        </w:rPr>
      </w:pPr>
    </w:p>
    <w:p w14:paraId="79280D5C" w14:textId="257BCC4D" w:rsidR="00BA72E9" w:rsidRPr="00AA30CE" w:rsidRDefault="007C6371" w:rsidP="00187BA0">
      <w:pPr>
        <w:spacing w:after="0" w:line="240" w:lineRule="auto"/>
        <w:jc w:val="both"/>
        <w:rPr>
          <w:sz w:val="24"/>
          <w:szCs w:val="24"/>
          <w:rFonts w:ascii="Times New Roman" w:hAnsi="Times New Roman" w:cs="Times New Roman"/>
        </w:rPr>
      </w:pPr>
      <w:r>
        <w:rPr>
          <w:sz w:val="24"/>
          <w:rFonts w:ascii="Times New Roman" w:hAnsi="Times New Roman"/>
        </w:rPr>
        <w:t xml:space="preserve">Artículo R. 541-373.</w:t>
      </w:r>
      <w:r>
        <w:rPr>
          <w:sz w:val="24"/>
          <w:rFonts w:ascii="Times New Roman" w:hAnsi="Times New Roman"/>
        </w:rPr>
        <w:t xml:space="preserve"> </w:t>
      </w:r>
      <w:r>
        <w:rPr>
          <w:sz w:val="24"/>
          <w:rFonts w:ascii="Times New Roman" w:hAnsi="Times New Roman"/>
        </w:rPr>
        <w:t xml:space="preserve">- Los pliegos de condiciones para los sistemas de responsabilidad ampliada del productor creados por los productores de los productos mencionados en el artículo L. 541-10-1, apartados 1 y 2, y previstos en el artículo L. 541-10, apartado II, establecen un objetivo de reutilización correspondiente al menos a los contemplados en el artículo R. 541-371, apartado I.</w:t>
      </w:r>
    </w:p>
    <w:p w14:paraId="75620BA0" w14:textId="77777777" w:rsidR="00BA72E9" w:rsidRPr="00AA30CE" w:rsidRDefault="00BA72E9" w:rsidP="00187BA0">
      <w:pPr>
        <w:spacing w:after="0" w:line="240" w:lineRule="auto"/>
        <w:jc w:val="both"/>
        <w:rPr>
          <w:rFonts w:ascii="Times New Roman" w:hAnsi="Times New Roman" w:cs="Times New Roman"/>
          <w:sz w:val="24"/>
          <w:szCs w:val="24"/>
        </w:rPr>
      </w:pPr>
    </w:p>
    <w:p w14:paraId="7BA0A70B" w14:textId="0E95728F" w:rsidR="002638CA" w:rsidRPr="00AA30CE" w:rsidRDefault="002253EB" w:rsidP="002638CA">
      <w:pPr>
        <w:spacing w:after="0" w:line="240" w:lineRule="auto"/>
        <w:jc w:val="both"/>
        <w:rPr>
          <w:sz w:val="24"/>
          <w:szCs w:val="24"/>
          <w:rFonts w:ascii="Times New Roman" w:hAnsi="Times New Roman" w:cs="Times New Roman"/>
        </w:rPr>
      </w:pPr>
      <w:r>
        <w:rPr>
          <w:sz w:val="24"/>
          <w:rFonts w:ascii="Times New Roman" w:hAnsi="Times New Roman"/>
        </w:rPr>
        <w:t xml:space="preserve">Para alcanzar estos objetivos de reutilización antes mencionados, los sistemas de responsabilidad ampliada del productor autorizados aplicarán las modulaciones previstas en el artículo L. 541-10-3 y contribuirán al desarrollo de soluciones para la reutilización y la valorización de los envases, recurriendo en particular a los fondos previstos en el artículo L. 541-10-18, apartado V.</w:t>
      </w:r>
      <w:r>
        <w:rPr>
          <w:sz w:val="24"/>
          <w:rFonts w:ascii="Times New Roman" w:hAnsi="Times New Roman"/>
        </w:rPr>
        <w:t xml:space="preserve"> </w:t>
      </w:r>
      <w:r>
        <w:rPr>
          <w:sz w:val="24"/>
          <w:rFonts w:ascii="Times New Roman" w:hAnsi="Times New Roman"/>
        </w:rPr>
        <w:t xml:space="preserve">Dichas contribuciones adoptarán la forma de ayuda financiera concedida sobre la base de procedimientos abiertos a cualquier persona elegible que las solicite o sobre la base de procedimientos de selección competitiva.</w:t>
      </w:r>
    </w:p>
    <w:p w14:paraId="5F315D73" w14:textId="77777777" w:rsidR="002638CA" w:rsidRPr="00AA30CE" w:rsidRDefault="002638CA" w:rsidP="002638CA">
      <w:pPr>
        <w:spacing w:after="0" w:line="240" w:lineRule="auto"/>
        <w:jc w:val="both"/>
        <w:rPr>
          <w:rFonts w:ascii="Times New Roman" w:hAnsi="Times New Roman" w:cs="Times New Roman"/>
          <w:sz w:val="24"/>
          <w:szCs w:val="24"/>
        </w:rPr>
      </w:pPr>
    </w:p>
    <w:p w14:paraId="55E49E4E" w14:textId="19597BC5" w:rsidR="006164D5" w:rsidRPr="00AA30CE" w:rsidRDefault="007C6371" w:rsidP="006164D5">
      <w:pPr>
        <w:spacing w:after="0" w:line="240" w:lineRule="auto"/>
        <w:jc w:val="both"/>
        <w:rPr>
          <w:sz w:val="24"/>
          <w:szCs w:val="24"/>
          <w:rFonts w:ascii="Times New Roman" w:hAnsi="Times New Roman" w:cs="Times New Roman"/>
        </w:rPr>
      </w:pPr>
      <w:r>
        <w:rPr>
          <w:sz w:val="24"/>
          <w:rFonts w:ascii="Times New Roman" w:hAnsi="Times New Roman"/>
        </w:rPr>
        <w:t xml:space="preserve">Los sistemas de responsabilidad ampliada del productor también podrán contribuir en las mismas condiciones al desarrollo de soluciones de reutilización y valorización de otros envases que no estén cubiertos por su autorización.</w:t>
      </w:r>
    </w:p>
    <w:p w14:paraId="2275A220" w14:textId="77777777" w:rsidR="005D217A" w:rsidRPr="00AA30CE" w:rsidRDefault="005D217A" w:rsidP="00187BA0">
      <w:pPr>
        <w:spacing w:after="0" w:line="240" w:lineRule="auto"/>
        <w:jc w:val="both"/>
        <w:rPr>
          <w:rFonts w:ascii="Times New Roman" w:eastAsia="Times New Roman" w:hAnsi="Times New Roman" w:cs="Times New Roman"/>
          <w:sz w:val="24"/>
          <w:szCs w:val="24"/>
          <w:lang w:eastAsia="fr-FR"/>
        </w:rPr>
      </w:pPr>
    </w:p>
    <w:p w14:paraId="1135F0AA" w14:textId="0592F0C2" w:rsidR="001F71CB" w:rsidRPr="00AA30CE" w:rsidRDefault="002253EB" w:rsidP="004D2F26">
      <w:pPr>
        <w:spacing w:after="0" w:line="240" w:lineRule="auto"/>
        <w:jc w:val="both"/>
        <w:rPr>
          <w:sz w:val="24"/>
          <w:szCs w:val="24"/>
          <w:rFonts w:ascii="Times New Roman" w:hAnsi="Times New Roman" w:cs="Times New Roman"/>
        </w:rPr>
      </w:pPr>
      <w:r>
        <w:rPr>
          <w:sz w:val="24"/>
          <w:rFonts w:ascii="Times New Roman" w:hAnsi="Times New Roman"/>
        </w:rPr>
        <w:t xml:space="preserve">Artículo R. 541-374.</w:t>
      </w:r>
      <w:r>
        <w:rPr>
          <w:sz w:val="24"/>
          <w:rFonts w:ascii="Times New Roman" w:hAnsi="Times New Roman"/>
        </w:rPr>
        <w:t xml:space="preserve"> </w:t>
      </w:r>
      <w:r>
        <w:rPr>
          <w:sz w:val="24"/>
          <w:rFonts w:ascii="Times New Roman" w:hAnsi="Times New Roman"/>
        </w:rPr>
        <w:t xml:space="preserve">- I. – Todo productor a que se refiere el artículo R. 541-372, apartado I, o, en su caso, su estructura colectiva en virtud del artículo R. 541-372, apartado II, comunicará anualmente la proporción de envases reutilizados comercializados al observatorio de reutilización y valorización.</w:t>
      </w:r>
    </w:p>
    <w:p w14:paraId="73DD4385" w14:textId="77777777" w:rsidR="009E476D" w:rsidRPr="00AA30CE" w:rsidRDefault="009E476D" w:rsidP="003E3F17">
      <w:pPr>
        <w:spacing w:after="0" w:line="240" w:lineRule="auto"/>
        <w:jc w:val="both"/>
        <w:rPr>
          <w:rFonts w:ascii="Times New Roman" w:hAnsi="Times New Roman" w:cs="Times New Roman"/>
          <w:sz w:val="24"/>
          <w:szCs w:val="24"/>
        </w:rPr>
      </w:pPr>
    </w:p>
    <w:p w14:paraId="5BB91436" w14:textId="7295D311" w:rsidR="009E476D" w:rsidRPr="00AA30CE" w:rsidRDefault="002253EB" w:rsidP="009E476D">
      <w:pPr>
        <w:spacing w:after="0" w:line="240" w:lineRule="auto"/>
        <w:jc w:val="both"/>
        <w:rPr>
          <w:sz w:val="24"/>
          <w:szCs w:val="24"/>
          <w:rFonts w:ascii="Times New Roman" w:hAnsi="Times New Roman" w:cs="Times New Roman"/>
        </w:rPr>
      </w:pPr>
      <w:r>
        <w:rPr>
          <w:sz w:val="24"/>
          <w:rFonts w:ascii="Times New Roman" w:hAnsi="Times New Roman"/>
        </w:rPr>
        <w:t xml:space="preserve">Todo productor a que se refiere el artículo R. 541-372, apartado I, comunicará asimismo esta información al sistema de responsabilidad ampliada del productor de la que sean miembros para este envase en el marco de su responsabilidad ampliada prevista en el artículo L. 541-10 del Código de Medio Ambiente.</w:t>
      </w:r>
      <w:r>
        <w:rPr>
          <w:sz w:val="24"/>
          <w:rFonts w:ascii="Times New Roman" w:hAnsi="Times New Roman"/>
        </w:rPr>
        <w:t xml:space="preserve"> </w:t>
      </w:r>
      <w:r>
        <w:rPr>
          <w:sz w:val="24"/>
          <w:rFonts w:ascii="Times New Roman" w:hAnsi="Times New Roman"/>
        </w:rPr>
        <w:t xml:space="preserve">El sistema de responsabilidad ampliada del productor evaluará la conformidad de esta información como parte del programa de autocontrol previsto en el artículo R. 541-128 del Código de Medio Ambiente.</w:t>
      </w:r>
    </w:p>
    <w:p w14:paraId="66493D19" w14:textId="77777777" w:rsidR="00696273" w:rsidRPr="00AA30CE" w:rsidRDefault="00696273" w:rsidP="003E3F17">
      <w:pPr>
        <w:spacing w:after="0" w:line="240" w:lineRule="auto"/>
        <w:jc w:val="both"/>
        <w:rPr>
          <w:rFonts w:ascii="Times New Roman" w:hAnsi="Times New Roman" w:cs="Times New Roman"/>
          <w:sz w:val="24"/>
          <w:szCs w:val="24"/>
        </w:rPr>
      </w:pPr>
    </w:p>
    <w:p w14:paraId="22B9CDFD" w14:textId="0E2B677A" w:rsidR="00E57FD9" w:rsidRPr="00AA30CE" w:rsidRDefault="002253EB" w:rsidP="00E02F43">
      <w:pPr>
        <w:spacing w:after="0" w:line="240" w:lineRule="auto"/>
        <w:jc w:val="both"/>
        <w:rPr>
          <w:sz w:val="24"/>
          <w:szCs w:val="24"/>
          <w:rFonts w:ascii="Times New Roman" w:hAnsi="Times New Roman" w:cs="Times New Roman"/>
        </w:rPr>
      </w:pPr>
      <w:r>
        <w:rPr>
          <w:sz w:val="24"/>
          <w:rFonts w:ascii="Times New Roman" w:hAnsi="Times New Roman"/>
        </w:rPr>
        <w:t xml:space="preserve">II. – Todo sistema de responsabilidad ampliada del productor autorizado para el envasado comunicará anualmente a la autoridad administrativa a que se refiere el artículo L. 541-10-13 la cantidad de envases reutilizados por sus productores miembros y la cantidad de envases reutilizados objeto de las medidas previstas en el artículo R. 341-373, distinguiendo entre los objetos de su autorización y los no cubiertos por este.</w:t>
      </w:r>
      <w:r>
        <w:rPr>
          <w:sz w:val="24"/>
          <w:rFonts w:ascii="Times New Roman" w:hAnsi="Times New Roman"/>
        </w:rPr>
        <w:t xml:space="preserve">  </w:t>
      </w:r>
    </w:p>
    <w:p w14:paraId="4D201796" w14:textId="77777777" w:rsidR="00E57FD9" w:rsidRPr="00AA30CE" w:rsidRDefault="00E57FD9" w:rsidP="00E02F43">
      <w:pPr>
        <w:spacing w:after="0" w:line="240" w:lineRule="auto"/>
        <w:jc w:val="both"/>
        <w:rPr>
          <w:rFonts w:ascii="Times New Roman" w:hAnsi="Times New Roman" w:cs="Times New Roman"/>
          <w:sz w:val="24"/>
          <w:szCs w:val="24"/>
        </w:rPr>
      </w:pPr>
    </w:p>
    <w:p w14:paraId="6335A391" w14:textId="02585C05" w:rsidR="00E40A80" w:rsidRPr="00AA30CE" w:rsidRDefault="002253EB" w:rsidP="00E02F43">
      <w:pPr>
        <w:spacing w:after="0" w:line="240" w:lineRule="auto"/>
        <w:jc w:val="both"/>
        <w:rPr>
          <w:sz w:val="24"/>
          <w:szCs w:val="24"/>
          <w:rFonts w:ascii="Times New Roman" w:hAnsi="Times New Roman" w:cs="Times New Roman"/>
        </w:rPr>
      </w:pPr>
      <w:r>
        <w:rPr>
          <w:sz w:val="24"/>
          <w:rFonts w:ascii="Times New Roman" w:hAnsi="Times New Roman"/>
        </w:rPr>
        <w:t xml:space="preserve">Esta autoridad comunicará toda esta información al observatorio de reutilización y valorización.».</w:t>
      </w:r>
    </w:p>
    <w:p w14:paraId="1BD0D5DC" w14:textId="77777777" w:rsidR="00807CC7" w:rsidRPr="00AA30CE" w:rsidRDefault="00807CC7" w:rsidP="00187BA0">
      <w:pPr>
        <w:spacing w:after="0" w:line="240" w:lineRule="auto"/>
        <w:jc w:val="both"/>
        <w:rPr>
          <w:rFonts w:ascii="Times New Roman" w:hAnsi="Times New Roman" w:cs="Times New Roman"/>
          <w:sz w:val="24"/>
          <w:szCs w:val="24"/>
        </w:rPr>
      </w:pPr>
    </w:p>
    <w:p w14:paraId="35A906C7" w14:textId="77777777" w:rsidR="00ED794E" w:rsidRPr="00AA30CE" w:rsidRDefault="00ED794E" w:rsidP="00187BA0">
      <w:pPr>
        <w:spacing w:after="0" w:line="240" w:lineRule="auto"/>
        <w:jc w:val="both"/>
        <w:rPr>
          <w:rFonts w:ascii="Times New Roman" w:hAnsi="Times New Roman" w:cs="Times New Roman"/>
          <w:sz w:val="24"/>
          <w:szCs w:val="24"/>
        </w:rPr>
      </w:pPr>
    </w:p>
    <w:p w14:paraId="3075E06D" w14:textId="12CED70E" w:rsidR="00BF56AE" w:rsidRPr="00AA30CE" w:rsidRDefault="003C01FE" w:rsidP="00187BA0">
      <w:pPr>
        <w:spacing w:after="0" w:line="240" w:lineRule="auto"/>
        <w:jc w:val="center"/>
        <w:rPr>
          <w:b/>
          <w:sz w:val="24"/>
          <w:szCs w:val="24"/>
          <w:u w:val="single"/>
          <w:rFonts w:ascii="Times New Roman" w:hAnsi="Times New Roman" w:cs="Times New Roman"/>
        </w:rPr>
      </w:pPr>
      <w:r>
        <w:rPr>
          <w:b/>
          <w:sz w:val="24"/>
          <w:u w:val="single"/>
          <w:rFonts w:ascii="Times New Roman" w:hAnsi="Times New Roman"/>
        </w:rPr>
        <w:t xml:space="preserve">Artículo 2</w:t>
      </w:r>
    </w:p>
    <w:p w14:paraId="352F9129" w14:textId="32A67B73" w:rsidR="00D424D9" w:rsidRPr="00AA30CE" w:rsidRDefault="00D424D9" w:rsidP="00187BA0">
      <w:pPr>
        <w:pStyle w:val="BodyText"/>
        <w:spacing w:after="0"/>
      </w:pPr>
    </w:p>
    <w:p w14:paraId="7CE0AA62" w14:textId="77777777" w:rsidR="000D5304" w:rsidRPr="00AA30CE" w:rsidRDefault="000D5304" w:rsidP="00187BA0">
      <w:pPr>
        <w:pStyle w:val="BodyText"/>
        <w:spacing w:after="0"/>
      </w:pPr>
      <w:r>
        <w:t xml:space="preserve">I.– Las disposiciones del presente Decreto entrarán en vigor el 1 de enero de 2022, sin perjuicio de lo dispuesto en el apartado II a continuación.</w:t>
      </w:r>
    </w:p>
    <w:p w14:paraId="51F55F4C" w14:textId="77777777" w:rsidR="000D5304" w:rsidRPr="00AA30CE" w:rsidRDefault="000D5304" w:rsidP="00187BA0">
      <w:pPr>
        <w:pStyle w:val="BodyText"/>
        <w:spacing w:after="0"/>
      </w:pPr>
    </w:p>
    <w:p w14:paraId="4D55BD73" w14:textId="4853B4C7" w:rsidR="00082B15" w:rsidRPr="00AA30CE" w:rsidRDefault="000D5304" w:rsidP="00187BA0">
      <w:pPr>
        <w:pStyle w:val="BodyText"/>
        <w:spacing w:after="0"/>
      </w:pPr>
      <w:r>
        <w:t xml:space="preserve">II. – Los sistemas de responsabilidad ampliada del productor autorizados para el envasado y contemplados en el artículo 130, párrafo cuarto, primera frase, de la Ley, de 10 de febrero de 2020, mencionada anteriormente, están obligados a aplicar las disposiciones de los artículos R. 341-372 a R. 341-374 que les conciernen a partir de su renovación de la autorización, a más tardar a partir del 1 de enero de 2023.</w:t>
      </w:r>
      <w:r>
        <w:t xml:space="preserve"> </w:t>
      </w:r>
      <w:r>
        <w:t xml:space="preserve">No obstante, a petición de los productores mencionados en el artículo R. 341-372, apartado I, estos sistemas de responsabilidad ampliada del productor podrán decidir aplicar estas disposiciones antes de que expire su autorización.</w:t>
      </w:r>
    </w:p>
    <w:p w14:paraId="6D51D29F" w14:textId="77777777" w:rsidR="00082B15" w:rsidRPr="00AA30CE" w:rsidRDefault="00082B15" w:rsidP="00187BA0">
      <w:pPr>
        <w:pStyle w:val="BodyText"/>
        <w:spacing w:after="0"/>
      </w:pPr>
    </w:p>
    <w:p w14:paraId="770A028A" w14:textId="77777777" w:rsidR="005E1BC3" w:rsidRPr="00AA30CE" w:rsidRDefault="005E1BC3" w:rsidP="00187BA0">
      <w:pPr>
        <w:pStyle w:val="BodyText"/>
        <w:spacing w:after="0"/>
      </w:pPr>
    </w:p>
    <w:p w14:paraId="56104DCF" w14:textId="241CE026" w:rsidR="00365D5E" w:rsidRPr="00AA30CE" w:rsidRDefault="00365D5E" w:rsidP="00365D5E">
      <w:pPr>
        <w:spacing w:after="0" w:line="240" w:lineRule="auto"/>
        <w:jc w:val="center"/>
        <w:rPr>
          <w:b/>
          <w:sz w:val="24"/>
          <w:szCs w:val="24"/>
          <w:u w:val="single"/>
          <w:rFonts w:ascii="Times New Roman" w:hAnsi="Times New Roman" w:cs="Times New Roman"/>
        </w:rPr>
      </w:pPr>
      <w:r>
        <w:rPr>
          <w:b/>
          <w:sz w:val="24"/>
          <w:u w:val="single"/>
          <w:rFonts w:ascii="Times New Roman" w:hAnsi="Times New Roman"/>
        </w:rPr>
        <w:t xml:space="preserve">Artículo 3</w:t>
      </w:r>
    </w:p>
    <w:p w14:paraId="4A85EAC5" w14:textId="77777777" w:rsidR="005E1BC3" w:rsidRPr="00AA30CE" w:rsidRDefault="005E1BC3" w:rsidP="00187BA0">
      <w:pPr>
        <w:pStyle w:val="BodyText"/>
        <w:spacing w:after="0"/>
      </w:pPr>
    </w:p>
    <w:p w14:paraId="0E8C68FA" w14:textId="77777777" w:rsidR="00BF56AE" w:rsidRPr="00AA30CE" w:rsidRDefault="00BF56AE" w:rsidP="00187BA0">
      <w:pPr>
        <w:pStyle w:val="BodyText"/>
        <w:spacing w:after="0"/>
      </w:pPr>
      <w:r>
        <w:t xml:space="preserve">La Ministra francesa de la Transición Ecológica será la responsable de la ejecución del presente Decreto, que se publicará en el </w:t>
      </w:r>
      <w:r>
        <w:rPr>
          <w:i/>
        </w:rPr>
        <w:t xml:space="preserve">Boletín Oficial</w:t>
      </w:r>
      <w:r>
        <w:t xml:space="preserve"> de la República Francesa.</w:t>
      </w:r>
    </w:p>
    <w:p w14:paraId="3BA3F764" w14:textId="77777777" w:rsidR="00D424D9" w:rsidRPr="00AA30CE" w:rsidRDefault="00D424D9" w:rsidP="00187BA0">
      <w:pPr>
        <w:pStyle w:val="BodyText"/>
        <w:spacing w:after="0"/>
      </w:pPr>
    </w:p>
    <w:p w14:paraId="1C56967D" w14:textId="77777777" w:rsidR="00807CC7" w:rsidRPr="00AA30CE" w:rsidRDefault="00807CC7" w:rsidP="00187BA0">
      <w:pPr>
        <w:pStyle w:val="BodyText"/>
        <w:spacing w:after="0"/>
      </w:pPr>
    </w:p>
    <w:p w14:paraId="40D8071C" w14:textId="77777777" w:rsidR="00D8658F" w:rsidRPr="00782886" w:rsidRDefault="00BF56AE" w:rsidP="00187BA0">
      <w:pPr>
        <w:pStyle w:val="SNDate"/>
        <w:spacing w:before="0" w:after="0"/>
      </w:pPr>
      <w:r>
        <w:t xml:space="preserve">A</w:t>
      </w:r>
      <w:r>
        <w:t xml:space="preserve"> </w:t>
      </w:r>
    </w:p>
    <w:sectPr w:rsidR="00D8658F" w:rsidRPr="00782886">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4777" w14:textId="77777777" w:rsidR="00F2215D" w:rsidRDefault="00F2215D" w:rsidP="00C43AFA">
      <w:pPr>
        <w:spacing w:after="0" w:line="240" w:lineRule="auto"/>
      </w:pPr>
      <w:r>
        <w:separator/>
      </w:r>
    </w:p>
  </w:endnote>
  <w:endnote w:type="continuationSeparator" w:id="0">
    <w:p w14:paraId="6A1C6018" w14:textId="77777777" w:rsidR="00F2215D" w:rsidRDefault="00F2215D" w:rsidP="00C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FF8" w14:textId="77777777" w:rsidR="00F2215D" w:rsidRDefault="00F2215D" w:rsidP="00C43AFA">
      <w:pPr>
        <w:spacing w:after="0" w:line="240" w:lineRule="auto"/>
      </w:pPr>
      <w:r>
        <w:separator/>
      </w:r>
    </w:p>
  </w:footnote>
  <w:footnote w:type="continuationSeparator" w:id="0">
    <w:p w14:paraId="49F989F0" w14:textId="77777777" w:rsidR="00F2215D" w:rsidRDefault="00F2215D" w:rsidP="00C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5FE0" w14:textId="77777777" w:rsidR="00C43AFA" w:rsidRDefault="007C6371">
    <w:pPr>
      <w:pStyle w:val="Header"/>
    </w:pPr>
    <w:r>
      <w:pict w14:anchorId="79A8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5"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6B9D" w14:textId="77777777" w:rsidR="00C43AFA" w:rsidRDefault="007C6371">
    <w:pPr>
      <w:pStyle w:val="Header"/>
    </w:pPr>
    <w:r>
      <w:pict w14:anchorId="5FDB4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6"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5CFA" w14:textId="77777777" w:rsidR="00C43AFA" w:rsidRDefault="007C6371">
    <w:pPr>
      <w:pStyle w:val="Header"/>
    </w:pPr>
    <w:r>
      <w:pict w14:anchorId="796D5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4"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51A5"/>
    <w:multiLevelType w:val="hybridMultilevel"/>
    <w:tmpl w:val="BF326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C36E0"/>
    <w:multiLevelType w:val="hybridMultilevel"/>
    <w:tmpl w:val="43E04698"/>
    <w:lvl w:ilvl="0" w:tplc="85FEEBB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534014"/>
    <w:multiLevelType w:val="hybridMultilevel"/>
    <w:tmpl w:val="E9C021D2"/>
    <w:lvl w:ilvl="0" w:tplc="2B6E86FC">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93488"/>
    <w:multiLevelType w:val="hybridMultilevel"/>
    <w:tmpl w:val="48229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E626B"/>
    <w:multiLevelType w:val="hybridMultilevel"/>
    <w:tmpl w:val="FD46E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B3A1F"/>
    <w:multiLevelType w:val="hybridMultilevel"/>
    <w:tmpl w:val="D288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04789"/>
    <w:multiLevelType w:val="hybridMultilevel"/>
    <w:tmpl w:val="0F0A3E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CE7A07"/>
    <w:multiLevelType w:val="hybridMultilevel"/>
    <w:tmpl w:val="8D8CAD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B35694"/>
    <w:multiLevelType w:val="hybridMultilevel"/>
    <w:tmpl w:val="59DC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0E78A2"/>
    <w:multiLevelType w:val="hybridMultilevel"/>
    <w:tmpl w:val="7764D36C"/>
    <w:lvl w:ilvl="0" w:tplc="23BC33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2D2F3A"/>
    <w:multiLevelType w:val="hybridMultilevel"/>
    <w:tmpl w:val="E430B8A0"/>
    <w:lvl w:ilvl="0" w:tplc="DFB49B3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F3677A"/>
    <w:multiLevelType w:val="hybridMultilevel"/>
    <w:tmpl w:val="DADE267E"/>
    <w:lvl w:ilvl="0" w:tplc="7ACAF9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2"/>
  </w:num>
  <w:num w:numId="5">
    <w:abstractNumId w:val="9"/>
  </w:num>
  <w:num w:numId="6">
    <w:abstractNumId w:val="7"/>
  </w:num>
  <w:num w:numId="7">
    <w:abstractNumId w:val="10"/>
  </w:num>
  <w:num w:numId="8">
    <w:abstractNumId w:val="0"/>
  </w:num>
  <w:num w:numId="9">
    <w:abstractNumId w:val="8"/>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D9"/>
    <w:rsid w:val="00011D08"/>
    <w:rsid w:val="000164B4"/>
    <w:rsid w:val="00036BCA"/>
    <w:rsid w:val="00043C29"/>
    <w:rsid w:val="00054375"/>
    <w:rsid w:val="000557C5"/>
    <w:rsid w:val="000607F4"/>
    <w:rsid w:val="00071A10"/>
    <w:rsid w:val="000725EA"/>
    <w:rsid w:val="00082B15"/>
    <w:rsid w:val="00085E5C"/>
    <w:rsid w:val="00091812"/>
    <w:rsid w:val="000A01DC"/>
    <w:rsid w:val="000A35BC"/>
    <w:rsid w:val="000A360E"/>
    <w:rsid w:val="000D09C8"/>
    <w:rsid w:val="000D5304"/>
    <w:rsid w:val="000D71F4"/>
    <w:rsid w:val="000F1FA7"/>
    <w:rsid w:val="00103432"/>
    <w:rsid w:val="001046E3"/>
    <w:rsid w:val="00112460"/>
    <w:rsid w:val="00114042"/>
    <w:rsid w:val="00114875"/>
    <w:rsid w:val="001202C9"/>
    <w:rsid w:val="00135A34"/>
    <w:rsid w:val="001421E2"/>
    <w:rsid w:val="00147355"/>
    <w:rsid w:val="001510C2"/>
    <w:rsid w:val="00154766"/>
    <w:rsid w:val="00161033"/>
    <w:rsid w:val="00164069"/>
    <w:rsid w:val="00172100"/>
    <w:rsid w:val="00180616"/>
    <w:rsid w:val="00187BA0"/>
    <w:rsid w:val="001A0E85"/>
    <w:rsid w:val="001A45BC"/>
    <w:rsid w:val="001B013E"/>
    <w:rsid w:val="001D10A5"/>
    <w:rsid w:val="001D40DC"/>
    <w:rsid w:val="001D4153"/>
    <w:rsid w:val="001E245E"/>
    <w:rsid w:val="001F4F9D"/>
    <w:rsid w:val="001F71CB"/>
    <w:rsid w:val="001F72AF"/>
    <w:rsid w:val="0020072E"/>
    <w:rsid w:val="00202E4D"/>
    <w:rsid w:val="00205EE6"/>
    <w:rsid w:val="00205F78"/>
    <w:rsid w:val="00221CCF"/>
    <w:rsid w:val="002253EB"/>
    <w:rsid w:val="002322B1"/>
    <w:rsid w:val="00234401"/>
    <w:rsid w:val="002361F6"/>
    <w:rsid w:val="00245EAC"/>
    <w:rsid w:val="00253E6B"/>
    <w:rsid w:val="00254588"/>
    <w:rsid w:val="00262D43"/>
    <w:rsid w:val="002638CA"/>
    <w:rsid w:val="00267090"/>
    <w:rsid w:val="00272966"/>
    <w:rsid w:val="002808B2"/>
    <w:rsid w:val="00294971"/>
    <w:rsid w:val="00297CEA"/>
    <w:rsid w:val="002A51E0"/>
    <w:rsid w:val="002B3B8C"/>
    <w:rsid w:val="002B6EA5"/>
    <w:rsid w:val="002C2713"/>
    <w:rsid w:val="002C2794"/>
    <w:rsid w:val="002C5AD8"/>
    <w:rsid w:val="002E0024"/>
    <w:rsid w:val="002E059E"/>
    <w:rsid w:val="002E7364"/>
    <w:rsid w:val="002F2D08"/>
    <w:rsid w:val="002F321F"/>
    <w:rsid w:val="0030792C"/>
    <w:rsid w:val="00315271"/>
    <w:rsid w:val="00322523"/>
    <w:rsid w:val="00322E96"/>
    <w:rsid w:val="00325660"/>
    <w:rsid w:val="00331FAC"/>
    <w:rsid w:val="00342A16"/>
    <w:rsid w:val="00342E6F"/>
    <w:rsid w:val="00342ECF"/>
    <w:rsid w:val="00343338"/>
    <w:rsid w:val="00343427"/>
    <w:rsid w:val="003548D4"/>
    <w:rsid w:val="00365D5E"/>
    <w:rsid w:val="00366B6B"/>
    <w:rsid w:val="003672B6"/>
    <w:rsid w:val="00367438"/>
    <w:rsid w:val="0036757A"/>
    <w:rsid w:val="00371ECC"/>
    <w:rsid w:val="00375258"/>
    <w:rsid w:val="003924D0"/>
    <w:rsid w:val="003A5755"/>
    <w:rsid w:val="003B1472"/>
    <w:rsid w:val="003B178E"/>
    <w:rsid w:val="003B2856"/>
    <w:rsid w:val="003C01FE"/>
    <w:rsid w:val="003C0AFD"/>
    <w:rsid w:val="003C12E9"/>
    <w:rsid w:val="003C28F7"/>
    <w:rsid w:val="003C4BB2"/>
    <w:rsid w:val="003D24BC"/>
    <w:rsid w:val="003D34C1"/>
    <w:rsid w:val="003E2482"/>
    <w:rsid w:val="003E3F17"/>
    <w:rsid w:val="003E595D"/>
    <w:rsid w:val="003E62C4"/>
    <w:rsid w:val="003F19A6"/>
    <w:rsid w:val="003F22D4"/>
    <w:rsid w:val="003F3509"/>
    <w:rsid w:val="003F3559"/>
    <w:rsid w:val="0040274B"/>
    <w:rsid w:val="004046E6"/>
    <w:rsid w:val="00413B02"/>
    <w:rsid w:val="00421E98"/>
    <w:rsid w:val="00426F6A"/>
    <w:rsid w:val="00433E44"/>
    <w:rsid w:val="004360CA"/>
    <w:rsid w:val="00446523"/>
    <w:rsid w:val="00456AC0"/>
    <w:rsid w:val="00466B8C"/>
    <w:rsid w:val="00476913"/>
    <w:rsid w:val="004863CC"/>
    <w:rsid w:val="00495B2A"/>
    <w:rsid w:val="00496410"/>
    <w:rsid w:val="0049785E"/>
    <w:rsid w:val="004B515F"/>
    <w:rsid w:val="004B75D3"/>
    <w:rsid w:val="004D0615"/>
    <w:rsid w:val="004D2F26"/>
    <w:rsid w:val="004D7AB3"/>
    <w:rsid w:val="004E04D9"/>
    <w:rsid w:val="004E692B"/>
    <w:rsid w:val="004F07E8"/>
    <w:rsid w:val="004F2149"/>
    <w:rsid w:val="004F3165"/>
    <w:rsid w:val="004F4A2E"/>
    <w:rsid w:val="004F5A09"/>
    <w:rsid w:val="004F74F9"/>
    <w:rsid w:val="0050674D"/>
    <w:rsid w:val="0051038C"/>
    <w:rsid w:val="00514205"/>
    <w:rsid w:val="00543DF7"/>
    <w:rsid w:val="00551995"/>
    <w:rsid w:val="00557121"/>
    <w:rsid w:val="00560DED"/>
    <w:rsid w:val="00566B83"/>
    <w:rsid w:val="00571418"/>
    <w:rsid w:val="0057394B"/>
    <w:rsid w:val="0057584D"/>
    <w:rsid w:val="005760B0"/>
    <w:rsid w:val="00580DFC"/>
    <w:rsid w:val="005875AB"/>
    <w:rsid w:val="00594FF7"/>
    <w:rsid w:val="005A3903"/>
    <w:rsid w:val="005A4348"/>
    <w:rsid w:val="005A5BB5"/>
    <w:rsid w:val="005A624F"/>
    <w:rsid w:val="005A75E0"/>
    <w:rsid w:val="005B1A8C"/>
    <w:rsid w:val="005B1C52"/>
    <w:rsid w:val="005B713C"/>
    <w:rsid w:val="005C3A78"/>
    <w:rsid w:val="005C7756"/>
    <w:rsid w:val="005D217A"/>
    <w:rsid w:val="005D7C0E"/>
    <w:rsid w:val="005E1BC3"/>
    <w:rsid w:val="005F6F20"/>
    <w:rsid w:val="00600AAF"/>
    <w:rsid w:val="00605E0F"/>
    <w:rsid w:val="00607454"/>
    <w:rsid w:val="0060756F"/>
    <w:rsid w:val="006164D5"/>
    <w:rsid w:val="00623678"/>
    <w:rsid w:val="00624CF6"/>
    <w:rsid w:val="00625B91"/>
    <w:rsid w:val="00626D44"/>
    <w:rsid w:val="00637A44"/>
    <w:rsid w:val="00640A3F"/>
    <w:rsid w:val="00642318"/>
    <w:rsid w:val="00645CA2"/>
    <w:rsid w:val="00645DF4"/>
    <w:rsid w:val="006467A9"/>
    <w:rsid w:val="00656852"/>
    <w:rsid w:val="0066292F"/>
    <w:rsid w:val="00663332"/>
    <w:rsid w:val="006670DA"/>
    <w:rsid w:val="00671546"/>
    <w:rsid w:val="0067243A"/>
    <w:rsid w:val="00674E43"/>
    <w:rsid w:val="0067668A"/>
    <w:rsid w:val="00683DDA"/>
    <w:rsid w:val="00694874"/>
    <w:rsid w:val="00696273"/>
    <w:rsid w:val="006A5A67"/>
    <w:rsid w:val="006B45B8"/>
    <w:rsid w:val="006C2522"/>
    <w:rsid w:val="006C33BB"/>
    <w:rsid w:val="006C68E3"/>
    <w:rsid w:val="006D1159"/>
    <w:rsid w:val="006E4590"/>
    <w:rsid w:val="006F10CE"/>
    <w:rsid w:val="006F5B51"/>
    <w:rsid w:val="006F6150"/>
    <w:rsid w:val="006F7816"/>
    <w:rsid w:val="0070642B"/>
    <w:rsid w:val="0070749B"/>
    <w:rsid w:val="00707C67"/>
    <w:rsid w:val="00712D5B"/>
    <w:rsid w:val="00732C4E"/>
    <w:rsid w:val="00741690"/>
    <w:rsid w:val="007456D4"/>
    <w:rsid w:val="00751759"/>
    <w:rsid w:val="0075561E"/>
    <w:rsid w:val="00771597"/>
    <w:rsid w:val="00780C5B"/>
    <w:rsid w:val="007810A1"/>
    <w:rsid w:val="00782886"/>
    <w:rsid w:val="007831D2"/>
    <w:rsid w:val="00786BBA"/>
    <w:rsid w:val="007A1C45"/>
    <w:rsid w:val="007A3FB0"/>
    <w:rsid w:val="007A7092"/>
    <w:rsid w:val="007A788E"/>
    <w:rsid w:val="007B249D"/>
    <w:rsid w:val="007B7E81"/>
    <w:rsid w:val="007C6371"/>
    <w:rsid w:val="007D191C"/>
    <w:rsid w:val="007D7206"/>
    <w:rsid w:val="007E1BB9"/>
    <w:rsid w:val="007F1A28"/>
    <w:rsid w:val="00807CC7"/>
    <w:rsid w:val="00814CE5"/>
    <w:rsid w:val="00837599"/>
    <w:rsid w:val="00840479"/>
    <w:rsid w:val="00850604"/>
    <w:rsid w:val="00852185"/>
    <w:rsid w:val="008524BF"/>
    <w:rsid w:val="00856803"/>
    <w:rsid w:val="008609E6"/>
    <w:rsid w:val="008612AE"/>
    <w:rsid w:val="00871620"/>
    <w:rsid w:val="00887073"/>
    <w:rsid w:val="008958DF"/>
    <w:rsid w:val="00897701"/>
    <w:rsid w:val="008A7E0C"/>
    <w:rsid w:val="008C12DF"/>
    <w:rsid w:val="008C137A"/>
    <w:rsid w:val="008C30FD"/>
    <w:rsid w:val="008C5F15"/>
    <w:rsid w:val="008D1797"/>
    <w:rsid w:val="008E3205"/>
    <w:rsid w:val="008F3C0B"/>
    <w:rsid w:val="008F543D"/>
    <w:rsid w:val="00906C2F"/>
    <w:rsid w:val="00911590"/>
    <w:rsid w:val="0091595F"/>
    <w:rsid w:val="00915D2E"/>
    <w:rsid w:val="0091763D"/>
    <w:rsid w:val="00921C73"/>
    <w:rsid w:val="00932F07"/>
    <w:rsid w:val="00934E71"/>
    <w:rsid w:val="00953EDC"/>
    <w:rsid w:val="00960353"/>
    <w:rsid w:val="009666CF"/>
    <w:rsid w:val="00977725"/>
    <w:rsid w:val="00986A80"/>
    <w:rsid w:val="00994FDB"/>
    <w:rsid w:val="009A33AD"/>
    <w:rsid w:val="009B2F16"/>
    <w:rsid w:val="009B4D71"/>
    <w:rsid w:val="009C545D"/>
    <w:rsid w:val="009D168F"/>
    <w:rsid w:val="009D535A"/>
    <w:rsid w:val="009D549D"/>
    <w:rsid w:val="009D5F5F"/>
    <w:rsid w:val="009E476D"/>
    <w:rsid w:val="009E6DFF"/>
    <w:rsid w:val="009F3A58"/>
    <w:rsid w:val="00A14A14"/>
    <w:rsid w:val="00A16E1E"/>
    <w:rsid w:val="00A20A59"/>
    <w:rsid w:val="00A22623"/>
    <w:rsid w:val="00A233C5"/>
    <w:rsid w:val="00A25624"/>
    <w:rsid w:val="00A3666D"/>
    <w:rsid w:val="00A434B1"/>
    <w:rsid w:val="00A46FD1"/>
    <w:rsid w:val="00A54BB7"/>
    <w:rsid w:val="00A56B78"/>
    <w:rsid w:val="00A57CCE"/>
    <w:rsid w:val="00A62ACD"/>
    <w:rsid w:val="00A62B56"/>
    <w:rsid w:val="00A72190"/>
    <w:rsid w:val="00A852B0"/>
    <w:rsid w:val="00A95502"/>
    <w:rsid w:val="00AA30CE"/>
    <w:rsid w:val="00AA38F4"/>
    <w:rsid w:val="00AA46E2"/>
    <w:rsid w:val="00AB34D5"/>
    <w:rsid w:val="00AC0F54"/>
    <w:rsid w:val="00AC1273"/>
    <w:rsid w:val="00AC1325"/>
    <w:rsid w:val="00AC1FCC"/>
    <w:rsid w:val="00AD4980"/>
    <w:rsid w:val="00AD64A4"/>
    <w:rsid w:val="00AD77EE"/>
    <w:rsid w:val="00AD7A6A"/>
    <w:rsid w:val="00AE07E9"/>
    <w:rsid w:val="00AE21B2"/>
    <w:rsid w:val="00AF2436"/>
    <w:rsid w:val="00AF32E3"/>
    <w:rsid w:val="00AF36BB"/>
    <w:rsid w:val="00B022DC"/>
    <w:rsid w:val="00B05F87"/>
    <w:rsid w:val="00B10219"/>
    <w:rsid w:val="00B31A90"/>
    <w:rsid w:val="00B37FBB"/>
    <w:rsid w:val="00B40D62"/>
    <w:rsid w:val="00B4236A"/>
    <w:rsid w:val="00B53482"/>
    <w:rsid w:val="00B536B0"/>
    <w:rsid w:val="00B53880"/>
    <w:rsid w:val="00B62582"/>
    <w:rsid w:val="00B63E7C"/>
    <w:rsid w:val="00B74777"/>
    <w:rsid w:val="00B754E1"/>
    <w:rsid w:val="00B75557"/>
    <w:rsid w:val="00B833EB"/>
    <w:rsid w:val="00B9408D"/>
    <w:rsid w:val="00B964CE"/>
    <w:rsid w:val="00B96ACD"/>
    <w:rsid w:val="00BA0708"/>
    <w:rsid w:val="00BA07FB"/>
    <w:rsid w:val="00BA72E9"/>
    <w:rsid w:val="00BB1B60"/>
    <w:rsid w:val="00BB6D31"/>
    <w:rsid w:val="00BC79AB"/>
    <w:rsid w:val="00BD4C1C"/>
    <w:rsid w:val="00BE132B"/>
    <w:rsid w:val="00BE213F"/>
    <w:rsid w:val="00BE2DC1"/>
    <w:rsid w:val="00BF516A"/>
    <w:rsid w:val="00BF55F5"/>
    <w:rsid w:val="00BF56AE"/>
    <w:rsid w:val="00C03686"/>
    <w:rsid w:val="00C10A74"/>
    <w:rsid w:val="00C23C1E"/>
    <w:rsid w:val="00C271D8"/>
    <w:rsid w:val="00C31076"/>
    <w:rsid w:val="00C315F1"/>
    <w:rsid w:val="00C34F07"/>
    <w:rsid w:val="00C35960"/>
    <w:rsid w:val="00C379E1"/>
    <w:rsid w:val="00C41663"/>
    <w:rsid w:val="00C422A9"/>
    <w:rsid w:val="00C43AFA"/>
    <w:rsid w:val="00C45E9E"/>
    <w:rsid w:val="00C5395C"/>
    <w:rsid w:val="00C548F4"/>
    <w:rsid w:val="00C563C6"/>
    <w:rsid w:val="00C61F2F"/>
    <w:rsid w:val="00C641CC"/>
    <w:rsid w:val="00C64AF7"/>
    <w:rsid w:val="00C672BB"/>
    <w:rsid w:val="00C87EC0"/>
    <w:rsid w:val="00C93626"/>
    <w:rsid w:val="00CA0250"/>
    <w:rsid w:val="00CA07D9"/>
    <w:rsid w:val="00CA10F8"/>
    <w:rsid w:val="00CA555C"/>
    <w:rsid w:val="00CB0036"/>
    <w:rsid w:val="00CB2C09"/>
    <w:rsid w:val="00CB4756"/>
    <w:rsid w:val="00CB622A"/>
    <w:rsid w:val="00CD49AF"/>
    <w:rsid w:val="00CE05AD"/>
    <w:rsid w:val="00CE2E88"/>
    <w:rsid w:val="00CE3731"/>
    <w:rsid w:val="00CE3920"/>
    <w:rsid w:val="00CE511E"/>
    <w:rsid w:val="00CE7BF8"/>
    <w:rsid w:val="00CF1848"/>
    <w:rsid w:val="00CF4441"/>
    <w:rsid w:val="00D05C46"/>
    <w:rsid w:val="00D071DE"/>
    <w:rsid w:val="00D07EE9"/>
    <w:rsid w:val="00D22C61"/>
    <w:rsid w:val="00D27EF6"/>
    <w:rsid w:val="00D33AD9"/>
    <w:rsid w:val="00D424D9"/>
    <w:rsid w:val="00D461BA"/>
    <w:rsid w:val="00D46B15"/>
    <w:rsid w:val="00D52C34"/>
    <w:rsid w:val="00D53F28"/>
    <w:rsid w:val="00D55EAB"/>
    <w:rsid w:val="00D622ED"/>
    <w:rsid w:val="00D73317"/>
    <w:rsid w:val="00D83DA6"/>
    <w:rsid w:val="00D8645E"/>
    <w:rsid w:val="00D8658F"/>
    <w:rsid w:val="00D8707E"/>
    <w:rsid w:val="00DA1C63"/>
    <w:rsid w:val="00DB697A"/>
    <w:rsid w:val="00DC59F0"/>
    <w:rsid w:val="00DD24AB"/>
    <w:rsid w:val="00DD40A4"/>
    <w:rsid w:val="00DE1B9A"/>
    <w:rsid w:val="00DE41AB"/>
    <w:rsid w:val="00DF1CB8"/>
    <w:rsid w:val="00E01F48"/>
    <w:rsid w:val="00E02F43"/>
    <w:rsid w:val="00E03D1C"/>
    <w:rsid w:val="00E06DBE"/>
    <w:rsid w:val="00E15D60"/>
    <w:rsid w:val="00E17180"/>
    <w:rsid w:val="00E211A6"/>
    <w:rsid w:val="00E2268F"/>
    <w:rsid w:val="00E229E0"/>
    <w:rsid w:val="00E2300D"/>
    <w:rsid w:val="00E2374D"/>
    <w:rsid w:val="00E23955"/>
    <w:rsid w:val="00E24301"/>
    <w:rsid w:val="00E249A6"/>
    <w:rsid w:val="00E24BA0"/>
    <w:rsid w:val="00E37017"/>
    <w:rsid w:val="00E40A80"/>
    <w:rsid w:val="00E529AA"/>
    <w:rsid w:val="00E56F07"/>
    <w:rsid w:val="00E57FD9"/>
    <w:rsid w:val="00E76342"/>
    <w:rsid w:val="00E80522"/>
    <w:rsid w:val="00E82ACA"/>
    <w:rsid w:val="00E92AED"/>
    <w:rsid w:val="00E92CA7"/>
    <w:rsid w:val="00E94CEC"/>
    <w:rsid w:val="00EB062C"/>
    <w:rsid w:val="00EB10E0"/>
    <w:rsid w:val="00EB4D01"/>
    <w:rsid w:val="00EB7A63"/>
    <w:rsid w:val="00EC3BAD"/>
    <w:rsid w:val="00ED0001"/>
    <w:rsid w:val="00ED2DAD"/>
    <w:rsid w:val="00ED5C92"/>
    <w:rsid w:val="00ED794E"/>
    <w:rsid w:val="00ED7F6F"/>
    <w:rsid w:val="00EE362F"/>
    <w:rsid w:val="00EE3ADF"/>
    <w:rsid w:val="00EE3DE1"/>
    <w:rsid w:val="00EE4B2B"/>
    <w:rsid w:val="00EF21D9"/>
    <w:rsid w:val="00EF3B29"/>
    <w:rsid w:val="00EF425C"/>
    <w:rsid w:val="00F02503"/>
    <w:rsid w:val="00F04237"/>
    <w:rsid w:val="00F05A3D"/>
    <w:rsid w:val="00F133DC"/>
    <w:rsid w:val="00F14525"/>
    <w:rsid w:val="00F20123"/>
    <w:rsid w:val="00F2215D"/>
    <w:rsid w:val="00F23E29"/>
    <w:rsid w:val="00F35E1D"/>
    <w:rsid w:val="00F43519"/>
    <w:rsid w:val="00F45F45"/>
    <w:rsid w:val="00F61CAF"/>
    <w:rsid w:val="00F62D17"/>
    <w:rsid w:val="00F80495"/>
    <w:rsid w:val="00F935A0"/>
    <w:rsid w:val="00FA00F0"/>
    <w:rsid w:val="00FB33A1"/>
    <w:rsid w:val="00FB68B9"/>
    <w:rsid w:val="00FB69AD"/>
    <w:rsid w:val="00FB7917"/>
    <w:rsid w:val="00FC1032"/>
    <w:rsid w:val="00FD00DD"/>
    <w:rsid w:val="00FD31B5"/>
    <w:rsid w:val="00FD361A"/>
    <w:rsid w:val="00FD4424"/>
    <w:rsid w:val="00FD5523"/>
    <w:rsid w:val="00FE2C4F"/>
    <w:rsid w:val="00FE6AAA"/>
    <w:rsid w:val="00FF0A90"/>
    <w:rsid w:val="00FF1CC9"/>
    <w:rsid w:val="00FF7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3DDE55"/>
  <w15:chartTrackingRefBased/>
  <w15:docId w15:val="{DDC359A1-A7A2-486B-8FB7-99B1FDC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57"/>
    <w:rPr>
      <w:rFonts w:ascii="Segoe UI" w:hAnsi="Segoe UI" w:cs="Segoe UI"/>
      <w:sz w:val="18"/>
      <w:szCs w:val="18"/>
    </w:rPr>
  </w:style>
  <w:style w:type="character" w:styleId="CommentReference">
    <w:name w:val="annotation reference"/>
    <w:basedOn w:val="DefaultParagraphFont"/>
    <w:uiPriority w:val="99"/>
    <w:semiHidden/>
    <w:unhideWhenUsed/>
    <w:rsid w:val="009D549D"/>
    <w:rPr>
      <w:sz w:val="16"/>
      <w:szCs w:val="16"/>
    </w:rPr>
  </w:style>
  <w:style w:type="paragraph" w:styleId="CommentText">
    <w:name w:val="annotation text"/>
    <w:basedOn w:val="Normal"/>
    <w:link w:val="CommentTextChar"/>
    <w:uiPriority w:val="99"/>
    <w:unhideWhenUsed/>
    <w:rsid w:val="009D549D"/>
    <w:pPr>
      <w:spacing w:line="240" w:lineRule="auto"/>
    </w:pPr>
    <w:rPr>
      <w:sz w:val="20"/>
      <w:szCs w:val="20"/>
    </w:rPr>
  </w:style>
  <w:style w:type="character" w:customStyle="1" w:styleId="CommentTextChar">
    <w:name w:val="Comment Text Char"/>
    <w:basedOn w:val="DefaultParagraphFont"/>
    <w:link w:val="CommentText"/>
    <w:uiPriority w:val="99"/>
    <w:rsid w:val="009D549D"/>
    <w:rPr>
      <w:sz w:val="20"/>
      <w:szCs w:val="20"/>
    </w:rPr>
  </w:style>
  <w:style w:type="paragraph" w:styleId="CommentSubject">
    <w:name w:val="annotation subject"/>
    <w:basedOn w:val="CommentText"/>
    <w:next w:val="CommentText"/>
    <w:link w:val="CommentSubjectChar"/>
    <w:uiPriority w:val="99"/>
    <w:semiHidden/>
    <w:unhideWhenUsed/>
    <w:rsid w:val="009D549D"/>
    <w:rPr>
      <w:b/>
      <w:bCs/>
    </w:rPr>
  </w:style>
  <w:style w:type="character" w:customStyle="1" w:styleId="CommentSubjectChar">
    <w:name w:val="Comment Subject Char"/>
    <w:basedOn w:val="CommentTextChar"/>
    <w:link w:val="CommentSubject"/>
    <w:uiPriority w:val="99"/>
    <w:semiHidden/>
    <w:rsid w:val="009D549D"/>
    <w:rPr>
      <w:b/>
      <w:bCs/>
      <w:sz w:val="20"/>
      <w:szCs w:val="20"/>
    </w:rPr>
  </w:style>
  <w:style w:type="character" w:styleId="Hyperlink">
    <w:name w:val="Hyperlink"/>
    <w:basedOn w:val="DefaultParagraphFont"/>
    <w:uiPriority w:val="99"/>
    <w:unhideWhenUsed/>
    <w:rsid w:val="00C641CC"/>
    <w:rPr>
      <w:color w:val="0000FF"/>
      <w:u w:val="single"/>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rsid w:val="00BF56AE"/>
    <w:rPr>
      <w:rFonts w:ascii="Times New Roman" w:eastAsia="Times New Roman" w:hAnsi="Times New Roman" w:cs="Times New Roman"/>
      <w:sz w:val="24"/>
      <w:szCs w:val="24"/>
      <w:lang w:eastAsia="fr-FR"/>
    </w:rPr>
  </w:style>
  <w:style w:type="paragraph" w:customStyle="1" w:styleId="SNDate">
    <w:name w:val="SNDate"/>
    <w:basedOn w:val="Normal"/>
    <w:next w:val="Normal"/>
    <w:link w:val="SNDateCar"/>
    <w:autoRedefine/>
    <w:rsid w:val="00BF56AE"/>
    <w:pPr>
      <w:spacing w:before="480" w:after="276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BF56AE"/>
    <w:rPr>
      <w:rFonts w:ascii="Times New Roman" w:eastAsia="Times New Roman" w:hAnsi="Times New Roman" w:cs="Times New Roman"/>
      <w:sz w:val="24"/>
      <w:szCs w:val="24"/>
      <w:lang w:eastAsia="fr-FR"/>
    </w:rPr>
  </w:style>
  <w:style w:type="paragraph" w:customStyle="1" w:styleId="SNREPUBLIQUE">
    <w:name w:val="SNREPUBLIQUE"/>
    <w:basedOn w:val="Normal"/>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rsid w:val="00921C73"/>
    <w:pPr>
      <w:widowControl w:val="0"/>
      <w:suppressAutoHyphens/>
      <w:spacing w:after="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SNAutorit"/>
    <w:rsid w:val="00BF56AE"/>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rsid w:val="00187BA0"/>
    <w:pPr>
      <w:widowControl w:val="0"/>
      <w:suppressAutoHyphens/>
      <w:snapToGrid w:val="0"/>
      <w:spacing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187BA0"/>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rsid w:val="00A57CCE"/>
    <w:pPr>
      <w:spacing w:after="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C43A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3AFA"/>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3AFA"/>
  </w:style>
  <w:style w:type="paragraph" w:styleId="FootnoteText">
    <w:name w:val="footnote text"/>
    <w:basedOn w:val="Normal"/>
    <w:link w:val="FootnoteTextChar"/>
    <w:uiPriority w:val="99"/>
    <w:semiHidden/>
    <w:unhideWhenUsed/>
    <w:rsid w:val="00C64A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AF7"/>
    <w:rPr>
      <w:sz w:val="20"/>
      <w:szCs w:val="20"/>
    </w:rPr>
  </w:style>
  <w:style w:type="character" w:styleId="FootnoteReference">
    <w:name w:val="footnote reference"/>
    <w:basedOn w:val="DefaultParagraphFont"/>
    <w:uiPriority w:val="99"/>
    <w:semiHidden/>
    <w:unhideWhenUsed/>
    <w:rsid w:val="00C64AF7"/>
    <w:rPr>
      <w:vertAlign w:val="superscript"/>
    </w:rPr>
  </w:style>
  <w:style w:type="paragraph" w:customStyle="1" w:styleId="ti-grseq-1">
    <w:name w:val="ti-grseq-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1">
    <w:name w:val="Normal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F35E1D"/>
    <w:pPr>
      <w:ind w:left="720"/>
      <w:contextualSpacing/>
    </w:pPr>
  </w:style>
  <w:style w:type="paragraph" w:styleId="Revision">
    <w:name w:val="Revision"/>
    <w:hidden/>
    <w:uiPriority w:val="99"/>
    <w:semiHidden/>
    <w:rsid w:val="00245EAC"/>
    <w:pPr>
      <w:spacing w:after="0" w:line="240" w:lineRule="auto"/>
    </w:pPr>
  </w:style>
  <w:style w:type="character" w:customStyle="1" w:styleId="highlight">
    <w:name w:val="highlight"/>
    <w:basedOn w:val="DefaultParagraphFont"/>
    <w:rsid w:val="004F0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59499">
      <w:bodyDiv w:val="1"/>
      <w:marLeft w:val="0"/>
      <w:marRight w:val="0"/>
      <w:marTop w:val="0"/>
      <w:marBottom w:val="0"/>
      <w:divBdr>
        <w:top w:val="none" w:sz="0" w:space="0" w:color="auto"/>
        <w:left w:val="none" w:sz="0" w:space="0" w:color="auto"/>
        <w:bottom w:val="none" w:sz="0" w:space="0" w:color="auto"/>
        <w:right w:val="none" w:sz="0" w:space="0" w:color="auto"/>
      </w:divBdr>
    </w:div>
    <w:div w:id="334723535">
      <w:bodyDiv w:val="1"/>
      <w:marLeft w:val="0"/>
      <w:marRight w:val="0"/>
      <w:marTop w:val="0"/>
      <w:marBottom w:val="0"/>
      <w:divBdr>
        <w:top w:val="none" w:sz="0" w:space="0" w:color="auto"/>
        <w:left w:val="none" w:sz="0" w:space="0" w:color="auto"/>
        <w:bottom w:val="none" w:sz="0" w:space="0" w:color="auto"/>
        <w:right w:val="none" w:sz="0" w:space="0" w:color="auto"/>
      </w:divBdr>
    </w:div>
    <w:div w:id="548110098">
      <w:bodyDiv w:val="1"/>
      <w:marLeft w:val="0"/>
      <w:marRight w:val="0"/>
      <w:marTop w:val="0"/>
      <w:marBottom w:val="0"/>
      <w:divBdr>
        <w:top w:val="none" w:sz="0" w:space="0" w:color="auto"/>
        <w:left w:val="none" w:sz="0" w:space="0" w:color="auto"/>
        <w:bottom w:val="none" w:sz="0" w:space="0" w:color="auto"/>
        <w:right w:val="none" w:sz="0" w:space="0" w:color="auto"/>
      </w:divBdr>
    </w:div>
    <w:div w:id="1162161181">
      <w:bodyDiv w:val="1"/>
      <w:marLeft w:val="0"/>
      <w:marRight w:val="0"/>
      <w:marTop w:val="0"/>
      <w:marBottom w:val="0"/>
      <w:divBdr>
        <w:top w:val="none" w:sz="0" w:space="0" w:color="auto"/>
        <w:left w:val="none" w:sz="0" w:space="0" w:color="auto"/>
        <w:bottom w:val="none" w:sz="0" w:space="0" w:color="auto"/>
        <w:right w:val="none" w:sz="0" w:space="0" w:color="auto"/>
      </w:divBdr>
    </w:div>
    <w:div w:id="1883596365">
      <w:bodyDiv w:val="1"/>
      <w:marLeft w:val="0"/>
      <w:marRight w:val="0"/>
      <w:marTop w:val="0"/>
      <w:marBottom w:val="0"/>
      <w:divBdr>
        <w:top w:val="none" w:sz="0" w:space="0" w:color="auto"/>
        <w:left w:val="none" w:sz="0" w:space="0" w:color="auto"/>
        <w:bottom w:val="none" w:sz="0" w:space="0" w:color="auto"/>
        <w:right w:val="none" w:sz="0" w:space="0" w:color="auto"/>
      </w:divBdr>
      <w:divsChild>
        <w:div w:id="1167281085">
          <w:marLeft w:val="0"/>
          <w:marRight w:val="0"/>
          <w:marTop w:val="0"/>
          <w:marBottom w:val="0"/>
          <w:divBdr>
            <w:top w:val="none" w:sz="0" w:space="0" w:color="auto"/>
            <w:left w:val="none" w:sz="0" w:space="0" w:color="auto"/>
            <w:bottom w:val="none" w:sz="0" w:space="0" w:color="auto"/>
            <w:right w:val="none" w:sz="0" w:space="0" w:color="auto"/>
          </w:divBdr>
        </w:div>
        <w:div w:id="56479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legifranc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E567-7DD9-4399-97F0-8A17DE4D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1472</Words>
  <Characters>8397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Liana Brili</cp:lastModifiedBy>
  <cp:revision>3</cp:revision>
  <cp:lastPrinted>2021-07-27T08:40:00Z</cp:lastPrinted>
  <dcterms:created xsi:type="dcterms:W3CDTF">2021-07-27T11:56:00Z</dcterms:created>
  <dcterms:modified xsi:type="dcterms:W3CDTF">2021-07-30T08:29:00Z</dcterms:modified>
</cp:coreProperties>
</file>