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REPUBLIKA FRANCUSKA</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2D0F8A">
            <w:pPr>
              <w:pStyle w:val="SNTimbre"/>
            </w:pPr>
            <w:r>
              <w:t>Ministerstwo Transformacji Ekologicznej</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Dekret nr</w:t>
      </w:r>
      <w:r>
        <w:tab/>
        <w:t xml:space="preserve"> z dnia</w:t>
      </w:r>
    </w:p>
    <w:p w14:paraId="273D2CCE" w14:textId="77777777" w:rsidR="00BF56AE" w:rsidRDefault="00BF56AE" w:rsidP="00187BA0">
      <w:pPr>
        <w:pStyle w:val="SNtitre"/>
        <w:spacing w:after="0"/>
      </w:pPr>
      <w:r>
        <w:t>w sprawie minimalnego udziału procentowego opakowań wielokrotnego użytku ponownie wprowadzanych do obrotu w ciągu roku</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NOR: 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Niniejszy dekret dotyczy:</w:t>
      </w:r>
      <w:r>
        <w:t xml:space="preserve"> </w:t>
      </w:r>
      <w:r>
        <w:rPr>
          <w:b w:val="0"/>
          <w:i/>
        </w:rPr>
        <w:t>producentów opakowań, producentów, importerów, dystrybutorów lub innych podmiotów zajmujących się wprowadzaniem do obrotu produktów pakowanych, organizacji ekologicznych, o których mowa w art. L. 541-10, oraz podmiotów, które uczestniczą w działaniach związanych z ponownym użyciem i odzyskiem opakowań.</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Cel:</w:t>
      </w:r>
      <w:r>
        <w:t xml:space="preserve"> </w:t>
      </w:r>
      <w:r>
        <w:rPr>
          <w:b w:val="0"/>
          <w:i/>
        </w:rPr>
        <w:t>minimalny udział procentowy opakowań wielokrotnego użytku, które mają być ponownie wprowadzane do obrotu w ciągu roku we Francji zgodnie z art. 67 ustawy nr 2020-105 z dnia 10 lutego 2020 r. o zwalczaniu odpadów i gospodarce o obiegu zamkniętym.</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Wejście w życie: </w:t>
      </w:r>
      <w:r>
        <w:rPr>
          <w:b w:val="0"/>
          <w:i/>
        </w:rPr>
        <w:t>dekret wchodzi w życie z dniem 1 stycznia 2022 r.</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Uwaga: </w:t>
      </w:r>
      <w:r>
        <w:rPr>
          <w:b w:val="0"/>
          <w:i/>
        </w:rPr>
        <w:t>dekret określa minimalny udział procentowy opakowań wielokrotnego użytku, które mają być corocznie ponownie wprowadzane do obrotu we Francji w lata 2022–2027 w celu osiągnięcia założonego udziału ponownie używanych opakowań określonego w art. L. 541-1 kodeksu ochrony środowiska, tj. 5% w 2023 r. i 10% w 2027 r. Określono w nim producentów, których to zagadnienie dotyczy, i przewidziano możliwość utworzenia przez nich podmiotu zbiorowego lub korzystania z pomocy organizacji ekologicznej w celu wypełnienia obowiązku ponownego wykorzystania opakowań.</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rPr>
        <w:t xml:space="preserve">Odniesienia: </w:t>
      </w:r>
      <w:r>
        <w:rPr>
          <w:b w:val="0"/>
          <w:i/>
        </w:rPr>
        <w:t>kodeks ochrony środowiska zmieniony niniejszym dekretem jest dostępny na stronie internetowej Légifrance (</w:t>
      </w:r>
      <w:hyperlink r:id="rId8" w:history="1">
        <w:r>
          <w:rPr>
            <w:rStyle w:val="Hyperlink"/>
            <w:b w:val="0"/>
            <w:i/>
          </w:rPr>
          <w:t>https://www.legifrance.gouv.fr</w:t>
        </w:r>
      </w:hyperlink>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Premier Francji</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po zapoznaniu się ze sprawozdaniem Ministra Transformacji Ekologicznej;</w:t>
      </w:r>
    </w:p>
    <w:p w14:paraId="0072186B" w14:textId="77777777" w:rsidR="009666CF" w:rsidRDefault="009666CF" w:rsidP="00A57CCE">
      <w:pPr>
        <w:pStyle w:val="SNVisa"/>
      </w:pPr>
    </w:p>
    <w:p w14:paraId="341F7B8A" w14:textId="77777777" w:rsidR="009666CF" w:rsidRDefault="009666CF" w:rsidP="00A57CCE">
      <w:pPr>
        <w:pStyle w:val="SNVisa"/>
      </w:pPr>
      <w:r>
        <w:t xml:space="preserve">uwzględniając dyrektywę Parlamentu Europejskiego i Rady 2008/98/WE z dnia 19 listopada 2008 r. w sprawie odpadów oraz uchylającą niektóre dyrektywy, w szczególności jej art. 9; </w:t>
      </w:r>
    </w:p>
    <w:p w14:paraId="36D33F97" w14:textId="77777777" w:rsidR="009666CF" w:rsidRDefault="009666CF" w:rsidP="00A57CCE">
      <w:pPr>
        <w:pStyle w:val="SNVisa"/>
      </w:pPr>
    </w:p>
    <w:p w14:paraId="613B5CC2" w14:textId="77777777" w:rsidR="00BF56AE" w:rsidRDefault="00BF56AE" w:rsidP="00A57CCE">
      <w:pPr>
        <w:pStyle w:val="SNVisa"/>
      </w:pPr>
      <w:r>
        <w:t>uwzględniając ustawę nr 2020-105 z 10 lutego 2020 o zwalczaniu odpadów i gospodarce o obiegu zamkniętym, w szczególności jej art. 9, 67 i 130;</w:t>
      </w:r>
    </w:p>
    <w:p w14:paraId="3D6258FE" w14:textId="77777777" w:rsidR="00AB34D5" w:rsidRDefault="00AB34D5" w:rsidP="00A57CCE">
      <w:pPr>
        <w:pStyle w:val="SNVisa"/>
      </w:pPr>
    </w:p>
    <w:p w14:paraId="00FCCBF0" w14:textId="7EAE0D3C" w:rsidR="00BF56AE" w:rsidRDefault="00BF56AE" w:rsidP="00A57CCE">
      <w:pPr>
        <w:pStyle w:val="SNVisa"/>
      </w:pPr>
      <w:r>
        <w:t>uwzględniając kodeks ochrony środowiska, w szczególności jego art. L. 541-1, L. 541-9-6, L. 541-10, L. 541-10-1, L. 541-10-3, L. 541-10-8, L. 541-10-18, L. 541-50, R. 541-128 i R. 543-43;</w:t>
      </w:r>
    </w:p>
    <w:p w14:paraId="35E1F319" w14:textId="77777777" w:rsidR="00A57CCE" w:rsidRDefault="00A57CCE" w:rsidP="00A57CCE">
      <w:pPr>
        <w:pStyle w:val="SNVisa"/>
      </w:pPr>
    </w:p>
    <w:p w14:paraId="6B44A064" w14:textId="3C6DBDC6" w:rsidR="00A57CCE" w:rsidRDefault="00A57CCE" w:rsidP="00A57CCE">
      <w:pPr>
        <w:pStyle w:val="SNVisa"/>
      </w:pPr>
      <w:r>
        <w:lastRenderedPageBreak/>
        <w:t>uwzględniając francuski kodeks rolnictwa i rybołówstwa morskiego, w szczególności jego art. L. 641-1 do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uwzględniając zgłoszenie nr </w:t>
      </w:r>
      <w:r>
        <w:rPr>
          <w:highlight w:val="yellow"/>
        </w:rPr>
        <w:t xml:space="preserve">xxx </w:t>
      </w:r>
      <w:r>
        <w:t xml:space="preserve">do Komisji Europejskiej w sprawie </w:t>
      </w:r>
      <w:r>
        <w:rPr>
          <w:highlight w:val="yellow"/>
        </w:rPr>
        <w:t>xxx</w:t>
      </w:r>
      <w:r>
        <w:t>;</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uwzględniając uwagi zgłoszone podczas konsultacji społecznych przeprowadzonych w dniach od </w:t>
      </w:r>
      <w:r>
        <w:rPr>
          <w:highlight w:val="yellow"/>
        </w:rPr>
        <w:t>xxx</w:t>
      </w:r>
      <w:r>
        <w:t xml:space="preserve"> do </w:t>
      </w:r>
      <w:r>
        <w:rPr>
          <w:highlight w:val="yellow"/>
        </w:rPr>
        <w:t>xxx</w:t>
      </w:r>
      <w:r>
        <w:t>, zgodnie z art. L. 123-19-1 kodeksu ochrony środowiska;</w:t>
      </w:r>
    </w:p>
    <w:p w14:paraId="5967BEBE" w14:textId="2BFA0F09" w:rsidR="00A57CCE" w:rsidRDefault="00A57CCE" w:rsidP="00921C73">
      <w:pPr>
        <w:pStyle w:val="SNConsultation"/>
      </w:pPr>
    </w:p>
    <w:p w14:paraId="331F9F37" w14:textId="0314E57F" w:rsidR="00A57CCE" w:rsidRDefault="00A57CCE" w:rsidP="00921C73">
      <w:pPr>
        <w:pStyle w:val="SNConsultation"/>
      </w:pPr>
      <w:r>
        <w:t>po wysłuchaniu Rady Stanu (wydziału prac publicznych)</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rFonts w:ascii="Times New Roman" w:eastAsia="Lucida Sans Unicode" w:hAnsi="Times New Roman" w:cs="Times New Roman"/>
          <w:sz w:val="24"/>
          <w:szCs w:val="24"/>
        </w:rPr>
      </w:pPr>
      <w:r>
        <w:rPr>
          <w:rFonts w:ascii="Times New Roman" w:hAnsi="Times New Roman"/>
          <w:sz w:val="24"/>
        </w:rPr>
        <w:t>niniejszym zarządza, co następuje:</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rFonts w:ascii="Times New Roman" w:eastAsia="Times New Roman" w:hAnsi="Times New Roman" w:cs="Times New Roman"/>
          <w:b/>
          <w:sz w:val="24"/>
          <w:szCs w:val="24"/>
          <w:u w:val="single"/>
        </w:rPr>
      </w:pPr>
      <w:r>
        <w:rPr>
          <w:rFonts w:ascii="Times New Roman" w:hAnsi="Times New Roman"/>
          <w:b/>
          <w:sz w:val="24"/>
          <w:u w:val="single"/>
        </w:rPr>
        <w:t>Artykuł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W księdze V tytuł IV rozdział I punkt 10 kodeksu ochrony środowiska dodaje się podpunkt 7 o następującym brzmieniu:</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rFonts w:ascii="Times New Roman" w:hAnsi="Times New Roman" w:cs="Times New Roman"/>
          <w:sz w:val="24"/>
          <w:szCs w:val="24"/>
        </w:rPr>
      </w:pPr>
      <w:r>
        <w:rPr>
          <w:rFonts w:ascii="Times New Roman" w:hAnsi="Times New Roman"/>
          <w:sz w:val="24"/>
        </w:rPr>
        <w:t>„Podpunkt 7 — Ponowne użycie opakowań</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rFonts w:ascii="Times New Roman" w:hAnsi="Times New Roman" w:cs="Times New Roman"/>
          <w:sz w:val="24"/>
          <w:szCs w:val="24"/>
        </w:rPr>
      </w:pPr>
      <w:r>
        <w:rPr>
          <w:rFonts w:ascii="Times New Roman" w:hAnsi="Times New Roman"/>
          <w:sz w:val="24"/>
        </w:rPr>
        <w:t>Artykuł R. 541-370. – Do celów art. L. 541-1 ust. III i w rozumieniu niniejszego podpunktu stosuje się następujące definicje:</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1. „Opakowanie” — opakowanie, które spełnia warunki określone w art. R. 543-43 kodeksu ochrony środowiska, zgodne z art. L. 541-10-1 ust. 1 i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2. „Producent”</w:t>
      </w:r>
      <w:r>
        <w:t xml:space="preserve"> </w:t>
      </w:r>
      <w:r>
        <w:rPr>
          <w:rFonts w:ascii="Times New Roman" w:hAnsi="Times New Roman"/>
          <w:sz w:val="24"/>
        </w:rPr>
        <w:t>— każda osoba, która w ramach działalności zawodowej pakuje lub zapakowała swoje produkty w celu wprowadzenia ich do obrotu, każdy importer, którego produkty są wprowadzane do obrotu w opakowaniach, lub, jeżeli nie można zidentyfikować producenta lub importera, osoba odpowiedzialna za pierwsze wprowadzenie takich produktów do obrotu.</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rFonts w:ascii="Times New Roman" w:hAnsi="Times New Roman" w:cs="Times New Roman"/>
          <w:sz w:val="24"/>
          <w:szCs w:val="24"/>
        </w:rPr>
      </w:pPr>
      <w:r>
        <w:rPr>
          <w:rFonts w:ascii="Times New Roman" w:hAnsi="Times New Roman"/>
          <w:sz w:val="24"/>
        </w:rPr>
        <w:t>3. „Opakowania wielokrotnego użytku” — opakowania, które przynajmniej raz zostają użyte ponownie w celu identycznym z tym, do którego zostały zaprojektowane, i których ponowne użycie lub odzysk jest organizowane przez producenta lub w jego imieniu. Opakowanie, które jest przedmiotem co najmniej jednego ponownego użycia poprzez jego napełnienie w punkcie sprzedaży produktu luzem lub w domu w przypadku urządzenia uzupełniającego</w:t>
      </w:r>
      <w:r>
        <w:t xml:space="preserve"> </w:t>
      </w:r>
      <w:r>
        <w:rPr>
          <w:rFonts w:ascii="Times New Roman" w:hAnsi="Times New Roman"/>
          <w:sz w:val="24"/>
        </w:rPr>
        <w:t xml:space="preserve"> dostarczonego przez producenta, uznaje się za ponownie wykorzystane.</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rFonts w:ascii="Times New Roman" w:hAnsi="Times New Roman" w:cs="Times New Roman"/>
          <w:sz w:val="24"/>
          <w:szCs w:val="24"/>
        </w:rPr>
      </w:pPr>
      <w:r>
        <w:rPr>
          <w:rFonts w:ascii="Times New Roman" w:hAnsi="Times New Roman"/>
          <w:sz w:val="24"/>
        </w:rPr>
        <w:t>Artykuł R. 541-371. I. — Minimalny udział procentowy opakowań wielokrotnego użytku ponownie wprowadzanych do obrotu w ciągu roku zgodnie z art. L. 541-1 ust. III, jest następujący:</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rFonts w:ascii="Times New Roman" w:hAnsi="Times New Roman" w:cs="Times New Roman"/>
          <w:sz w:val="24"/>
          <w:szCs w:val="24"/>
        </w:rPr>
      </w:pPr>
      <w:r>
        <w:rPr>
          <w:rFonts w:ascii="Times New Roman" w:hAnsi="Times New Roman"/>
          <w:sz w:val="24"/>
        </w:rPr>
        <w:t>– 1,5% w 2022 r.;</w:t>
      </w:r>
    </w:p>
    <w:p w14:paraId="485B39D8" w14:textId="639C2DB6"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5% w 2023 r.;</w:t>
      </w:r>
    </w:p>
    <w:p w14:paraId="6EC6FF23" w14:textId="078D8D59"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6% w 2024 r.;</w:t>
      </w:r>
    </w:p>
    <w:p w14:paraId="6336E297" w14:textId="5C7439BD"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7% w 2025 r.;</w:t>
      </w:r>
    </w:p>
    <w:p w14:paraId="4B9FA4E1" w14:textId="71D80084"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8% w 2026 r.;</w:t>
      </w:r>
    </w:p>
    <w:p w14:paraId="46852667" w14:textId="720F2ADD" w:rsidR="002C2713" w:rsidRPr="00AA30CE" w:rsidRDefault="002253EB" w:rsidP="005D7C0E">
      <w:pPr>
        <w:pStyle w:val="ListParagraph"/>
        <w:spacing w:after="0" w:line="240" w:lineRule="auto"/>
        <w:jc w:val="both"/>
        <w:rPr>
          <w:rFonts w:ascii="Times New Roman" w:eastAsia="Times New Roman" w:hAnsi="Times New Roman" w:cs="Times New Roman"/>
          <w:b/>
          <w:sz w:val="24"/>
          <w:szCs w:val="24"/>
          <w:u w:val="single"/>
        </w:rPr>
      </w:pPr>
      <w:r>
        <w:rPr>
          <w:rFonts w:ascii="Times New Roman" w:hAnsi="Times New Roman"/>
          <w:sz w:val="24"/>
        </w:rPr>
        <w:t>– 10% w 2027 r.</w:t>
      </w:r>
    </w:p>
    <w:p w14:paraId="7D1F0F03" w14:textId="61E14E83" w:rsidR="003F22D4" w:rsidRDefault="003F22D4" w:rsidP="002253EB">
      <w:pPr>
        <w:spacing w:after="0" w:line="240" w:lineRule="auto"/>
        <w:jc w:val="both"/>
        <w:rPr>
          <w:rFonts w:ascii="Times New Roman" w:hAnsi="Times New Roman" w:cs="Times New Roman"/>
          <w:sz w:val="24"/>
          <w:szCs w:val="24"/>
        </w:rPr>
      </w:pPr>
    </w:p>
    <w:p w14:paraId="1B8DE151" w14:textId="77777777" w:rsidR="002D0F8A" w:rsidRPr="00AA30CE" w:rsidRDefault="002D0F8A"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lastRenderedPageBreak/>
        <w:t>II. — Ten cel i przepisy niniejszej podsekcji:</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1. nie dotyczą opakowań produktów, dla których krajowe lub wspólnotowe przepisy ustawowe lub wykonawcze zabraniają ponownego użycia lub odzysku opakowań ze względu na wymagania dotyczące zdrowia lub bezpieczeństwa</w:t>
      </w:r>
      <w:r>
        <w:t xml:space="preserve"> </w:t>
      </w:r>
      <w:r>
        <w:rPr>
          <w:rFonts w:ascii="Times New Roman" w:hAnsi="Times New Roman"/>
          <w:sz w:val="24"/>
        </w:rPr>
        <w:t xml:space="preserve"> konsumenta;</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2. do dnia 1 stycznia 2024 r. nie dotyczą opakowań produktów, dla których specyfikacje dotyczące znaków identyfikacyjnych jakości i pochodzenia przewidziane w art. L. 641-1 do L. 641-13 kodeksu rolnictwa i rybołówstwa morskiego zakazują ponownego użycia lub odzysku ich opakowań.</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rFonts w:ascii="Times New Roman" w:hAnsi="Times New Roman" w:cs="Times New Roman"/>
          <w:sz w:val="24"/>
          <w:szCs w:val="24"/>
        </w:rPr>
      </w:pPr>
      <w:r>
        <w:rPr>
          <w:rFonts w:ascii="Times New Roman" w:hAnsi="Times New Roman"/>
          <w:sz w:val="24"/>
        </w:rPr>
        <w:t xml:space="preserve">III. — Jednostka miary ponownie używanych opakowań odpowiada opakowaniu pierwotnemu, wtórnemu lub trzeciorzędnemu. </w:t>
      </w:r>
    </w:p>
    <w:p w14:paraId="3F04B8D7" w14:textId="77777777" w:rsidR="003F3509" w:rsidRPr="00AA30CE" w:rsidRDefault="00205EE6" w:rsidP="00413B02">
      <w:pPr>
        <w:spacing w:after="0" w:line="240" w:lineRule="auto"/>
        <w:jc w:val="both"/>
        <w:rPr>
          <w:rFonts w:ascii="Times New Roman" w:hAnsi="Times New Roman" w:cs="Times New Roman"/>
          <w:sz w:val="24"/>
          <w:szCs w:val="24"/>
        </w:rPr>
      </w:pPr>
      <w:r>
        <w:rPr>
          <w:rFonts w:ascii="Times New Roman" w:hAnsi="Times New Roman"/>
          <w:sz w:val="24"/>
        </w:rPr>
        <w:t xml:space="preserve"> </w:t>
      </w:r>
    </w:p>
    <w:p w14:paraId="3333D50A" w14:textId="2FFAEC64" w:rsidR="00F43519" w:rsidRPr="00AA30CE" w:rsidRDefault="002253EB" w:rsidP="003F3509">
      <w:pPr>
        <w:spacing w:after="0" w:line="240" w:lineRule="auto"/>
        <w:jc w:val="both"/>
        <w:rPr>
          <w:rFonts w:ascii="Times New Roman" w:hAnsi="Times New Roman" w:cs="Times New Roman"/>
          <w:sz w:val="24"/>
          <w:szCs w:val="24"/>
        </w:rPr>
      </w:pPr>
      <w:r>
        <w:rPr>
          <w:rFonts w:ascii="Times New Roman" w:hAnsi="Times New Roman"/>
          <w:sz w:val="24"/>
        </w:rPr>
        <w:t>Producent może jednak przyjąć inną jednostkę miary dla ponownie wykorzystywanych opakowań odpowiadającą ich pojemności, jeżeli może uzasadnić, że taka równoważna jednostka miary jest odpowiedniejsza dla produktów pakowanych. W takim przypadku jednostka miary musi odpowiadać pojemności równej 0,5 litra dla cieczy i 0,5 kilograma w pozostałych przypadkach.</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rFonts w:ascii="Times New Roman" w:hAnsi="Times New Roman" w:cs="Times New Roman"/>
          <w:sz w:val="24"/>
          <w:szCs w:val="24"/>
        </w:rPr>
      </w:pPr>
      <w:r>
        <w:rPr>
          <w:rFonts w:ascii="Times New Roman" w:hAnsi="Times New Roman"/>
          <w:sz w:val="24"/>
        </w:rPr>
        <w:t>IV. — Do dnia 1 grudnia 2022 r. podmiot monitorujący ponowne użycie i odzysk przeprowadzi badanie w celu określenia możliwości poprawy dla różnych przepływów opakowań i kategorii produktów. Cele określone w pkt I mogą zostać odpowiednio zmienione.</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Artykuł R. 541-372. I. — Do celów art. L. 541-1 ust. III osoby zobowiązane do przestrzegania minimalnego udziału procentowego opakowań wielokrotnego użytku określonego w art. R. 541-371 to producenci wprowadzający do obrotu co najmniej 10 000 sztuk pakowanych produktów rocznie, którzy deklarują roczny obrót przekraczający następujące wartości:</w:t>
      </w:r>
    </w:p>
    <w:p w14:paraId="2E28EEE8" w14:textId="781B951D" w:rsidR="00D05C46"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 50 mln EUR do dnia 31 grudnia 2024 r.;</w:t>
      </w:r>
    </w:p>
    <w:p w14:paraId="0FEDC01B" w14:textId="0BEE314A" w:rsidR="00496410"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 20 mln EUR od dnia 1 stycznia 2025 r. do dnia 31 grudnia 2025 r.;</w:t>
      </w:r>
    </w:p>
    <w:p w14:paraId="0FD6637E" w14:textId="4BE59A0E" w:rsidR="00D05C46" w:rsidRPr="00AA30CE" w:rsidRDefault="00496410" w:rsidP="00187BA0">
      <w:pPr>
        <w:spacing w:after="0" w:line="240" w:lineRule="auto"/>
        <w:jc w:val="both"/>
        <w:rPr>
          <w:rFonts w:ascii="Times New Roman" w:hAnsi="Times New Roman" w:cs="Times New Roman"/>
          <w:sz w:val="24"/>
          <w:szCs w:val="24"/>
        </w:rPr>
      </w:pPr>
      <w:r>
        <w:rPr>
          <w:rFonts w:ascii="Times New Roman" w:hAnsi="Times New Roman"/>
          <w:sz w:val="24"/>
        </w:rPr>
        <w:t>od dnia 1 stycznia 2026 r. kryterium rocznego obrotu stosuje się bez progu.</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 xml:space="preserve">II, — Każdy producent, o którym mowa w pkt I niniejszego artykułu, może podjąć decyzję o utworzeniu z innymi zainteresowanymi producentami podmiotu zbiorowego w celu wspólnego prowadzenia działań niezbędnych do wprowadzenia do obrotu opakowań wielokrotnego użytku.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rFonts w:ascii="Times New Roman" w:hAnsi="Times New Roman" w:cs="Times New Roman"/>
          <w:sz w:val="24"/>
          <w:szCs w:val="24"/>
        </w:rPr>
      </w:pPr>
      <w:r>
        <w:rPr>
          <w:rFonts w:ascii="Times New Roman" w:hAnsi="Times New Roman"/>
          <w:sz w:val="24"/>
        </w:rPr>
        <w:t xml:space="preserve">W tym przypadku producenci będący członkami podmiotu zbiorowego ponoszą wspólną odpowiedzialność za przestrzeganie rocznego celu odpowiadającego sumie minimalnych udziałów opakowań wielokrotnego użytku, które mają być wprowadzone do obrotu przez wszystkich producentów będących członkami grupy.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rFonts w:ascii="Times New Roman" w:hAnsi="Times New Roman" w:cs="Times New Roman"/>
          <w:sz w:val="24"/>
          <w:szCs w:val="24"/>
        </w:rPr>
      </w:pPr>
      <w:r>
        <w:rPr>
          <w:rFonts w:ascii="Times New Roman" w:hAnsi="Times New Roman"/>
          <w:sz w:val="24"/>
        </w:rPr>
        <w:t>III. — Organizacje ekologiczne mające zezwolenie na prowadzenia działań w sprawie opakowań, o których mowa w art. L. 541-10-1 ust. 1 i 2 kodeksu ochrony środowiska, mogą zaproponować producentom, których dotyczy obowiązek przestrzegania minimalnego udziału wprowadzania do obrotu opakowań ponownie wykorzystanych, w tym opakowań nieobjętych zezwoleniem, że będą pełnić rolę podmiotu zbiorowego, o którym mowa w pkt II. Organizacje ekologiczne będą prowadzić działania zgodnie z warunkami określonymi w drugim akapicie ust. II.</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rFonts w:ascii="Times New Roman" w:hAnsi="Times New Roman" w:cs="Times New Roman"/>
          <w:sz w:val="24"/>
          <w:szCs w:val="24"/>
        </w:rPr>
      </w:pPr>
      <w:r>
        <w:rPr>
          <w:rFonts w:ascii="Times New Roman" w:hAnsi="Times New Roman"/>
          <w:sz w:val="24"/>
        </w:rPr>
        <w:lastRenderedPageBreak/>
        <w:t>Artykuł R. 541-373. – Specyfikacje organizacji ekologicznych ustanowionych przez producentów produktów wymienionych w art. L. 541-10-1 ust. 1 i 2, przewidzianych w art. L. 541-10 ust. II, zawierają cele ponownego wykorzystania odpowiadające co najmniej celom, o których mowa w art. R. 541-371 ust. 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rFonts w:ascii="Times New Roman" w:hAnsi="Times New Roman" w:cs="Times New Roman"/>
          <w:sz w:val="24"/>
          <w:szCs w:val="24"/>
        </w:rPr>
      </w:pPr>
      <w:r>
        <w:rPr>
          <w:rFonts w:ascii="Times New Roman" w:hAnsi="Times New Roman"/>
          <w:sz w:val="24"/>
        </w:rPr>
        <w:t>W celu osiągnięcia wyżej wymienionych założeń dotyczących ponownego użycia zatwierdzone organizacje ekologiczne wdrażają zmiany przewidziane w art. L. 541-10-3 i mają swój wkład w opracowywaniu rozwiązań w zakresie ponownego użycia i odzysku opakowań, opierając się w szczególności na funduszach przewidzianych w art. L. 541-10-18 ust. V. Wkład ten ma formę wsparcia finansowego przyznawanego na podstawie procedur otwartych dla każdej kwalifikującej się osoby ubiegającej się o nie lub na podstawie procedur konkursowych.</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rFonts w:ascii="Times New Roman" w:hAnsi="Times New Roman" w:cs="Times New Roman"/>
          <w:sz w:val="24"/>
          <w:szCs w:val="24"/>
        </w:rPr>
      </w:pPr>
      <w:r>
        <w:rPr>
          <w:rFonts w:ascii="Times New Roman" w:hAnsi="Times New Roman"/>
          <w:sz w:val="24"/>
        </w:rPr>
        <w:t>Organizacje ekologiczne mogą również na tych samych warunkach brać udział w opracowywaniu rozwiązań w zakresie ponownego użycia i odzysku innych opakowań nieobjętych zezwoleniem.</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rFonts w:ascii="Times New Roman" w:hAnsi="Times New Roman" w:cs="Times New Roman"/>
          <w:sz w:val="24"/>
          <w:szCs w:val="24"/>
        </w:rPr>
      </w:pPr>
      <w:r>
        <w:rPr>
          <w:rFonts w:ascii="Times New Roman" w:hAnsi="Times New Roman"/>
          <w:sz w:val="24"/>
        </w:rPr>
        <w:t>Artykuł R. 541-374. – I. — Każdy producent, o którym mowa w art. R. 541-372 ust. I lub, w stosownych przypadkach, podmiot zbiorowy, o którym mowa w art. R. 541-372 ust. II, co roku informuje podmiot monitorujący ponowne użycie i odzysk o udziale procentowym opakowań wielokrotnego użytku ponownie wprowadzonych do obrotu.</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rFonts w:ascii="Times New Roman" w:hAnsi="Times New Roman" w:cs="Times New Roman"/>
          <w:sz w:val="24"/>
          <w:szCs w:val="24"/>
        </w:rPr>
      </w:pPr>
      <w:r>
        <w:rPr>
          <w:rFonts w:ascii="Times New Roman" w:hAnsi="Times New Roman"/>
          <w:sz w:val="24"/>
        </w:rPr>
        <w:t>Każdy producent, o którym mowa w art. R. 541-372 ust. I, przekazuje te informacje również organizacji ekologicznej, której jest członkiem w związku z określonym rodzajem opakowania, w ramach rozszerzonej odpowiedzialności przewidzianej w art. L. 541-10 kodeksu ochrony środowiska. Organizacja ekologiczna ocenia zgodność tych informacji w ramach programu samokontroli przewidzianego w art. R. 541-128 kodeksu ochrony środowiska.</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rFonts w:ascii="Times New Roman" w:hAnsi="Times New Roman" w:cs="Times New Roman"/>
          <w:sz w:val="24"/>
          <w:szCs w:val="24"/>
        </w:rPr>
      </w:pPr>
      <w:r>
        <w:rPr>
          <w:rFonts w:ascii="Times New Roman" w:hAnsi="Times New Roman"/>
          <w:sz w:val="24"/>
        </w:rPr>
        <w:t xml:space="preserve">II. — Każda organizacja ekologiczna zatwierdzona dla danego rodzaju opakowań co roku przekazuje organowi administracyjnemu, o którym mowa w art. L. 541-10-13, informacje o ilości opakowań ponownie wykorzystanych przez producentów będących jej członkami oraz ilości opakowań ponownie wykorzystanych, które były przedmiotem środków przewidzianych w art. R. 341-373, z rozróżnieniem między tymi, których dotyczy zezwolenie, a tymi, które nie są nim objęte.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rFonts w:ascii="Times New Roman" w:hAnsi="Times New Roman" w:cs="Times New Roman"/>
          <w:sz w:val="24"/>
          <w:szCs w:val="24"/>
        </w:rPr>
      </w:pPr>
      <w:r>
        <w:rPr>
          <w:rFonts w:ascii="Times New Roman" w:hAnsi="Times New Roman"/>
          <w:sz w:val="24"/>
        </w:rPr>
        <w:t>Organ ten przekazuje wszystkie te informacje podmiotowi monitorującemu ponowne użycie i odzysk.</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rFonts w:ascii="Times New Roman" w:hAnsi="Times New Roman" w:cs="Times New Roman"/>
          <w:b/>
          <w:sz w:val="24"/>
          <w:szCs w:val="24"/>
          <w:u w:val="single"/>
        </w:rPr>
      </w:pPr>
      <w:r>
        <w:rPr>
          <w:rFonts w:ascii="Times New Roman" w:hAnsi="Times New Roman"/>
          <w:b/>
          <w:sz w:val="24"/>
          <w:u w:val="single"/>
        </w:rPr>
        <w:t>Artykuł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I. — Przepisy niniejszego dekretu wchodzą w życie z dniem 1 stycznia 2022 r. z zastrzeżeniem przepisów poniższego ust. II poniżej.</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II. — Organizacje ekologiczne zatwierdzone dla rodzajów opakowań, o których mowa w art. 130 akapit czwarty zdanie pierwsze ustawy z dnia 10 lutego 2020 r., o której mowa powyżej, są zobowiązane do stosowania dotyczących ich przepisów art. R. 341-372 do R. 341-374 od momentu odnowienia zezwolenia, a najpóźniej od dnia 1 stycznia 2023 r. Jednakże na wniosek producentów, o których mowa w art. R. 341-372 pkt I, organizacje ekologiczne te mogą podjąć decyzję o zastosowaniu tych przepisów przed wygaśnięciem zezwolenia.</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rFonts w:ascii="Times New Roman" w:hAnsi="Times New Roman" w:cs="Times New Roman"/>
          <w:b/>
          <w:sz w:val="24"/>
          <w:szCs w:val="24"/>
          <w:u w:val="single"/>
        </w:rPr>
      </w:pPr>
      <w:r>
        <w:rPr>
          <w:rFonts w:ascii="Times New Roman" w:hAnsi="Times New Roman"/>
          <w:b/>
          <w:sz w:val="24"/>
          <w:u w:val="single"/>
        </w:rPr>
        <w:t>Artykuł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Francuski minister ds. transformacji ekologicznej jest odpowiedzialny za wykonanie niniejszego dekretu, który zostanie opublikowany w </w:t>
      </w:r>
      <w:r>
        <w:rPr>
          <w:i/>
          <w:iCs/>
        </w:rPr>
        <w:t>Dzienniku Urzędowym</w:t>
      </w:r>
      <w:r>
        <w:t xml:space="preserve"> Republiki Francuskiej .</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Dnia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2D0F8A">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2D0F8A">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2D0F8A">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D0F8A"/>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2D0F8A"/>
    <w:pPr>
      <w:widowControl w:val="0"/>
      <w:suppressAutoHyphens/>
      <w:snapToGrid w:val="0"/>
      <w:spacing w:after="0" w:line="240" w:lineRule="auto"/>
      <w:ind w:right="-270"/>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2D0F8A"/>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1544</Words>
  <Characters>8803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4</cp:revision>
  <cp:lastPrinted>2021-07-27T08:40:00Z</cp:lastPrinted>
  <dcterms:created xsi:type="dcterms:W3CDTF">2021-07-27T11:56:00Z</dcterms:created>
  <dcterms:modified xsi:type="dcterms:W3CDTF">2021-08-04T09:18:00Z</dcterms:modified>
</cp:coreProperties>
</file>