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019E" w14:textId="77777777" w:rsidR="00C43AFA" w:rsidRDefault="00C43AFA" w:rsidP="00187BA0">
      <w:pPr>
        <w:spacing w:after="0" w:line="240" w:lineRule="auto"/>
        <w:rPr>
          <w:rFonts w:ascii="Times New Roman" w:eastAsia="Lucida Sans Unicode" w:hAnsi="Times New Roman" w:cs="Times New Roman"/>
          <w:b/>
          <w:bCs/>
          <w:sz w:val="24"/>
          <w:szCs w:val="24"/>
          <w:lang w:eastAsia="fr-FR"/>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43AFA" w:rsidRPr="00C32FE3" w14:paraId="4DADB735" w14:textId="77777777" w:rsidTr="00F21523">
        <w:trPr>
          <w:cantSplit/>
        </w:trPr>
        <w:tc>
          <w:tcPr>
            <w:tcW w:w="3982" w:type="dxa"/>
            <w:gridSpan w:val="3"/>
          </w:tcPr>
          <w:p w14:paraId="5F1BEF07" w14:textId="77777777" w:rsidR="00C43AFA" w:rsidRPr="00C32FE3" w:rsidRDefault="00C43AFA" w:rsidP="00187BA0">
            <w:pPr>
              <w:pStyle w:val="SNREPUBLIQUE"/>
            </w:pPr>
            <w:r>
              <w:t xml:space="preserve">FRANCOSKA REPUBLIKA</w:t>
            </w:r>
          </w:p>
        </w:tc>
      </w:tr>
      <w:tr w:rsidR="00C43AFA" w:rsidRPr="00C32FE3" w14:paraId="3DC6B001" w14:textId="77777777" w:rsidTr="00F21523">
        <w:trPr>
          <w:cantSplit/>
          <w:trHeight w:hRule="exact" w:val="113"/>
        </w:trPr>
        <w:tc>
          <w:tcPr>
            <w:tcW w:w="1527" w:type="dxa"/>
          </w:tcPr>
          <w:p w14:paraId="1C5A5A07" w14:textId="77777777" w:rsidR="00C43AFA" w:rsidRPr="00C32FE3" w:rsidRDefault="00C43AFA" w:rsidP="00187BA0">
            <w:pPr>
              <w:spacing w:after="0" w:line="240" w:lineRule="auto"/>
            </w:pPr>
          </w:p>
        </w:tc>
        <w:tc>
          <w:tcPr>
            <w:tcW w:w="968" w:type="dxa"/>
            <w:tcBorders>
              <w:bottom w:val="single" w:sz="1" w:space="0" w:color="000000"/>
            </w:tcBorders>
          </w:tcPr>
          <w:p w14:paraId="513C75FD" w14:textId="77777777" w:rsidR="00C43AFA" w:rsidRPr="00C32FE3" w:rsidRDefault="00C43AFA" w:rsidP="00187BA0">
            <w:pPr>
              <w:spacing w:after="0" w:line="240" w:lineRule="auto"/>
            </w:pPr>
          </w:p>
        </w:tc>
        <w:tc>
          <w:tcPr>
            <w:tcW w:w="1487" w:type="dxa"/>
          </w:tcPr>
          <w:p w14:paraId="178754A3" w14:textId="77777777" w:rsidR="00C43AFA" w:rsidRPr="00C32FE3" w:rsidRDefault="00C43AFA" w:rsidP="00187BA0">
            <w:pPr>
              <w:spacing w:after="0" w:line="240" w:lineRule="auto"/>
            </w:pPr>
          </w:p>
        </w:tc>
      </w:tr>
      <w:tr w:rsidR="00C43AFA" w:rsidRPr="00C32FE3" w14:paraId="5EF9FE56" w14:textId="77777777" w:rsidTr="00F21523">
        <w:trPr>
          <w:cantSplit/>
        </w:trPr>
        <w:tc>
          <w:tcPr>
            <w:tcW w:w="3982" w:type="dxa"/>
            <w:gridSpan w:val="3"/>
          </w:tcPr>
          <w:p w14:paraId="0A5AF873" w14:textId="77777777" w:rsidR="00C43AFA" w:rsidRPr="00C32FE3" w:rsidRDefault="00C43AFA" w:rsidP="00187BA0">
            <w:pPr>
              <w:pStyle w:val="SNTimbre"/>
            </w:pPr>
            <w:r>
              <w:t xml:space="preserve">Ministrstvo za ekološki prehod</w:t>
            </w:r>
          </w:p>
        </w:tc>
      </w:tr>
      <w:tr w:rsidR="00C43AFA" w:rsidRPr="00C32FE3" w14:paraId="4F3B44EE" w14:textId="77777777" w:rsidTr="00F21523">
        <w:trPr>
          <w:cantSplit/>
          <w:trHeight w:hRule="exact" w:val="227"/>
        </w:trPr>
        <w:tc>
          <w:tcPr>
            <w:tcW w:w="1527" w:type="dxa"/>
          </w:tcPr>
          <w:p w14:paraId="379F09AD" w14:textId="77777777" w:rsidR="00C43AFA" w:rsidRPr="00C32FE3" w:rsidRDefault="00C43AFA" w:rsidP="00187BA0">
            <w:pPr>
              <w:spacing w:after="0" w:line="240" w:lineRule="auto"/>
            </w:pPr>
          </w:p>
        </w:tc>
        <w:tc>
          <w:tcPr>
            <w:tcW w:w="968" w:type="dxa"/>
            <w:tcBorders>
              <w:bottom w:val="single" w:sz="1" w:space="0" w:color="000000"/>
            </w:tcBorders>
          </w:tcPr>
          <w:p w14:paraId="6B4302EB" w14:textId="77777777" w:rsidR="00C43AFA" w:rsidRPr="00C32FE3" w:rsidRDefault="00C43AFA" w:rsidP="00187BA0">
            <w:pPr>
              <w:spacing w:after="0" w:line="240" w:lineRule="auto"/>
            </w:pPr>
          </w:p>
        </w:tc>
        <w:tc>
          <w:tcPr>
            <w:tcW w:w="1487" w:type="dxa"/>
          </w:tcPr>
          <w:p w14:paraId="04D3DFBF" w14:textId="77777777" w:rsidR="00C43AFA" w:rsidRPr="00C32FE3" w:rsidRDefault="00C43AFA" w:rsidP="00187BA0">
            <w:pPr>
              <w:spacing w:after="0" w:line="240" w:lineRule="auto"/>
            </w:pPr>
          </w:p>
        </w:tc>
      </w:tr>
      <w:tr w:rsidR="00C43AFA" w:rsidRPr="00C32FE3" w14:paraId="377331BB" w14:textId="77777777" w:rsidTr="00F21523">
        <w:trPr>
          <w:cantSplit/>
          <w:trHeight w:hRule="exact" w:val="227"/>
        </w:trPr>
        <w:tc>
          <w:tcPr>
            <w:tcW w:w="1527" w:type="dxa"/>
          </w:tcPr>
          <w:p w14:paraId="2FD02E30" w14:textId="77777777" w:rsidR="00C43AFA" w:rsidRPr="00C32FE3" w:rsidRDefault="00C43AFA" w:rsidP="00187BA0">
            <w:pPr>
              <w:spacing w:after="0" w:line="240" w:lineRule="auto"/>
            </w:pPr>
          </w:p>
        </w:tc>
        <w:tc>
          <w:tcPr>
            <w:tcW w:w="968" w:type="dxa"/>
          </w:tcPr>
          <w:p w14:paraId="6088A51A" w14:textId="77777777" w:rsidR="00C43AFA" w:rsidRPr="00C32FE3" w:rsidRDefault="00C43AFA" w:rsidP="00187BA0">
            <w:pPr>
              <w:spacing w:after="0" w:line="240" w:lineRule="auto"/>
            </w:pPr>
          </w:p>
        </w:tc>
        <w:tc>
          <w:tcPr>
            <w:tcW w:w="1487" w:type="dxa"/>
          </w:tcPr>
          <w:p w14:paraId="7532C317" w14:textId="77777777" w:rsidR="00C43AFA" w:rsidRPr="00C32FE3" w:rsidRDefault="00C43AFA" w:rsidP="00187BA0">
            <w:pPr>
              <w:spacing w:after="0" w:line="240" w:lineRule="auto"/>
            </w:pPr>
          </w:p>
        </w:tc>
      </w:tr>
    </w:tbl>
    <w:p w14:paraId="5947ADD2" w14:textId="77777777" w:rsidR="00C43AFA" w:rsidRDefault="00C43AFA" w:rsidP="00187BA0">
      <w:pPr>
        <w:pStyle w:val="SNNature"/>
        <w:spacing w:before="0" w:after="0"/>
      </w:pPr>
    </w:p>
    <w:p w14:paraId="2DE437CB" w14:textId="77777777" w:rsidR="00BF56AE" w:rsidRPr="00C32FE3" w:rsidRDefault="00BF56AE" w:rsidP="00187BA0">
      <w:pPr>
        <w:pStyle w:val="SNNature"/>
        <w:spacing w:before="0" w:after="0"/>
      </w:pPr>
      <w:r>
        <w:t xml:space="preserve">Uredba št.                           z dne</w:t>
      </w:r>
    </w:p>
    <w:p w14:paraId="273D2CCE" w14:textId="77777777" w:rsidR="00BF56AE" w:rsidRDefault="00BF56AE" w:rsidP="00187BA0">
      <w:pPr>
        <w:pStyle w:val="SNtitre"/>
        <w:spacing w:after="0"/>
      </w:pPr>
      <w:r>
        <w:t xml:space="preserve">o minimalnem deležu ponovno uporabljene embalaže, ki se letno da na trg</w:t>
      </w:r>
    </w:p>
    <w:p w14:paraId="70ECAE4E" w14:textId="77777777" w:rsidR="00AB34D5" w:rsidRPr="00AB34D5" w:rsidRDefault="00AB34D5" w:rsidP="00187BA0">
      <w:pPr>
        <w:pStyle w:val="SNNORCentr"/>
      </w:pPr>
    </w:p>
    <w:p w14:paraId="42E7CD83" w14:textId="2387E567" w:rsidR="00BF56AE" w:rsidRPr="00C32FE3" w:rsidRDefault="00BF56AE" w:rsidP="00187BA0">
      <w:pPr>
        <w:pStyle w:val="SNNORCentr"/>
      </w:pPr>
      <w:r>
        <w:t xml:space="preserve">Št.:</w:t>
      </w:r>
      <w:r>
        <w:t xml:space="preserve"> </w:t>
      </w:r>
      <w:r>
        <w:t xml:space="preserve">TREP2109066D</w:t>
      </w:r>
    </w:p>
    <w:p w14:paraId="51C3F913" w14:textId="77777777" w:rsidR="00AB34D5" w:rsidRDefault="00AB34D5" w:rsidP="00187BA0">
      <w:pPr>
        <w:pStyle w:val="SNAutorit"/>
        <w:spacing w:before="0" w:after="0"/>
        <w:jc w:val="both"/>
        <w:rPr>
          <w:i/>
        </w:rPr>
      </w:pPr>
    </w:p>
    <w:p w14:paraId="6637299D" w14:textId="77777777" w:rsidR="00187BA0" w:rsidRDefault="00187BA0" w:rsidP="00187BA0">
      <w:pPr>
        <w:pStyle w:val="SNAutorit"/>
        <w:spacing w:before="0" w:after="0"/>
        <w:jc w:val="both"/>
        <w:rPr>
          <w:b w:val="0"/>
          <w:i/>
        </w:rPr>
      </w:pPr>
      <w:r>
        <w:rPr>
          <w:i/>
        </w:rPr>
        <w:t xml:space="preserve">Ciljne skupine:</w:t>
      </w:r>
      <w:r>
        <w:t xml:space="preserve"> </w:t>
      </w:r>
      <w:r>
        <w:rPr>
          <w:b w:val="0"/>
          <w:i/>
        </w:rPr>
        <w:t xml:space="preserve">proizvajalci embalaže, proizvajalci, uvozniki, distributerji ali drugi prodajalci proizvodov, ki uporabljajo embalažo, ekološke organizacije iz člena L. 541-10, tiste, ki sodelujejo pri dejavnostih ponovne uporabe in predelave.</w:t>
      </w:r>
    </w:p>
    <w:p w14:paraId="6D445276" w14:textId="77777777" w:rsidR="006F7816" w:rsidRPr="00187BA0" w:rsidRDefault="006F7816" w:rsidP="00187BA0">
      <w:pPr>
        <w:pStyle w:val="SNAutorit"/>
        <w:spacing w:before="0" w:after="0"/>
        <w:jc w:val="both"/>
        <w:rPr>
          <w:i/>
        </w:rPr>
      </w:pPr>
    </w:p>
    <w:p w14:paraId="711C5E51" w14:textId="77777777" w:rsidR="00187BA0" w:rsidRPr="00187BA0" w:rsidRDefault="00187BA0" w:rsidP="00187BA0">
      <w:pPr>
        <w:pStyle w:val="SNAutorit"/>
        <w:spacing w:before="0" w:after="0"/>
        <w:jc w:val="both"/>
      </w:pPr>
      <w:r>
        <w:rPr>
          <w:i/>
        </w:rPr>
        <w:t xml:space="preserve">Namen:</w:t>
      </w:r>
      <w:r>
        <w:t xml:space="preserve"> </w:t>
      </w:r>
      <w:r>
        <w:rPr>
          <w:b w:val="0"/>
          <w:i/>
        </w:rPr>
        <w:t xml:space="preserve">minimalni delež ponovno uporabljene embalaže, ki se letno da na trg v Franciji v skladu s členom 67 zakona št. 2020-105 z dne 10. februarja 2020 o boju proti odpadkom in o krožnem gospodarstvu.</w:t>
      </w:r>
    </w:p>
    <w:p w14:paraId="685B4787" w14:textId="77777777" w:rsidR="00187BA0" w:rsidRDefault="00187BA0" w:rsidP="00187BA0">
      <w:pPr>
        <w:pStyle w:val="SNAutorit"/>
        <w:spacing w:before="0" w:after="0"/>
        <w:jc w:val="both"/>
        <w:rPr>
          <w:i/>
        </w:rPr>
      </w:pPr>
    </w:p>
    <w:p w14:paraId="10D3FADC" w14:textId="77777777" w:rsidR="00BF56AE" w:rsidRPr="00C975AF" w:rsidRDefault="00BF56AE" w:rsidP="00187BA0">
      <w:pPr>
        <w:pStyle w:val="SNAutorit"/>
        <w:spacing w:before="0" w:after="0"/>
        <w:jc w:val="both"/>
        <w:rPr>
          <w:b w:val="0"/>
          <w:i/>
        </w:rPr>
      </w:pPr>
      <w:r>
        <w:rPr>
          <w:i/>
        </w:rPr>
        <w:t xml:space="preserve">Začetek veljavnosti: </w:t>
      </w:r>
      <w:r>
        <w:rPr>
          <w:i/>
          <w:b w:val="0"/>
        </w:rPr>
        <w:t xml:space="preserve">uredba začne veljati 1. januarja 2022.</w:t>
      </w:r>
    </w:p>
    <w:p w14:paraId="2F4B8438" w14:textId="77777777" w:rsidR="00AB34D5" w:rsidRDefault="00AB34D5" w:rsidP="00187BA0">
      <w:pPr>
        <w:pStyle w:val="SNAutorit"/>
        <w:spacing w:before="0" w:after="0"/>
        <w:jc w:val="both"/>
        <w:rPr>
          <w:i/>
        </w:rPr>
      </w:pPr>
    </w:p>
    <w:p w14:paraId="7F1C17F4" w14:textId="77777777" w:rsidR="00BF56AE" w:rsidRPr="00214C72" w:rsidRDefault="00BF56AE" w:rsidP="00187BA0">
      <w:pPr>
        <w:pStyle w:val="SNAutorit"/>
        <w:spacing w:before="0" w:after="0"/>
        <w:jc w:val="both"/>
        <w:rPr>
          <w:b w:val="0"/>
          <w:i/>
        </w:rPr>
      </w:pPr>
      <w:r>
        <w:rPr>
          <w:i/>
        </w:rPr>
        <w:t xml:space="preserve">Obvestilo: </w:t>
      </w:r>
      <w:r>
        <w:rPr>
          <w:i/>
          <w:b w:val="0"/>
        </w:rPr>
        <w:t xml:space="preserve">v uredbi je za obdobje 2022–2027 opredeljen minimalni delež ponovno uporabljene embalaže, ki se letno da na trg v Franciji, da se dosežejo cilji ponovne uporabe iz člena L. 541-1 okoljskega zakonika, tj. 5 % leta 2023 in 10 % leta 2027.</w:t>
      </w:r>
      <w:r>
        <w:rPr>
          <w:i/>
          <w:b w:val="0"/>
        </w:rPr>
        <w:t xml:space="preserve"> </w:t>
      </w:r>
      <w:r>
        <w:rPr>
          <w:i/>
          <w:b w:val="0"/>
        </w:rPr>
        <w:t xml:space="preserve">Določa zadevne proizvajalce in navaja možnost, da ti proizvajalci oblikujejo kolektivno strukturo ali se zanesejo na njihovo ekološko organizacijo pri izpolnjevanju obveznosti glede ponovne uporabe embalaže.</w:t>
      </w:r>
    </w:p>
    <w:p w14:paraId="73CFF402" w14:textId="77777777" w:rsidR="00AB34D5" w:rsidRDefault="00AB34D5" w:rsidP="00187BA0">
      <w:pPr>
        <w:pStyle w:val="SNAutorit"/>
        <w:spacing w:before="0" w:after="0"/>
        <w:jc w:val="both"/>
        <w:rPr>
          <w:i/>
        </w:rPr>
      </w:pPr>
    </w:p>
    <w:p w14:paraId="0BD0E10C" w14:textId="77777777" w:rsidR="00BF56AE" w:rsidRPr="000D7A23" w:rsidRDefault="00BF56AE" w:rsidP="00187BA0">
      <w:pPr>
        <w:pStyle w:val="SNAutorit"/>
        <w:spacing w:before="0" w:after="0"/>
        <w:jc w:val="both"/>
        <w:rPr>
          <w:b w:val="0"/>
          <w:i/>
        </w:rPr>
      </w:pPr>
      <w:r>
        <w:rPr>
          <w:i/>
        </w:rPr>
        <w:t xml:space="preserve">Reference: </w:t>
      </w:r>
      <w:r>
        <w:rPr>
          <w:i/>
          <w:b w:val="0"/>
        </w:rPr>
        <w:t xml:space="preserve">okoljski zakonik, kakor je bil spremenjen s to uredbo, je na voljo na spletnem mestu Légifrance (</w:t>
      </w:r>
      <w:hyperlink r:id="rId8" w:history="1">
        <w:r>
          <w:rPr>
            <w:rStyle w:val="Hyperlink"/>
            <w:b w:val="0"/>
            <w:i/>
          </w:rPr>
          <w:t xml:space="preserve">https://www.legifrance.gouv.fr</w:t>
        </w:r>
      </w:hyperlink>
      <w:r>
        <w:rPr>
          <w:b w:val="0"/>
          <w:i/>
        </w:rPr>
        <w:t xml:space="preserve">).</w:t>
      </w:r>
      <w:r>
        <w:rPr>
          <w:b w:val="0"/>
          <w:i/>
        </w:rPr>
        <w:t xml:space="preserve"> </w:t>
      </w:r>
    </w:p>
    <w:p w14:paraId="6756479F" w14:textId="77777777" w:rsidR="00AB34D5" w:rsidRDefault="00AB34D5" w:rsidP="00187BA0">
      <w:pPr>
        <w:pStyle w:val="SNAutorit"/>
        <w:spacing w:before="0" w:after="0"/>
      </w:pPr>
    </w:p>
    <w:p w14:paraId="74069CCA" w14:textId="77777777" w:rsidR="00BF56AE" w:rsidRPr="00C32FE3" w:rsidRDefault="00BF56AE" w:rsidP="00187BA0">
      <w:pPr>
        <w:pStyle w:val="SNAutorit"/>
        <w:spacing w:before="0" w:after="0"/>
      </w:pPr>
      <w:r>
        <w:t xml:space="preserve">Francoski predsednik vlade,</w:t>
      </w:r>
    </w:p>
    <w:p w14:paraId="3CB9DF27" w14:textId="77777777" w:rsidR="00AB34D5" w:rsidRDefault="00AB34D5" w:rsidP="00187BA0">
      <w:pPr>
        <w:pStyle w:val="SNRapport"/>
        <w:spacing w:before="0" w:after="0"/>
        <w:jc w:val="both"/>
      </w:pPr>
    </w:p>
    <w:p w14:paraId="41B2B90E" w14:textId="77777777" w:rsidR="00BF56AE" w:rsidRPr="00C32FE3" w:rsidRDefault="00BF56AE" w:rsidP="00187BA0">
      <w:pPr>
        <w:pStyle w:val="SNRapport"/>
        <w:spacing w:before="0" w:after="0"/>
        <w:jc w:val="both"/>
      </w:pPr>
      <w:r>
        <w:t xml:space="preserve">na podlagi poročila francoskega ministra za ekološki prehod,</w:t>
      </w:r>
    </w:p>
    <w:p w14:paraId="0072186B" w14:textId="77777777" w:rsidR="009666CF" w:rsidRDefault="009666CF" w:rsidP="00A57CCE">
      <w:pPr>
        <w:pStyle w:val="SNVisa"/>
      </w:pPr>
    </w:p>
    <w:p w14:paraId="341F7B8A" w14:textId="77777777" w:rsidR="009666CF" w:rsidRDefault="009666CF" w:rsidP="00A57CCE">
      <w:pPr>
        <w:pStyle w:val="SNVisa"/>
      </w:pPr>
      <w:r>
        <w:t xml:space="preserve">ob upoštevanju Direktive 2008/98/ES Evropskega parlamenta in Sveta z dne 19. novembra 2008 o odpadkih in razveljavitvi nekaterih direktiv, zlasti člena 9;</w:t>
      </w:r>
      <w:r>
        <w:t xml:space="preserve"> </w:t>
      </w:r>
    </w:p>
    <w:p w14:paraId="36D33F97" w14:textId="77777777" w:rsidR="009666CF" w:rsidRDefault="009666CF" w:rsidP="00A57CCE">
      <w:pPr>
        <w:pStyle w:val="SNVisa"/>
      </w:pPr>
    </w:p>
    <w:p w14:paraId="613B5CC2" w14:textId="77777777" w:rsidR="00BF56AE" w:rsidRDefault="00BF56AE" w:rsidP="00A57CCE">
      <w:pPr>
        <w:pStyle w:val="SNVisa"/>
      </w:pPr>
      <w:r>
        <w:t xml:space="preserve">ob upoštevanju Zakona št. 2020-105 z dne 10. februarja 2020 o boju proti odpadkom in krožnem gospodarstvu, zlasti členov 9, 67 in 130 tega zakona;</w:t>
      </w:r>
    </w:p>
    <w:p w14:paraId="3D6258FE" w14:textId="77777777" w:rsidR="00AB34D5" w:rsidRDefault="00AB34D5" w:rsidP="00A57CCE">
      <w:pPr>
        <w:pStyle w:val="SNVisa"/>
      </w:pPr>
    </w:p>
    <w:p w14:paraId="00FCCBF0" w14:textId="7EAE0D3C" w:rsidR="00BF56AE" w:rsidRDefault="00BF56AE" w:rsidP="00A57CCE">
      <w:pPr>
        <w:pStyle w:val="SNVisa"/>
      </w:pPr>
      <w:r>
        <w:t xml:space="preserve">ob upoštevanju okoljskega zakonika, zlasti členov L. 541-1, L. 541-9-6, L. 541-10, L. 541-10-1, L. 541-10-3, L. 541-10-8, L. 541-10-18, L. 541-50, R. 541-128 in R. 543-43;</w:t>
      </w:r>
    </w:p>
    <w:p w14:paraId="35E1F319" w14:textId="77777777" w:rsidR="00A57CCE" w:rsidRDefault="00A57CCE" w:rsidP="00A57CCE">
      <w:pPr>
        <w:pStyle w:val="SNVisa"/>
      </w:pPr>
    </w:p>
    <w:p w14:paraId="6B44A064" w14:textId="3C6DBDC6" w:rsidR="00A57CCE" w:rsidRDefault="00A57CCE" w:rsidP="00A57CCE">
      <w:pPr>
        <w:pStyle w:val="SNVisa"/>
      </w:pPr>
      <w:r>
        <w:t xml:space="preserve">ob upoštevanju francoskega zakonika o podeželskem in morskem ribištvu, zlasti členov od L. 641-1 do L. 641-13;</w:t>
      </w:r>
    </w:p>
    <w:p w14:paraId="7D286A7C" w14:textId="77777777" w:rsidR="00AB34D5" w:rsidRDefault="00AB34D5" w:rsidP="00A57CCE">
      <w:pPr>
        <w:pStyle w:val="SNVisa"/>
      </w:pPr>
    </w:p>
    <w:p w14:paraId="128A0F03" w14:textId="77777777" w:rsidR="00AC1325" w:rsidRDefault="00AC1325" w:rsidP="00A57CCE">
      <w:pPr>
        <w:pStyle w:val="SNVisa"/>
      </w:pPr>
      <w:r>
        <w:t xml:space="preserve">ob upoštevanju obvestila št. </w:t>
      </w:r>
      <w:r>
        <w:rPr>
          <w:highlight w:val="yellow"/>
        </w:rPr>
        <w:t xml:space="preserve">xxx</w:t>
      </w:r>
      <w:r>
        <w:t xml:space="preserve">, naslovljenega na Evropsko komisijo dne </w:t>
      </w:r>
      <w:r>
        <w:rPr>
          <w:highlight w:val="yellow"/>
        </w:rPr>
        <w:t xml:space="preserve">xxx</w:t>
      </w:r>
      <w:r>
        <w:t xml:space="preserve">;</w:t>
      </w:r>
    </w:p>
    <w:p w14:paraId="556E9DC3" w14:textId="77777777" w:rsidR="00AC1325" w:rsidRDefault="00AC1325" w:rsidP="00A57CCE">
      <w:pPr>
        <w:pStyle w:val="SNVisa"/>
      </w:pPr>
    </w:p>
    <w:p w14:paraId="0FA71A1C" w14:textId="4EDB981F" w:rsidR="00BF56AE" w:rsidRDefault="00BF56AE" w:rsidP="00921C73">
      <w:pPr>
        <w:pStyle w:val="SNConsultation"/>
      </w:pPr>
      <w:r>
        <w:t xml:space="preserve">ob upoštevanju ugotovitev javnega posvetovanja med </w:t>
      </w:r>
      <w:r>
        <w:rPr>
          <w:highlight w:val="yellow"/>
        </w:rPr>
        <w:t xml:space="preserve">xxx</w:t>
      </w:r>
      <w:r>
        <w:t xml:space="preserve"> in </w:t>
      </w:r>
      <w:r>
        <w:rPr>
          <w:highlight w:val="yellow"/>
        </w:rPr>
        <w:t xml:space="preserve">xxx</w:t>
      </w:r>
      <w:r>
        <w:t xml:space="preserve"> v skladu s členom L. 123-19-1 okoljskega zakonika;</w:t>
      </w:r>
    </w:p>
    <w:p w14:paraId="5967BEBE" w14:textId="2BFA0F09" w:rsidR="00A57CCE" w:rsidRDefault="00A57CCE" w:rsidP="00921C73">
      <w:pPr>
        <w:pStyle w:val="SNConsultation"/>
      </w:pPr>
    </w:p>
    <w:p w14:paraId="331F9F37" w14:textId="0314E57F" w:rsidR="00A57CCE" w:rsidRDefault="00A57CCE" w:rsidP="00921C73">
      <w:pPr>
        <w:pStyle w:val="SNConsultation"/>
      </w:pPr>
      <w:r>
        <w:t xml:space="preserve">ob upoštevanju mnenja državnega sveta (oddelka za javna dela),</w:t>
      </w:r>
    </w:p>
    <w:p w14:paraId="54A96061" w14:textId="000E7FB1" w:rsidR="00921C73" w:rsidRDefault="00921C73" w:rsidP="00921C73">
      <w:pPr>
        <w:pStyle w:val="SNConsultation"/>
      </w:pPr>
    </w:p>
    <w:p w14:paraId="18A1569A" w14:textId="664A8EAE" w:rsidR="00D8707E" w:rsidRDefault="009D168F" w:rsidP="003D24BC">
      <w:pPr>
        <w:spacing w:after="0" w:line="240" w:lineRule="auto"/>
        <w:ind w:left="709"/>
        <w:rPr>
          <w:sz w:val="24"/>
          <w:szCs w:val="24"/>
          <w:rFonts w:ascii="Times New Roman" w:eastAsia="Lucida Sans Unicode" w:hAnsi="Times New Roman" w:cs="Times New Roman"/>
        </w:rPr>
      </w:pPr>
      <w:r>
        <w:rPr>
          <w:sz w:val="24"/>
          <w:rFonts w:ascii="Times New Roman" w:hAnsi="Times New Roman"/>
        </w:rPr>
        <w:t xml:space="preserve">s tem odreja:</w:t>
      </w:r>
    </w:p>
    <w:p w14:paraId="56911ECC" w14:textId="77777777" w:rsidR="009D168F" w:rsidRPr="00BF55F5" w:rsidRDefault="009D168F" w:rsidP="00187BA0">
      <w:pPr>
        <w:spacing w:after="0" w:line="240" w:lineRule="auto"/>
        <w:rPr>
          <w:rFonts w:ascii="Times New Roman" w:eastAsia="Lucida Sans Unicode" w:hAnsi="Times New Roman" w:cs="Times New Roman"/>
          <w:sz w:val="24"/>
          <w:szCs w:val="24"/>
          <w:lang w:eastAsia="fr-FR"/>
        </w:rPr>
      </w:pPr>
    </w:p>
    <w:p w14:paraId="00840ECB" w14:textId="77777777" w:rsidR="00807CC7" w:rsidRDefault="00807CC7" w:rsidP="00187BA0">
      <w:pPr>
        <w:spacing w:after="0" w:line="240" w:lineRule="auto"/>
        <w:jc w:val="center"/>
        <w:rPr>
          <w:rFonts w:ascii="Times New Roman" w:eastAsia="Times New Roman" w:hAnsi="Times New Roman" w:cs="Times New Roman"/>
          <w:b/>
          <w:sz w:val="24"/>
          <w:szCs w:val="24"/>
          <w:u w:val="single"/>
          <w:lang w:eastAsia="fr-FR"/>
        </w:rPr>
      </w:pPr>
    </w:p>
    <w:p w14:paraId="653821BD" w14:textId="77777777" w:rsidR="00C271D8" w:rsidRPr="00782886" w:rsidRDefault="00C271D8" w:rsidP="00187BA0">
      <w:pPr>
        <w:spacing w:after="0" w:line="240" w:lineRule="auto"/>
        <w:jc w:val="center"/>
        <w:rPr>
          <w:b/>
          <w:sz w:val="24"/>
          <w:szCs w:val="24"/>
          <w:u w:val="single"/>
          <w:rFonts w:ascii="Times New Roman" w:eastAsia="Times New Roman" w:hAnsi="Times New Roman" w:cs="Times New Roman"/>
        </w:rPr>
      </w:pPr>
      <w:r>
        <w:rPr>
          <w:b/>
          <w:sz w:val="24"/>
          <w:u w:val="single"/>
          <w:rFonts w:ascii="Times New Roman" w:hAnsi="Times New Roman"/>
        </w:rPr>
        <w:t xml:space="preserve">Člen 1</w:t>
      </w:r>
    </w:p>
    <w:p w14:paraId="35733F01" w14:textId="2B3078EA" w:rsidR="00366B6B" w:rsidRDefault="00366B6B" w:rsidP="00187BA0">
      <w:pPr>
        <w:spacing w:after="0" w:line="240" w:lineRule="auto"/>
        <w:jc w:val="both"/>
        <w:rPr>
          <w:rFonts w:ascii="Times New Roman" w:hAnsi="Times New Roman" w:cs="Times New Roman"/>
          <w:sz w:val="24"/>
          <w:szCs w:val="24"/>
        </w:rPr>
      </w:pPr>
    </w:p>
    <w:p w14:paraId="49AED7A6" w14:textId="5CEF0B57" w:rsidR="00F1452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Oddelek 10 poglavja I naslova IV knjige V okoljskega zakonika je dopolnjen s pododdelkom 7, ki se glasi:</w:t>
      </w:r>
    </w:p>
    <w:p w14:paraId="673FB6D0" w14:textId="77777777" w:rsidR="00F14525" w:rsidRDefault="00F14525" w:rsidP="00187BA0">
      <w:pPr>
        <w:spacing w:after="0" w:line="240" w:lineRule="auto"/>
        <w:jc w:val="both"/>
        <w:rPr>
          <w:rFonts w:ascii="Times New Roman" w:hAnsi="Times New Roman" w:cs="Times New Roman"/>
          <w:sz w:val="24"/>
          <w:szCs w:val="24"/>
        </w:rPr>
      </w:pPr>
    </w:p>
    <w:p w14:paraId="7D9B7342" w14:textId="30D6E42C" w:rsidR="008958DF" w:rsidRDefault="00F14525" w:rsidP="00187BA0">
      <w:pPr>
        <w:spacing w:after="0" w:line="240" w:lineRule="auto"/>
        <w:jc w:val="both"/>
        <w:rPr>
          <w:sz w:val="24"/>
          <w:szCs w:val="24"/>
          <w:rFonts w:ascii="Times New Roman" w:hAnsi="Times New Roman" w:cs="Times New Roman"/>
        </w:rPr>
      </w:pPr>
      <w:r>
        <w:rPr>
          <w:sz w:val="24"/>
          <w:rFonts w:ascii="Times New Roman" w:hAnsi="Times New Roman"/>
        </w:rPr>
        <w:t xml:space="preserve">„Pododdelek 7 – Ponovna uporaba embalaže</w:t>
      </w:r>
    </w:p>
    <w:p w14:paraId="6EBB86D5" w14:textId="77777777" w:rsidR="008958DF" w:rsidRDefault="008958DF" w:rsidP="00187BA0">
      <w:pPr>
        <w:spacing w:after="0" w:line="240" w:lineRule="auto"/>
        <w:jc w:val="both"/>
        <w:rPr>
          <w:rFonts w:ascii="Times New Roman" w:hAnsi="Times New Roman" w:cs="Times New Roman"/>
          <w:sz w:val="24"/>
          <w:szCs w:val="24"/>
        </w:rPr>
      </w:pPr>
    </w:p>
    <w:p w14:paraId="2144EB86" w14:textId="1A7B68F0" w:rsidR="006C2522" w:rsidRDefault="008958DF" w:rsidP="00187BA0">
      <w:pPr>
        <w:spacing w:after="0" w:line="240" w:lineRule="auto"/>
        <w:jc w:val="both"/>
        <w:rPr>
          <w:sz w:val="24"/>
          <w:szCs w:val="24"/>
          <w:rFonts w:ascii="Times New Roman" w:hAnsi="Times New Roman" w:cs="Times New Roman"/>
        </w:rPr>
      </w:pPr>
      <w:r>
        <w:rPr>
          <w:sz w:val="24"/>
          <w:rFonts w:ascii="Times New Roman" w:hAnsi="Times New Roman"/>
        </w:rPr>
        <w:t xml:space="preserve">Člen R. 541–370.</w:t>
      </w:r>
      <w:r>
        <w:rPr>
          <w:sz w:val="24"/>
          <w:rFonts w:ascii="Times New Roman" w:hAnsi="Times New Roman"/>
        </w:rPr>
        <w:t xml:space="preserve"> </w:t>
      </w:r>
      <w:r>
        <w:rPr>
          <w:sz w:val="24"/>
          <w:rFonts w:ascii="Times New Roman" w:hAnsi="Times New Roman"/>
        </w:rPr>
        <w:t xml:space="preserve">– Za namene člena L. 541-1(III) in v smislu tega pododdelka se uporabljajo naslednje opredelitve pojmov:</w:t>
      </w:r>
    </w:p>
    <w:p w14:paraId="6C0C2534" w14:textId="77777777" w:rsidR="006C2522" w:rsidRDefault="006C2522" w:rsidP="00187BA0">
      <w:pPr>
        <w:spacing w:after="0" w:line="240" w:lineRule="auto"/>
        <w:jc w:val="both"/>
        <w:rPr>
          <w:rFonts w:ascii="Times New Roman" w:hAnsi="Times New Roman" w:cs="Times New Roman"/>
          <w:sz w:val="24"/>
          <w:szCs w:val="24"/>
        </w:rPr>
      </w:pPr>
    </w:p>
    <w:p w14:paraId="28FC3E91" w14:textId="5327DF8D" w:rsidR="00814CE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„Embalaža“, ki izpolnjuje pogoje iz člena R. 543-43 okoljskega zakonika in je navedena v členu L. 541-10-1(1) in (2);</w:t>
      </w:r>
    </w:p>
    <w:p w14:paraId="6FF9121F" w14:textId="77777777" w:rsidR="006C2522" w:rsidRDefault="006C2522" w:rsidP="00187BA0">
      <w:pPr>
        <w:spacing w:after="0" w:line="240" w:lineRule="auto"/>
        <w:jc w:val="both"/>
        <w:rPr>
          <w:rFonts w:ascii="Times New Roman" w:hAnsi="Times New Roman" w:cs="Times New Roman"/>
          <w:sz w:val="24"/>
          <w:szCs w:val="24"/>
        </w:rPr>
      </w:pPr>
    </w:p>
    <w:p w14:paraId="41391A1C" w14:textId="5211433A" w:rsidR="006C2522"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„Proizvajalec“,</w:t>
      </w:r>
      <w:r>
        <w:t xml:space="preserve"> </w:t>
      </w:r>
      <w:r>
        <w:rPr>
          <w:sz w:val="24"/>
          <w:rFonts w:ascii="Times New Roman" w:hAnsi="Times New Roman"/>
        </w:rPr>
        <w:t xml:space="preserve">vsaka oseba, ki profesionalno pakira ali je svoje proizvode pakirala za namen dajanja na trg, vsak uvoznik, katerega izdelki se tržijo v embalaži, ali, če proizvajalca ali uvoznika ni mogoče identificirati, oseba, odgovorna za prvo dajanje takih proizvodov na trg;</w:t>
      </w:r>
    </w:p>
    <w:p w14:paraId="46AB7EE9" w14:textId="77777777" w:rsidR="00642318" w:rsidRDefault="00642318" w:rsidP="00187BA0">
      <w:pPr>
        <w:spacing w:after="0" w:line="240" w:lineRule="auto"/>
        <w:jc w:val="both"/>
        <w:rPr>
          <w:rFonts w:ascii="Times New Roman" w:hAnsi="Times New Roman" w:cs="Times New Roman"/>
          <w:sz w:val="24"/>
          <w:szCs w:val="24"/>
        </w:rPr>
      </w:pPr>
    </w:p>
    <w:p w14:paraId="3C308936" w14:textId="4C5E7C2D" w:rsidR="00A62B56" w:rsidRPr="00AA30CE" w:rsidRDefault="002253EB" w:rsidP="00476913">
      <w:pPr>
        <w:spacing w:after="0" w:line="240" w:lineRule="auto"/>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„Ponovno uporabljena embalaža“, embalaža, ki je predmet vsaj ene druge uporabe za uporabo, ki je enaka tisti, za katero je bila zasnovana, in katere ponovno uporabo ali predelavo organizira proizvajalec ali se organizira v njegovem imenu.</w:t>
      </w:r>
      <w:r>
        <w:rPr>
          <w:sz w:val="24"/>
          <w:rFonts w:ascii="Times New Roman" w:hAnsi="Times New Roman"/>
        </w:rPr>
        <w:t xml:space="preserve"> </w:t>
      </w:r>
      <w:r>
        <w:rPr>
          <w:sz w:val="24"/>
          <w:rFonts w:ascii="Times New Roman" w:hAnsi="Times New Roman"/>
        </w:rPr>
        <w:t xml:space="preserve">Paket, ki je predmet vsaj ene druge uporabe, tako da se napolni na prodajnem mestu kot del prodaje v razsutem stanju ali doma v primeru naprave za ponovno polnjenje</w:t>
      </w:r>
      <w:r>
        <w:rPr>
          <w:sz w:val="24"/>
          <w:rFonts w:ascii="Times New Roman" w:hAnsi="Times New Roman"/>
        </w:rPr>
        <w:t xml:space="preserve">, ki jo organizira proizvajalec, se šteje za ponovno uporabljenega.</w:t>
      </w:r>
    </w:p>
    <w:p w14:paraId="5A05CC17" w14:textId="77777777" w:rsidR="003F22D4" w:rsidRPr="00AA30CE" w:rsidRDefault="003F22D4" w:rsidP="00B74777">
      <w:pPr>
        <w:spacing w:after="0" w:line="240" w:lineRule="auto"/>
        <w:jc w:val="both"/>
        <w:rPr>
          <w:rFonts w:ascii="Times New Roman" w:hAnsi="Times New Roman" w:cs="Times New Roman"/>
          <w:sz w:val="24"/>
          <w:szCs w:val="24"/>
        </w:rPr>
      </w:pPr>
    </w:p>
    <w:p w14:paraId="097CC865" w14:textId="7EE25A2D" w:rsidR="00A434B1" w:rsidRPr="00AA30CE" w:rsidRDefault="002253EB" w:rsidP="00871620">
      <w:pPr>
        <w:spacing w:after="0" w:line="240" w:lineRule="auto"/>
        <w:jc w:val="both"/>
        <w:rPr>
          <w:sz w:val="24"/>
          <w:szCs w:val="24"/>
          <w:rFonts w:ascii="Times New Roman" w:hAnsi="Times New Roman" w:cs="Times New Roman"/>
        </w:rPr>
      </w:pPr>
      <w:r>
        <w:rPr>
          <w:sz w:val="24"/>
          <w:rFonts w:ascii="Times New Roman" w:hAnsi="Times New Roman"/>
        </w:rPr>
        <w:t xml:space="preserve">Člen R. 541–371.</w:t>
      </w:r>
      <w:r>
        <w:rPr>
          <w:sz w:val="24"/>
          <w:rFonts w:ascii="Times New Roman" w:hAnsi="Times New Roman"/>
        </w:rPr>
        <w:t xml:space="preserve"> </w:t>
      </w:r>
      <w:r>
        <w:rPr>
          <w:sz w:val="24"/>
          <w:rFonts w:ascii="Times New Roman" w:hAnsi="Times New Roman"/>
        </w:rPr>
        <w:t xml:space="preserve">– I. – Minimalni delež ponovno uporabljene embalaže, ki se letno da na trg v skladu s členom L. 541-1(III), je naslednji:</w:t>
      </w:r>
    </w:p>
    <w:p w14:paraId="13208BBB" w14:textId="77777777" w:rsidR="00A434B1" w:rsidRPr="00AA30CE" w:rsidRDefault="00A434B1" w:rsidP="00187BA0">
      <w:pPr>
        <w:spacing w:after="0" w:line="240" w:lineRule="auto"/>
        <w:jc w:val="both"/>
        <w:rPr>
          <w:rFonts w:ascii="Times New Roman" w:hAnsi="Times New Roman" w:cs="Times New Roman"/>
          <w:sz w:val="24"/>
          <w:szCs w:val="24"/>
        </w:rPr>
      </w:pPr>
    </w:p>
    <w:p w14:paraId="629D51E2" w14:textId="638BDC41" w:rsidR="00624CF6" w:rsidRPr="00AA30CE" w:rsidRDefault="002253EB" w:rsidP="005D7C0E">
      <w:pPr>
        <w:pStyle w:val="ListParagraph"/>
        <w:spacing w:after="0" w:line="240" w:lineRule="auto"/>
        <w:jc w:val="both"/>
        <w:rPr>
          <w:sz w:val="24"/>
          <w:szCs w:val="24"/>
          <w:rFonts w:ascii="Times New Roman" w:hAnsi="Times New Roman" w:cs="Times New Roman"/>
        </w:rPr>
      </w:pPr>
      <w:r>
        <w:rPr>
          <w:sz w:val="24"/>
          <w:rFonts w:ascii="Times New Roman" w:hAnsi="Times New Roman"/>
        </w:rPr>
        <w:t xml:space="preserve">– 1,5 % v letu 2022;</w:t>
      </w:r>
    </w:p>
    <w:p w14:paraId="485B39D8" w14:textId="639C2DB6"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5 % v letu 2023;</w:t>
      </w:r>
    </w:p>
    <w:p w14:paraId="6EC6FF23" w14:textId="078D8D59"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6 % v letu 2024;</w:t>
      </w:r>
    </w:p>
    <w:p w14:paraId="6336E297" w14:textId="5C7439B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7 % v letu 2025;</w:t>
      </w:r>
    </w:p>
    <w:p w14:paraId="4B9FA4E1" w14:textId="71D80084"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8 % v letu 2026;</w:t>
      </w:r>
    </w:p>
    <w:p w14:paraId="46852667" w14:textId="720F2AD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10 % v letu 2027.</w:t>
      </w:r>
    </w:p>
    <w:p w14:paraId="7D1F0F03" w14:textId="77777777" w:rsidR="003F22D4" w:rsidRPr="00AA30CE" w:rsidRDefault="003F22D4" w:rsidP="002253EB">
      <w:pPr>
        <w:spacing w:after="0" w:line="240" w:lineRule="auto"/>
        <w:jc w:val="both"/>
        <w:rPr>
          <w:rFonts w:ascii="Times New Roman" w:hAnsi="Times New Roman" w:cs="Times New Roman"/>
          <w:sz w:val="24"/>
          <w:szCs w:val="24"/>
        </w:rPr>
      </w:pPr>
    </w:p>
    <w:p w14:paraId="2B8FDEE0" w14:textId="41ED053E"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Ta cilj in določbe tega pododdelka ne vplivajo na naslednje:</w:t>
      </w:r>
    </w:p>
    <w:p w14:paraId="496609B9" w14:textId="77777777" w:rsidR="006467A9" w:rsidRPr="00AA30CE" w:rsidRDefault="006467A9" w:rsidP="00187BA0">
      <w:pPr>
        <w:spacing w:after="0" w:line="240" w:lineRule="auto"/>
        <w:jc w:val="both"/>
        <w:rPr>
          <w:rFonts w:ascii="Times New Roman" w:hAnsi="Times New Roman" w:cs="Times New Roman"/>
          <w:sz w:val="24"/>
          <w:szCs w:val="24"/>
        </w:rPr>
      </w:pPr>
    </w:p>
    <w:p w14:paraId="6A8FC995" w14:textId="00E11695"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Embalaža proizvodov, za katere nacionalna zakonodaja, zakonodaja Skupnosti ali regulativna določba prepoveduje ponovno uporabo ali ponovno uporabo takšne embalaže zaradi zdravstvenih ali varnostnih zahtev</w:t>
      </w:r>
      <w:r>
        <w:t xml:space="preserve"> </w:t>
      </w:r>
      <w:r>
        <w:rPr>
          <w:sz w:val="24"/>
          <w:rFonts w:ascii="Times New Roman" w:hAnsi="Times New Roman"/>
        </w:rPr>
        <w:t xml:space="preserve">potrošnika;</w:t>
      </w:r>
    </w:p>
    <w:p w14:paraId="29354EFE" w14:textId="77777777" w:rsidR="00C35960" w:rsidRPr="00AA30CE" w:rsidRDefault="00C35960" w:rsidP="00187BA0">
      <w:pPr>
        <w:spacing w:after="0" w:line="240" w:lineRule="auto"/>
        <w:jc w:val="both"/>
        <w:rPr>
          <w:rFonts w:ascii="Times New Roman" w:hAnsi="Times New Roman" w:cs="Times New Roman"/>
          <w:sz w:val="24"/>
          <w:szCs w:val="24"/>
        </w:rPr>
      </w:pPr>
    </w:p>
    <w:p w14:paraId="7D243565" w14:textId="321BEE97"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Do 1. januarja 2024 embalaža proizvodov, za katere specifikacije za znake kakovosti in porekla iz členov od L. 641-1 do L. 641-13 zakonika o podeželskem in morskem ribištvu prepovedujejo ponovno uporabo ali predelavo njihove embalaže.</w:t>
      </w:r>
    </w:p>
    <w:p w14:paraId="71215CB3" w14:textId="77777777" w:rsidR="00A25624" w:rsidRPr="00AA30CE" w:rsidRDefault="00A25624" w:rsidP="00187BA0">
      <w:pPr>
        <w:spacing w:after="0" w:line="240" w:lineRule="auto"/>
        <w:jc w:val="both"/>
        <w:rPr>
          <w:rFonts w:ascii="Times New Roman" w:hAnsi="Times New Roman" w:cs="Times New Roman"/>
          <w:sz w:val="24"/>
          <w:szCs w:val="24"/>
        </w:rPr>
      </w:pPr>
    </w:p>
    <w:p w14:paraId="0CE16C4F" w14:textId="740A677D" w:rsidR="003F3509" w:rsidRPr="00AA30CE" w:rsidRDefault="002253EB">
      <w:pPr>
        <w:spacing w:after="0" w:line="240" w:lineRule="auto"/>
        <w:jc w:val="both"/>
        <w:rPr>
          <w:sz w:val="24"/>
          <w:szCs w:val="24"/>
          <w:rFonts w:ascii="Times New Roman" w:hAnsi="Times New Roman" w:cs="Times New Roman"/>
        </w:rPr>
      </w:pPr>
      <w:r>
        <w:rPr>
          <w:sz w:val="24"/>
          <w:rFonts w:ascii="Times New Roman" w:hAnsi="Times New Roman"/>
        </w:rPr>
        <w:t xml:space="preserve">III. – Merska enota ponovno uporabljene embalaže ustreza kateri koli primarni, sekundarni ali terciarni embalaži.</w:t>
      </w:r>
      <w:r>
        <w:rPr>
          <w:sz w:val="24"/>
          <w:rFonts w:ascii="Times New Roman" w:hAnsi="Times New Roman"/>
        </w:rPr>
        <w:t xml:space="preserve"> </w:t>
      </w:r>
    </w:p>
    <w:p w14:paraId="3F04B8D7" w14:textId="77777777" w:rsidR="003F3509" w:rsidRPr="00AA30CE" w:rsidRDefault="00205EE6" w:rsidP="00413B02">
      <w:pPr>
        <w:spacing w:after="0" w:line="240" w:lineRule="auto"/>
        <w:jc w:val="both"/>
        <w:rPr>
          <w:sz w:val="24"/>
          <w:szCs w:val="24"/>
          <w:rFonts w:ascii="Times New Roman" w:hAnsi="Times New Roman" w:cs="Times New Roman"/>
        </w:rPr>
      </w:pPr>
      <w:r>
        <w:rPr>
          <w:sz w:val="24"/>
          <w:rFonts w:ascii="Times New Roman" w:hAnsi="Times New Roman"/>
        </w:rPr>
        <w:t xml:space="preserve"> </w:t>
      </w:r>
    </w:p>
    <w:p w14:paraId="3333D50A" w14:textId="2FFAEC64" w:rsidR="00F43519" w:rsidRPr="00AA30CE" w:rsidRDefault="002253EB" w:rsidP="003F3509">
      <w:pPr>
        <w:spacing w:after="0" w:line="240" w:lineRule="auto"/>
        <w:jc w:val="both"/>
        <w:rPr>
          <w:sz w:val="24"/>
          <w:szCs w:val="24"/>
          <w:rFonts w:ascii="Times New Roman" w:hAnsi="Times New Roman" w:cs="Times New Roman"/>
        </w:rPr>
      </w:pPr>
      <w:r>
        <w:rPr>
          <w:sz w:val="24"/>
          <w:rFonts w:ascii="Times New Roman" w:hAnsi="Times New Roman"/>
        </w:rPr>
        <w:t xml:space="preserve">Proizvajalec pa lahko za ponovno uporabljeno embalažo sprejme drugo mersko enoto, ki ustreza enakovredni zmogljivosti, če lahko utemelji, da je taka enakovredna merska enota primernejša za pakirane proizvode.</w:t>
      </w:r>
      <w:r>
        <w:rPr>
          <w:sz w:val="24"/>
          <w:rFonts w:ascii="Times New Roman" w:hAnsi="Times New Roman"/>
        </w:rPr>
        <w:t xml:space="preserve"> </w:t>
      </w:r>
      <w:r>
        <w:rPr>
          <w:sz w:val="24"/>
          <w:rFonts w:ascii="Times New Roman" w:hAnsi="Times New Roman"/>
        </w:rPr>
        <w:t xml:space="preserve">V tem primeru mora merska enota ustrezati zmogljivosti, ki je enakovredna prostornini 0,5 litra za tekočine, sicer pa teži 0,5 kilograma.</w:t>
      </w:r>
    </w:p>
    <w:p w14:paraId="6680BEAA" w14:textId="77777777" w:rsidR="00413B02" w:rsidRPr="00AA30CE" w:rsidRDefault="00413B02" w:rsidP="00413B02">
      <w:pPr>
        <w:spacing w:after="0" w:line="240" w:lineRule="auto"/>
        <w:jc w:val="both"/>
        <w:rPr>
          <w:rFonts w:ascii="Times New Roman" w:hAnsi="Times New Roman" w:cs="Times New Roman"/>
          <w:sz w:val="24"/>
          <w:szCs w:val="24"/>
        </w:rPr>
      </w:pPr>
    </w:p>
    <w:p w14:paraId="741F7E62" w14:textId="2962342C" w:rsidR="00A233C5" w:rsidRPr="00AA30CE" w:rsidRDefault="002253EB" w:rsidP="00B74777">
      <w:pPr>
        <w:spacing w:after="0" w:line="240" w:lineRule="auto"/>
        <w:jc w:val="both"/>
        <w:rPr>
          <w:sz w:val="24"/>
          <w:szCs w:val="24"/>
          <w:rFonts w:ascii="Times New Roman" w:hAnsi="Times New Roman" w:cs="Times New Roman"/>
        </w:rPr>
      </w:pPr>
      <w:r>
        <w:rPr>
          <w:sz w:val="24"/>
          <w:rFonts w:ascii="Times New Roman" w:hAnsi="Times New Roman"/>
        </w:rPr>
        <w:t xml:space="preserve">IV. – Opazovalna skupina za ponovno uporabo in predelavo izvaja študijo do 1. decembra 2022, da bi opredelila obstoječe stopnje napredovanja različnih tokov embalaže in kategorij proizvodov.</w:t>
      </w:r>
      <w:r>
        <w:rPr>
          <w:sz w:val="24"/>
          <w:rFonts w:ascii="Times New Roman" w:hAnsi="Times New Roman"/>
        </w:rPr>
        <w:t xml:space="preserve"> </w:t>
      </w:r>
      <w:r>
        <w:rPr>
          <w:sz w:val="24"/>
          <w:rFonts w:ascii="Times New Roman" w:hAnsi="Times New Roman"/>
        </w:rPr>
        <w:t xml:space="preserve">Cilji, določeni v točki I, se lahko ustrezno spremenijo.</w:t>
      </w:r>
    </w:p>
    <w:p w14:paraId="774074C0" w14:textId="77777777" w:rsidR="00B74777" w:rsidRPr="00AA30CE" w:rsidRDefault="00B74777" w:rsidP="00B74777">
      <w:pPr>
        <w:spacing w:after="0" w:line="240" w:lineRule="auto"/>
        <w:jc w:val="both"/>
        <w:rPr>
          <w:rFonts w:ascii="Times New Roman" w:hAnsi="Times New Roman" w:cs="Times New Roman"/>
          <w:sz w:val="24"/>
          <w:szCs w:val="24"/>
        </w:rPr>
      </w:pPr>
    </w:p>
    <w:p w14:paraId="399E3BE6" w14:textId="03FEFD9A"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Člen R. 541–372.</w:t>
      </w:r>
      <w:r>
        <w:rPr>
          <w:sz w:val="24"/>
          <w:rFonts w:ascii="Times New Roman" w:hAnsi="Times New Roman"/>
        </w:rPr>
        <w:t xml:space="preserve"> </w:t>
      </w:r>
      <w:r>
        <w:rPr>
          <w:sz w:val="24"/>
          <w:rFonts w:ascii="Times New Roman" w:hAnsi="Times New Roman"/>
        </w:rPr>
        <w:t xml:space="preserve">– I. – Za namene člena L. 541-1(III) so osebe, ki morajo izpolnjevati minimalne deleže ponovno uporabljene embalaže iz člena R. 541-371, proizvajalci, odgovorni za dajanje na trg vsaj 10 000 enot pakiranih proizvodov na leto in za prijavo letnega prometa, ki presega naslednje vrednosti:</w:t>
      </w:r>
    </w:p>
    <w:p w14:paraId="2E28EEE8" w14:textId="781B951D"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50 milijonov EUR do 31. decembra 2024;</w:t>
      </w:r>
    </w:p>
    <w:p w14:paraId="0FEDC01B" w14:textId="0BEE314A" w:rsidR="00496410"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20 milijonov EUR od 1. januarja 2025 do 31. decembra 2025;</w:t>
      </w:r>
    </w:p>
    <w:p w14:paraId="0FD6637E" w14:textId="4BE59A0E" w:rsidR="00D05C46" w:rsidRPr="00AA30CE" w:rsidRDefault="00496410" w:rsidP="00187BA0">
      <w:pPr>
        <w:spacing w:after="0" w:line="240" w:lineRule="auto"/>
        <w:jc w:val="both"/>
        <w:rPr>
          <w:sz w:val="24"/>
          <w:szCs w:val="24"/>
          <w:rFonts w:ascii="Times New Roman" w:hAnsi="Times New Roman" w:cs="Times New Roman"/>
        </w:rPr>
      </w:pPr>
      <w:r>
        <w:rPr>
          <w:sz w:val="24"/>
          <w:rFonts w:ascii="Times New Roman" w:hAnsi="Times New Roman"/>
        </w:rPr>
        <w:t xml:space="preserve">od 1. januarja 2026 se merilo letnega prometa uporablja brez praga.</w:t>
      </w:r>
    </w:p>
    <w:p w14:paraId="7D2F155B" w14:textId="77777777" w:rsidR="008612AE" w:rsidRPr="00AA30CE" w:rsidRDefault="008612AE" w:rsidP="00187BA0">
      <w:pPr>
        <w:spacing w:after="0" w:line="240" w:lineRule="auto"/>
        <w:jc w:val="both"/>
        <w:rPr>
          <w:rFonts w:ascii="Times New Roman" w:hAnsi="Times New Roman" w:cs="Times New Roman"/>
          <w:sz w:val="24"/>
          <w:szCs w:val="24"/>
        </w:rPr>
      </w:pPr>
    </w:p>
    <w:p w14:paraId="4806D3ED" w14:textId="4CE48103" w:rsidR="007456D4"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Vsak proizvajalec iz I tega člena se lahko odloči za sodelovanje z drugimi zadevnimi proizvajalci pri vzpostavitvi kolektivne strukture za združevanje in izvajanje ukrepov, potrebnih za dajanje ponovno uporabljene embalaže na trg.</w:t>
      </w:r>
      <w:r>
        <w:rPr>
          <w:sz w:val="24"/>
          <w:rFonts w:ascii="Times New Roman" w:hAnsi="Times New Roman"/>
        </w:rPr>
        <w:t xml:space="preserve"> </w:t>
      </w:r>
    </w:p>
    <w:p w14:paraId="0EBB7FF8" w14:textId="77777777" w:rsidR="007456D4" w:rsidRPr="00AA30CE" w:rsidRDefault="007456D4" w:rsidP="00187BA0">
      <w:pPr>
        <w:spacing w:after="0" w:line="240" w:lineRule="auto"/>
        <w:jc w:val="both"/>
        <w:rPr>
          <w:rFonts w:ascii="Times New Roman" w:hAnsi="Times New Roman" w:cs="Times New Roman"/>
          <w:sz w:val="24"/>
          <w:szCs w:val="24"/>
        </w:rPr>
      </w:pPr>
    </w:p>
    <w:p w14:paraId="6143F1BC" w14:textId="2D36AC46" w:rsidR="007456D4"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V obravnavanem primeru so proizvajalci, ki so člani kolektivne strukture, solidarno odgovorni za spoštovanje letnega cilja, ki ustreza vsoti minimalnih deležev ponovno uporabljene embalaže, ki jo na trg dajo vsi proizvajalci člani.</w:t>
      </w:r>
      <w:r>
        <w:rPr>
          <w:sz w:val="24"/>
          <w:rFonts w:ascii="Times New Roman" w:hAnsi="Times New Roman"/>
        </w:rPr>
        <w:t xml:space="preserve">  </w:t>
      </w:r>
    </w:p>
    <w:p w14:paraId="1E211F17" w14:textId="77777777" w:rsidR="00CA0250" w:rsidRPr="00AA30CE" w:rsidRDefault="00CA0250" w:rsidP="00187BA0">
      <w:pPr>
        <w:spacing w:after="0" w:line="240" w:lineRule="auto"/>
        <w:jc w:val="both"/>
        <w:rPr>
          <w:rFonts w:ascii="Times New Roman" w:hAnsi="Times New Roman" w:cs="Times New Roman"/>
          <w:sz w:val="24"/>
          <w:szCs w:val="24"/>
        </w:rPr>
      </w:pPr>
    </w:p>
    <w:p w14:paraId="4D562BBD" w14:textId="3CEEFE6E" w:rsidR="00331FAC"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III. – Ekološke organizacije, odobrene za embalažo iz člena L. 541-10-1(1) in (2) okoljskega zakonika, lahko proizvajalcem, na katere se nanaša obveznost dajanja na trg minimalnega deleža ponovno uporabljene embalaže, vključno z embalažo, ki ni zajeta v njihovi odobritvi, predlagajo, da prevzamejo vlogo kolektivne strukture iz II. Ekološke organizacije posredujejo pod pogoji, določenimi v drugem pododstavku II.</w:t>
      </w:r>
    </w:p>
    <w:p w14:paraId="160CFB48" w14:textId="77777777" w:rsidR="003F19A6" w:rsidRPr="00AA30CE" w:rsidRDefault="003F19A6" w:rsidP="00187BA0">
      <w:pPr>
        <w:spacing w:after="0" w:line="240" w:lineRule="auto"/>
        <w:jc w:val="both"/>
        <w:rPr>
          <w:rFonts w:ascii="Times New Roman" w:hAnsi="Times New Roman" w:cs="Times New Roman"/>
          <w:sz w:val="24"/>
          <w:szCs w:val="24"/>
        </w:rPr>
      </w:pPr>
    </w:p>
    <w:p w14:paraId="79280D5C" w14:textId="257BCC4D" w:rsidR="00BA72E9"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Člen R. 541–373.</w:t>
      </w:r>
      <w:r>
        <w:rPr>
          <w:sz w:val="24"/>
          <w:rFonts w:ascii="Times New Roman" w:hAnsi="Times New Roman"/>
        </w:rPr>
        <w:t xml:space="preserve"> </w:t>
      </w:r>
      <w:r>
        <w:rPr>
          <w:sz w:val="24"/>
          <w:rFonts w:ascii="Times New Roman" w:hAnsi="Times New Roman"/>
        </w:rPr>
        <w:t xml:space="preserve">– Specifikacije za ekološke organizacije, ki jih vzpostavijo proizvajalci proizvodov, navedenih v členu L. 541-10-1(1) in (2) ter določenih v členu L. 541-10(II), določajo cilj ponovne uporabe, ki ustreza vsaj tistim iz člena R. 541-371(I).</w:t>
      </w:r>
    </w:p>
    <w:p w14:paraId="75620BA0" w14:textId="77777777" w:rsidR="00BA72E9" w:rsidRPr="00AA30CE" w:rsidRDefault="00BA72E9" w:rsidP="00187BA0">
      <w:pPr>
        <w:spacing w:after="0" w:line="240" w:lineRule="auto"/>
        <w:jc w:val="both"/>
        <w:rPr>
          <w:rFonts w:ascii="Times New Roman" w:hAnsi="Times New Roman" w:cs="Times New Roman"/>
          <w:sz w:val="24"/>
          <w:szCs w:val="24"/>
        </w:rPr>
      </w:pPr>
    </w:p>
    <w:p w14:paraId="7BA0A70B" w14:textId="0E95728F" w:rsidR="002638CA" w:rsidRPr="00AA30CE" w:rsidRDefault="002253EB" w:rsidP="002638CA">
      <w:pPr>
        <w:spacing w:after="0" w:line="240" w:lineRule="auto"/>
        <w:jc w:val="both"/>
        <w:rPr>
          <w:sz w:val="24"/>
          <w:szCs w:val="24"/>
          <w:rFonts w:ascii="Times New Roman" w:hAnsi="Times New Roman" w:cs="Times New Roman"/>
        </w:rPr>
      </w:pPr>
      <w:r>
        <w:rPr>
          <w:sz w:val="24"/>
          <w:rFonts w:ascii="Times New Roman" w:hAnsi="Times New Roman"/>
        </w:rPr>
        <w:t xml:space="preserve">Za doseganje zgoraj navedenih ciljev ponovne uporabe odobrene ekološke organizacije izvajajo modulacije iz člena L. 541-10-3 in prispevajo k razvoju rešitev za ponovno uporabo in predelavo embalaže, pri čemer se opirajo zlasti na sredstva iz člena L. 541-10-18(V).</w:t>
      </w:r>
      <w:r>
        <w:rPr>
          <w:sz w:val="24"/>
          <w:rFonts w:ascii="Times New Roman" w:hAnsi="Times New Roman"/>
        </w:rPr>
        <w:t xml:space="preserve"> </w:t>
      </w:r>
      <w:r>
        <w:rPr>
          <w:sz w:val="24"/>
          <w:rFonts w:ascii="Times New Roman" w:hAnsi="Times New Roman"/>
        </w:rPr>
        <w:t xml:space="preserve">Ti prispevki so v obliki finančne podpore, dodeljene na podlagi postopkov, odprtih vsem upravičenim osebam, ki zaprosijo zanje, ali na podlagi konkurenčnih izbirnih postopkov.</w:t>
      </w:r>
    </w:p>
    <w:p w14:paraId="5F315D73" w14:textId="77777777" w:rsidR="002638CA" w:rsidRPr="00AA30CE" w:rsidRDefault="002638CA" w:rsidP="002638CA">
      <w:pPr>
        <w:spacing w:after="0" w:line="240" w:lineRule="auto"/>
        <w:jc w:val="both"/>
        <w:rPr>
          <w:rFonts w:ascii="Times New Roman" w:hAnsi="Times New Roman" w:cs="Times New Roman"/>
          <w:sz w:val="24"/>
          <w:szCs w:val="24"/>
        </w:rPr>
      </w:pPr>
    </w:p>
    <w:p w14:paraId="55E49E4E" w14:textId="19597BC5" w:rsidR="006164D5" w:rsidRPr="00AA30CE" w:rsidRDefault="007C6371" w:rsidP="006164D5">
      <w:pPr>
        <w:spacing w:after="0" w:line="240" w:lineRule="auto"/>
        <w:jc w:val="both"/>
        <w:rPr>
          <w:sz w:val="24"/>
          <w:szCs w:val="24"/>
          <w:rFonts w:ascii="Times New Roman" w:hAnsi="Times New Roman" w:cs="Times New Roman"/>
        </w:rPr>
      </w:pPr>
      <w:r>
        <w:rPr>
          <w:sz w:val="24"/>
          <w:rFonts w:ascii="Times New Roman" w:hAnsi="Times New Roman"/>
        </w:rPr>
        <w:t xml:space="preserve">Ekološke organizacije lahko pod enakimi pogoji prispevajo tudi k razvoju rešitev za ponovno uporabo in predelavo druge embalaže, ki ni zajeta v njihovi odobritvi.</w:t>
      </w:r>
    </w:p>
    <w:p w14:paraId="2275A220" w14:textId="77777777" w:rsidR="005D217A" w:rsidRPr="00AA30CE" w:rsidRDefault="005D217A" w:rsidP="00187BA0">
      <w:pPr>
        <w:spacing w:after="0" w:line="240" w:lineRule="auto"/>
        <w:jc w:val="both"/>
        <w:rPr>
          <w:rFonts w:ascii="Times New Roman" w:eastAsia="Times New Roman" w:hAnsi="Times New Roman" w:cs="Times New Roman"/>
          <w:sz w:val="24"/>
          <w:szCs w:val="24"/>
          <w:lang w:eastAsia="fr-FR"/>
        </w:rPr>
      </w:pPr>
    </w:p>
    <w:p w14:paraId="1135F0AA" w14:textId="0592F0C2" w:rsidR="001F71CB" w:rsidRPr="00AA30CE" w:rsidRDefault="002253EB" w:rsidP="004D2F26">
      <w:pPr>
        <w:spacing w:after="0" w:line="240" w:lineRule="auto"/>
        <w:jc w:val="both"/>
        <w:rPr>
          <w:sz w:val="24"/>
          <w:szCs w:val="24"/>
          <w:rFonts w:ascii="Times New Roman" w:hAnsi="Times New Roman" w:cs="Times New Roman"/>
        </w:rPr>
      </w:pPr>
      <w:r>
        <w:rPr>
          <w:sz w:val="24"/>
          <w:rFonts w:ascii="Times New Roman" w:hAnsi="Times New Roman"/>
        </w:rPr>
        <w:t xml:space="preserve">Člen R. 541–374.</w:t>
      </w:r>
      <w:r>
        <w:rPr>
          <w:sz w:val="24"/>
          <w:rFonts w:ascii="Times New Roman" w:hAnsi="Times New Roman"/>
        </w:rPr>
        <w:t xml:space="preserve"> </w:t>
      </w:r>
      <w:r>
        <w:rPr>
          <w:sz w:val="24"/>
          <w:rFonts w:ascii="Times New Roman" w:hAnsi="Times New Roman"/>
        </w:rPr>
        <w:t xml:space="preserve">– I. – Vsak proizvajalec iz člena R. 541-372(I) ali po potrebi njegova kolektivna struktura iz člena R. 541-372(II) letno sporoči opazovalni skupini za ponovno uporabo in predelavo delež ponovno uporabljene embalaže, dane na trg.</w:t>
      </w:r>
    </w:p>
    <w:p w14:paraId="73DD4385" w14:textId="77777777" w:rsidR="009E476D" w:rsidRPr="00AA30CE" w:rsidRDefault="009E476D" w:rsidP="003E3F17">
      <w:pPr>
        <w:spacing w:after="0" w:line="240" w:lineRule="auto"/>
        <w:jc w:val="both"/>
        <w:rPr>
          <w:rFonts w:ascii="Times New Roman" w:hAnsi="Times New Roman" w:cs="Times New Roman"/>
          <w:sz w:val="24"/>
          <w:szCs w:val="24"/>
        </w:rPr>
      </w:pPr>
    </w:p>
    <w:p w14:paraId="5BB91436" w14:textId="7295D311" w:rsidR="009E476D" w:rsidRPr="00AA30CE" w:rsidRDefault="002253EB" w:rsidP="009E476D">
      <w:pPr>
        <w:spacing w:after="0" w:line="240" w:lineRule="auto"/>
        <w:jc w:val="both"/>
        <w:rPr>
          <w:sz w:val="24"/>
          <w:szCs w:val="24"/>
          <w:rFonts w:ascii="Times New Roman" w:hAnsi="Times New Roman" w:cs="Times New Roman"/>
        </w:rPr>
      </w:pPr>
      <w:r>
        <w:rPr>
          <w:sz w:val="24"/>
          <w:rFonts w:ascii="Times New Roman" w:hAnsi="Times New Roman"/>
        </w:rPr>
        <w:t xml:space="preserve">Vsak proizvajalec iz člena R. 541-372(I) te informacije sporoči tudi ekološki organizaciji, katere član je za to embalažo v okviru svoje razširjene odgovornosti iz člena L. 541-10 okoljskega zakonika.</w:t>
      </w:r>
      <w:r>
        <w:rPr>
          <w:sz w:val="24"/>
          <w:rFonts w:ascii="Times New Roman" w:hAnsi="Times New Roman"/>
        </w:rPr>
        <w:t xml:space="preserve"> </w:t>
      </w:r>
      <w:r>
        <w:rPr>
          <w:sz w:val="24"/>
          <w:rFonts w:ascii="Times New Roman" w:hAnsi="Times New Roman"/>
        </w:rPr>
        <w:t xml:space="preserve">Ekološka organizacija oceni skladnost teh informacij v okviru programa samonadzora iz člena R. 541-128 okoljskega zakonika.</w:t>
      </w:r>
    </w:p>
    <w:p w14:paraId="66493D19" w14:textId="77777777" w:rsidR="00696273" w:rsidRPr="00AA30CE" w:rsidRDefault="00696273" w:rsidP="003E3F17">
      <w:pPr>
        <w:spacing w:after="0" w:line="240" w:lineRule="auto"/>
        <w:jc w:val="both"/>
        <w:rPr>
          <w:rFonts w:ascii="Times New Roman" w:hAnsi="Times New Roman" w:cs="Times New Roman"/>
          <w:sz w:val="24"/>
          <w:szCs w:val="24"/>
        </w:rPr>
      </w:pPr>
    </w:p>
    <w:p w14:paraId="22B9CDFD" w14:textId="0E2B677A" w:rsidR="00E57FD9"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II. – Vsaka ekološka organizacija, odobrena za embalažo, letno sporoči upravnemu organu iz člena L. 541-10-13 količino embalaže, ki so jo ponovno uporabili njeni proizvajalci člani, in količino ponovno uporabljene embalaže, ki je bila predmet ukrepov iz člena R. 341-373, pri čemer razlikuje med tistimi, ki jih zajema njena odobritev, in tistimi, ki jih ne zajema.</w:t>
      </w:r>
      <w:r>
        <w:rPr>
          <w:sz w:val="24"/>
          <w:rFonts w:ascii="Times New Roman" w:hAnsi="Times New Roman"/>
        </w:rPr>
        <w:t xml:space="preserve">  </w:t>
      </w:r>
    </w:p>
    <w:p w14:paraId="4D201796" w14:textId="77777777" w:rsidR="00E57FD9" w:rsidRPr="00AA30CE" w:rsidRDefault="00E57FD9" w:rsidP="00E02F43">
      <w:pPr>
        <w:spacing w:after="0" w:line="240" w:lineRule="auto"/>
        <w:jc w:val="both"/>
        <w:rPr>
          <w:rFonts w:ascii="Times New Roman" w:hAnsi="Times New Roman" w:cs="Times New Roman"/>
          <w:sz w:val="24"/>
          <w:szCs w:val="24"/>
        </w:rPr>
      </w:pPr>
    </w:p>
    <w:p w14:paraId="6335A391" w14:textId="02585C05" w:rsidR="00E40A80"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„Ta organ sporoči vse te informacije opazovalni skupini za ponovno uporabo in predelavo.“</w:t>
      </w:r>
    </w:p>
    <w:p w14:paraId="1BD0D5DC" w14:textId="77777777" w:rsidR="00807CC7" w:rsidRPr="00AA30CE" w:rsidRDefault="00807CC7" w:rsidP="00187BA0">
      <w:pPr>
        <w:spacing w:after="0" w:line="240" w:lineRule="auto"/>
        <w:jc w:val="both"/>
        <w:rPr>
          <w:rFonts w:ascii="Times New Roman" w:hAnsi="Times New Roman" w:cs="Times New Roman"/>
          <w:sz w:val="24"/>
          <w:szCs w:val="24"/>
        </w:rPr>
      </w:pPr>
    </w:p>
    <w:p w14:paraId="35A906C7" w14:textId="77777777" w:rsidR="00ED794E" w:rsidRPr="00AA30CE" w:rsidRDefault="00ED794E" w:rsidP="00187BA0">
      <w:pPr>
        <w:spacing w:after="0" w:line="240" w:lineRule="auto"/>
        <w:jc w:val="both"/>
        <w:rPr>
          <w:rFonts w:ascii="Times New Roman" w:hAnsi="Times New Roman" w:cs="Times New Roman"/>
          <w:sz w:val="24"/>
          <w:szCs w:val="24"/>
        </w:rPr>
      </w:pPr>
    </w:p>
    <w:p w14:paraId="3075E06D" w14:textId="12CED70E" w:rsidR="00BF56AE" w:rsidRPr="00AA30CE" w:rsidRDefault="003C01FE" w:rsidP="00187BA0">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Člen 2</w:t>
      </w:r>
    </w:p>
    <w:p w14:paraId="352F9129" w14:textId="32A67B73" w:rsidR="00D424D9" w:rsidRPr="00AA30CE" w:rsidRDefault="00D424D9" w:rsidP="00187BA0">
      <w:pPr>
        <w:pStyle w:val="BodyText"/>
        <w:spacing w:after="0"/>
      </w:pPr>
    </w:p>
    <w:p w14:paraId="7CE0AA62" w14:textId="77777777" w:rsidR="000D5304" w:rsidRPr="00AA30CE" w:rsidRDefault="000D5304" w:rsidP="00187BA0">
      <w:pPr>
        <w:pStyle w:val="BodyText"/>
        <w:spacing w:after="0"/>
      </w:pPr>
      <w:r>
        <w:t xml:space="preserve">I. – Določbe te uredbe začnejo veljati 1. januarja 2022 ob upoštevanju določb točke II spodaj.</w:t>
      </w:r>
    </w:p>
    <w:p w14:paraId="51F55F4C" w14:textId="77777777" w:rsidR="000D5304" w:rsidRPr="00AA30CE" w:rsidRDefault="000D5304" w:rsidP="00187BA0">
      <w:pPr>
        <w:pStyle w:val="BodyText"/>
        <w:spacing w:after="0"/>
      </w:pPr>
    </w:p>
    <w:p w14:paraId="4D55BD73" w14:textId="4853B4C7" w:rsidR="00082B15" w:rsidRPr="00AA30CE" w:rsidRDefault="000D5304" w:rsidP="00187BA0">
      <w:pPr>
        <w:pStyle w:val="BodyText"/>
        <w:spacing w:after="0"/>
      </w:pPr>
      <w:r>
        <w:t xml:space="preserve">II. – Ekološke organizacije, ki so odobrene za embalažo in so navedene v prvem stavku četrtega pododstavka člena 130 zakona z dne 10. februarja 2020, morajo uporabljati določbe členov od R. 341-372 do R. 341-374, ki se nanašajo nanje, od podaljšanja njihove odobritve in najpozneje od 1. januarja 2023.</w:t>
      </w:r>
      <w:r>
        <w:t xml:space="preserve"> </w:t>
      </w:r>
      <w:r>
        <w:t xml:space="preserve">Na zahtevo proizvajalcev iz člena R. 341-372(I) pa se lahko te ekološke organizacije odločijo za uporabo teh določb pred iztekom njihove odobritve.</w:t>
      </w:r>
    </w:p>
    <w:p w14:paraId="6D51D29F" w14:textId="77777777" w:rsidR="00082B15" w:rsidRPr="00AA30CE" w:rsidRDefault="00082B15" w:rsidP="00187BA0">
      <w:pPr>
        <w:pStyle w:val="BodyText"/>
        <w:spacing w:after="0"/>
      </w:pPr>
    </w:p>
    <w:p w14:paraId="770A028A" w14:textId="77777777" w:rsidR="005E1BC3" w:rsidRPr="00AA30CE" w:rsidRDefault="005E1BC3" w:rsidP="00187BA0">
      <w:pPr>
        <w:pStyle w:val="BodyText"/>
        <w:spacing w:after="0"/>
      </w:pPr>
    </w:p>
    <w:p w14:paraId="56104DCF" w14:textId="241CE026" w:rsidR="00365D5E" w:rsidRPr="00AA30CE" w:rsidRDefault="00365D5E" w:rsidP="00365D5E">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Člen 3</w:t>
      </w:r>
    </w:p>
    <w:p w14:paraId="4A85EAC5" w14:textId="77777777" w:rsidR="005E1BC3" w:rsidRPr="00AA30CE" w:rsidRDefault="005E1BC3" w:rsidP="00187BA0">
      <w:pPr>
        <w:pStyle w:val="BodyText"/>
        <w:spacing w:after="0"/>
      </w:pPr>
    </w:p>
    <w:p w14:paraId="0E8C68FA" w14:textId="77777777" w:rsidR="00BF56AE" w:rsidRPr="00AA30CE" w:rsidRDefault="00BF56AE" w:rsidP="00187BA0">
      <w:pPr>
        <w:pStyle w:val="BodyText"/>
        <w:spacing w:after="0"/>
      </w:pPr>
      <w:r>
        <w:t xml:space="preserve">Za izvajanje te uredbe, ki bo objavljena v </w:t>
      </w:r>
      <w:r>
        <w:rPr>
          <w:i/>
        </w:rPr>
        <w:t xml:space="preserve">Uradnem listu</w:t>
      </w:r>
      <w:r>
        <w:t xml:space="preserve"> Francoske republike, je odgovoren francoski minister za ekološki prehod.</w:t>
      </w:r>
    </w:p>
    <w:p w14:paraId="3BA3F764" w14:textId="77777777" w:rsidR="00D424D9" w:rsidRPr="00AA30CE" w:rsidRDefault="00D424D9" w:rsidP="00187BA0">
      <w:pPr>
        <w:pStyle w:val="BodyText"/>
        <w:spacing w:after="0"/>
      </w:pPr>
    </w:p>
    <w:p w14:paraId="1C56967D" w14:textId="77777777" w:rsidR="00807CC7" w:rsidRPr="00AA30CE" w:rsidRDefault="00807CC7" w:rsidP="00187BA0">
      <w:pPr>
        <w:pStyle w:val="BodyText"/>
        <w:spacing w:after="0"/>
      </w:pPr>
    </w:p>
    <w:p w14:paraId="40D8071C" w14:textId="77777777" w:rsidR="00D8658F" w:rsidRPr="00782886" w:rsidRDefault="00BF56AE" w:rsidP="00187BA0">
      <w:pPr>
        <w:pStyle w:val="SNDate"/>
        <w:spacing w:before="0" w:after="0"/>
      </w:pPr>
      <w:r>
        <w:t xml:space="preserve">Datirano dne</w:t>
      </w:r>
      <w:r>
        <w:t xml:space="preserve"> </w:t>
      </w:r>
    </w:p>
    <w:sectPr w:rsidR="00D8658F" w:rsidRPr="00782886">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4777" w14:textId="77777777" w:rsidR="00F2215D" w:rsidRDefault="00F2215D" w:rsidP="00C43AFA">
      <w:pPr>
        <w:spacing w:after="0" w:line="240" w:lineRule="auto"/>
      </w:pPr>
      <w:r>
        <w:separator/>
      </w:r>
    </w:p>
  </w:endnote>
  <w:endnote w:type="continuationSeparator" w:id="0">
    <w:p w14:paraId="6A1C6018" w14:textId="77777777" w:rsidR="00F2215D" w:rsidRDefault="00F2215D" w:rsidP="00C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FF8" w14:textId="77777777" w:rsidR="00F2215D" w:rsidRDefault="00F2215D" w:rsidP="00C43AFA">
      <w:pPr>
        <w:spacing w:after="0" w:line="240" w:lineRule="auto"/>
      </w:pPr>
      <w:r>
        <w:separator/>
      </w:r>
    </w:p>
  </w:footnote>
  <w:footnote w:type="continuationSeparator" w:id="0">
    <w:p w14:paraId="49F989F0" w14:textId="77777777" w:rsidR="00F2215D" w:rsidRDefault="00F2215D" w:rsidP="00C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5FE0" w14:textId="77777777" w:rsidR="00C43AFA" w:rsidRDefault="007C6371">
    <w:pPr>
      <w:pStyle w:val="Header"/>
    </w:pPr>
    <w:r>
      <w:pict w14:anchorId="79A8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5"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B9D" w14:textId="77777777" w:rsidR="00C43AFA" w:rsidRDefault="007C6371">
    <w:pPr>
      <w:pStyle w:val="Header"/>
    </w:pPr>
    <w:r>
      <w:pict w14:anchorId="5FDB4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6"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5CFA" w14:textId="77777777" w:rsidR="00C43AFA" w:rsidRDefault="007C6371">
    <w:pPr>
      <w:pStyle w:val="Header"/>
    </w:pPr>
    <w:r>
      <w:pict w14:anchorId="796D5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4"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1A5"/>
    <w:multiLevelType w:val="hybridMultilevel"/>
    <w:tmpl w:val="BF32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C36E0"/>
    <w:multiLevelType w:val="hybridMultilevel"/>
    <w:tmpl w:val="43E04698"/>
    <w:lvl w:ilvl="0" w:tplc="85FEEBB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4014"/>
    <w:multiLevelType w:val="hybridMultilevel"/>
    <w:tmpl w:val="E9C021D2"/>
    <w:lvl w:ilvl="0" w:tplc="2B6E86FC">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93488"/>
    <w:multiLevelType w:val="hybridMultilevel"/>
    <w:tmpl w:val="4822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E626B"/>
    <w:multiLevelType w:val="hybridMultilevel"/>
    <w:tmpl w:val="FD46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B3A1F"/>
    <w:multiLevelType w:val="hybridMultilevel"/>
    <w:tmpl w:val="D288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04789"/>
    <w:multiLevelType w:val="hybridMultilevel"/>
    <w:tmpl w:val="0F0A3E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CE7A07"/>
    <w:multiLevelType w:val="hybridMultilevel"/>
    <w:tmpl w:val="8D8CAD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B35694"/>
    <w:multiLevelType w:val="hybridMultilevel"/>
    <w:tmpl w:val="59DC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78A2"/>
    <w:multiLevelType w:val="hybridMultilevel"/>
    <w:tmpl w:val="7764D36C"/>
    <w:lvl w:ilvl="0" w:tplc="23BC33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D2F3A"/>
    <w:multiLevelType w:val="hybridMultilevel"/>
    <w:tmpl w:val="E430B8A0"/>
    <w:lvl w:ilvl="0" w:tplc="DFB49B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F3677A"/>
    <w:multiLevelType w:val="hybridMultilevel"/>
    <w:tmpl w:val="DADE267E"/>
    <w:lvl w:ilvl="0" w:tplc="7ACAF9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9"/>
  </w:num>
  <w:num w:numId="6">
    <w:abstractNumId w:val="7"/>
  </w:num>
  <w:num w:numId="7">
    <w:abstractNumId w:val="10"/>
  </w:num>
  <w:num w:numId="8">
    <w:abstractNumId w:val="0"/>
  </w:num>
  <w:num w:numId="9">
    <w:abstractNumId w:val="8"/>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9"/>
    <w:rsid w:val="00011D08"/>
    <w:rsid w:val="000164B4"/>
    <w:rsid w:val="00036BCA"/>
    <w:rsid w:val="00043C29"/>
    <w:rsid w:val="00054375"/>
    <w:rsid w:val="000557C5"/>
    <w:rsid w:val="000607F4"/>
    <w:rsid w:val="00071A10"/>
    <w:rsid w:val="000725EA"/>
    <w:rsid w:val="00082B15"/>
    <w:rsid w:val="00085E5C"/>
    <w:rsid w:val="00091812"/>
    <w:rsid w:val="000A01DC"/>
    <w:rsid w:val="000A35BC"/>
    <w:rsid w:val="000A360E"/>
    <w:rsid w:val="000D09C8"/>
    <w:rsid w:val="000D5304"/>
    <w:rsid w:val="000D71F4"/>
    <w:rsid w:val="000F1FA7"/>
    <w:rsid w:val="00103432"/>
    <w:rsid w:val="001046E3"/>
    <w:rsid w:val="00112460"/>
    <w:rsid w:val="00114042"/>
    <w:rsid w:val="00114875"/>
    <w:rsid w:val="001202C9"/>
    <w:rsid w:val="00135A34"/>
    <w:rsid w:val="001421E2"/>
    <w:rsid w:val="00147355"/>
    <w:rsid w:val="001510C2"/>
    <w:rsid w:val="00154766"/>
    <w:rsid w:val="00161033"/>
    <w:rsid w:val="00164069"/>
    <w:rsid w:val="00172100"/>
    <w:rsid w:val="00180616"/>
    <w:rsid w:val="00187BA0"/>
    <w:rsid w:val="001A0E85"/>
    <w:rsid w:val="001A45BC"/>
    <w:rsid w:val="001B013E"/>
    <w:rsid w:val="001D10A5"/>
    <w:rsid w:val="001D40DC"/>
    <w:rsid w:val="001D4153"/>
    <w:rsid w:val="001E245E"/>
    <w:rsid w:val="001F4F9D"/>
    <w:rsid w:val="001F71CB"/>
    <w:rsid w:val="001F72AF"/>
    <w:rsid w:val="0020072E"/>
    <w:rsid w:val="00202E4D"/>
    <w:rsid w:val="00205EE6"/>
    <w:rsid w:val="00205F78"/>
    <w:rsid w:val="00221CCF"/>
    <w:rsid w:val="002253EB"/>
    <w:rsid w:val="002322B1"/>
    <w:rsid w:val="00234401"/>
    <w:rsid w:val="002361F6"/>
    <w:rsid w:val="00245EAC"/>
    <w:rsid w:val="00253E6B"/>
    <w:rsid w:val="00254588"/>
    <w:rsid w:val="00262D43"/>
    <w:rsid w:val="002638CA"/>
    <w:rsid w:val="00267090"/>
    <w:rsid w:val="00272966"/>
    <w:rsid w:val="002808B2"/>
    <w:rsid w:val="00294971"/>
    <w:rsid w:val="00297CEA"/>
    <w:rsid w:val="002A51E0"/>
    <w:rsid w:val="002B3B8C"/>
    <w:rsid w:val="002B6EA5"/>
    <w:rsid w:val="002C2713"/>
    <w:rsid w:val="002C2794"/>
    <w:rsid w:val="002C5AD8"/>
    <w:rsid w:val="002E0024"/>
    <w:rsid w:val="002E059E"/>
    <w:rsid w:val="002E7364"/>
    <w:rsid w:val="002F2D08"/>
    <w:rsid w:val="002F321F"/>
    <w:rsid w:val="0030792C"/>
    <w:rsid w:val="00315271"/>
    <w:rsid w:val="00322523"/>
    <w:rsid w:val="00322E96"/>
    <w:rsid w:val="00325660"/>
    <w:rsid w:val="00331FAC"/>
    <w:rsid w:val="00342A16"/>
    <w:rsid w:val="00342E6F"/>
    <w:rsid w:val="00342ECF"/>
    <w:rsid w:val="00343338"/>
    <w:rsid w:val="00343427"/>
    <w:rsid w:val="003548D4"/>
    <w:rsid w:val="00365D5E"/>
    <w:rsid w:val="00366B6B"/>
    <w:rsid w:val="003672B6"/>
    <w:rsid w:val="00367438"/>
    <w:rsid w:val="0036757A"/>
    <w:rsid w:val="00371ECC"/>
    <w:rsid w:val="00375258"/>
    <w:rsid w:val="003924D0"/>
    <w:rsid w:val="003A5755"/>
    <w:rsid w:val="003B1472"/>
    <w:rsid w:val="003B178E"/>
    <w:rsid w:val="003B2856"/>
    <w:rsid w:val="003C01FE"/>
    <w:rsid w:val="003C0AFD"/>
    <w:rsid w:val="003C12E9"/>
    <w:rsid w:val="003C28F7"/>
    <w:rsid w:val="003C4BB2"/>
    <w:rsid w:val="003D24BC"/>
    <w:rsid w:val="003D34C1"/>
    <w:rsid w:val="003E2482"/>
    <w:rsid w:val="003E3F17"/>
    <w:rsid w:val="003E595D"/>
    <w:rsid w:val="003E62C4"/>
    <w:rsid w:val="003F19A6"/>
    <w:rsid w:val="003F22D4"/>
    <w:rsid w:val="003F3509"/>
    <w:rsid w:val="003F3559"/>
    <w:rsid w:val="0040274B"/>
    <w:rsid w:val="004046E6"/>
    <w:rsid w:val="00413B02"/>
    <w:rsid w:val="00421E98"/>
    <w:rsid w:val="00426F6A"/>
    <w:rsid w:val="00433E44"/>
    <w:rsid w:val="004360CA"/>
    <w:rsid w:val="00446523"/>
    <w:rsid w:val="00456AC0"/>
    <w:rsid w:val="00466B8C"/>
    <w:rsid w:val="00476913"/>
    <w:rsid w:val="004863CC"/>
    <w:rsid w:val="00495B2A"/>
    <w:rsid w:val="00496410"/>
    <w:rsid w:val="0049785E"/>
    <w:rsid w:val="004B515F"/>
    <w:rsid w:val="004B75D3"/>
    <w:rsid w:val="004D0615"/>
    <w:rsid w:val="004D2F26"/>
    <w:rsid w:val="004D7AB3"/>
    <w:rsid w:val="004E04D9"/>
    <w:rsid w:val="004E692B"/>
    <w:rsid w:val="004F07E8"/>
    <w:rsid w:val="004F2149"/>
    <w:rsid w:val="004F3165"/>
    <w:rsid w:val="004F4A2E"/>
    <w:rsid w:val="004F5A09"/>
    <w:rsid w:val="004F74F9"/>
    <w:rsid w:val="0050674D"/>
    <w:rsid w:val="0051038C"/>
    <w:rsid w:val="00514205"/>
    <w:rsid w:val="00543DF7"/>
    <w:rsid w:val="00551995"/>
    <w:rsid w:val="00557121"/>
    <w:rsid w:val="00560DED"/>
    <w:rsid w:val="00566B83"/>
    <w:rsid w:val="00571418"/>
    <w:rsid w:val="0057394B"/>
    <w:rsid w:val="0057584D"/>
    <w:rsid w:val="005760B0"/>
    <w:rsid w:val="00580DFC"/>
    <w:rsid w:val="005875AB"/>
    <w:rsid w:val="00594FF7"/>
    <w:rsid w:val="005A3903"/>
    <w:rsid w:val="005A4348"/>
    <w:rsid w:val="005A5BB5"/>
    <w:rsid w:val="005A624F"/>
    <w:rsid w:val="005A75E0"/>
    <w:rsid w:val="005B1A8C"/>
    <w:rsid w:val="005B1C52"/>
    <w:rsid w:val="005B713C"/>
    <w:rsid w:val="005C3A78"/>
    <w:rsid w:val="005C7756"/>
    <w:rsid w:val="005D217A"/>
    <w:rsid w:val="005D7C0E"/>
    <w:rsid w:val="005E1BC3"/>
    <w:rsid w:val="005F6F20"/>
    <w:rsid w:val="00600AAF"/>
    <w:rsid w:val="00605E0F"/>
    <w:rsid w:val="00607454"/>
    <w:rsid w:val="0060756F"/>
    <w:rsid w:val="006164D5"/>
    <w:rsid w:val="00623678"/>
    <w:rsid w:val="00624CF6"/>
    <w:rsid w:val="00625B91"/>
    <w:rsid w:val="00626D44"/>
    <w:rsid w:val="00637A44"/>
    <w:rsid w:val="00640A3F"/>
    <w:rsid w:val="00642318"/>
    <w:rsid w:val="00645CA2"/>
    <w:rsid w:val="00645DF4"/>
    <w:rsid w:val="006467A9"/>
    <w:rsid w:val="00656852"/>
    <w:rsid w:val="0066292F"/>
    <w:rsid w:val="00663332"/>
    <w:rsid w:val="006670DA"/>
    <w:rsid w:val="00671546"/>
    <w:rsid w:val="0067243A"/>
    <w:rsid w:val="00674E43"/>
    <w:rsid w:val="0067668A"/>
    <w:rsid w:val="00683DDA"/>
    <w:rsid w:val="00694874"/>
    <w:rsid w:val="00696273"/>
    <w:rsid w:val="006A5A67"/>
    <w:rsid w:val="006B45B8"/>
    <w:rsid w:val="006C2522"/>
    <w:rsid w:val="006C33BB"/>
    <w:rsid w:val="006C68E3"/>
    <w:rsid w:val="006D1159"/>
    <w:rsid w:val="006E4590"/>
    <w:rsid w:val="006F10CE"/>
    <w:rsid w:val="006F5B51"/>
    <w:rsid w:val="006F6150"/>
    <w:rsid w:val="006F7816"/>
    <w:rsid w:val="0070642B"/>
    <w:rsid w:val="0070749B"/>
    <w:rsid w:val="00707C67"/>
    <w:rsid w:val="00712D5B"/>
    <w:rsid w:val="00732C4E"/>
    <w:rsid w:val="00741690"/>
    <w:rsid w:val="007456D4"/>
    <w:rsid w:val="00751759"/>
    <w:rsid w:val="0075561E"/>
    <w:rsid w:val="00771597"/>
    <w:rsid w:val="00780C5B"/>
    <w:rsid w:val="007810A1"/>
    <w:rsid w:val="00782886"/>
    <w:rsid w:val="007831D2"/>
    <w:rsid w:val="00786BBA"/>
    <w:rsid w:val="007A1C45"/>
    <w:rsid w:val="007A3FB0"/>
    <w:rsid w:val="007A7092"/>
    <w:rsid w:val="007A788E"/>
    <w:rsid w:val="007B249D"/>
    <w:rsid w:val="007B7E81"/>
    <w:rsid w:val="007C6371"/>
    <w:rsid w:val="007D191C"/>
    <w:rsid w:val="007D7206"/>
    <w:rsid w:val="007E1BB9"/>
    <w:rsid w:val="007F1A28"/>
    <w:rsid w:val="00807CC7"/>
    <w:rsid w:val="00814CE5"/>
    <w:rsid w:val="00837599"/>
    <w:rsid w:val="00840479"/>
    <w:rsid w:val="00850604"/>
    <w:rsid w:val="00852185"/>
    <w:rsid w:val="008524BF"/>
    <w:rsid w:val="00856803"/>
    <w:rsid w:val="008609E6"/>
    <w:rsid w:val="008612AE"/>
    <w:rsid w:val="00871620"/>
    <w:rsid w:val="00887073"/>
    <w:rsid w:val="008958DF"/>
    <w:rsid w:val="00897701"/>
    <w:rsid w:val="008A7E0C"/>
    <w:rsid w:val="008C12DF"/>
    <w:rsid w:val="008C137A"/>
    <w:rsid w:val="008C30FD"/>
    <w:rsid w:val="008C5F15"/>
    <w:rsid w:val="008D1797"/>
    <w:rsid w:val="008E3205"/>
    <w:rsid w:val="008F3C0B"/>
    <w:rsid w:val="008F543D"/>
    <w:rsid w:val="00906C2F"/>
    <w:rsid w:val="00911590"/>
    <w:rsid w:val="0091595F"/>
    <w:rsid w:val="00915D2E"/>
    <w:rsid w:val="0091763D"/>
    <w:rsid w:val="00921C73"/>
    <w:rsid w:val="00932F07"/>
    <w:rsid w:val="00934E71"/>
    <w:rsid w:val="00953EDC"/>
    <w:rsid w:val="00960353"/>
    <w:rsid w:val="009666CF"/>
    <w:rsid w:val="00977725"/>
    <w:rsid w:val="00986A80"/>
    <w:rsid w:val="00994FDB"/>
    <w:rsid w:val="009A33AD"/>
    <w:rsid w:val="009B2F16"/>
    <w:rsid w:val="009B4D71"/>
    <w:rsid w:val="009C545D"/>
    <w:rsid w:val="009D168F"/>
    <w:rsid w:val="009D535A"/>
    <w:rsid w:val="009D549D"/>
    <w:rsid w:val="009D5F5F"/>
    <w:rsid w:val="009E476D"/>
    <w:rsid w:val="009E6DFF"/>
    <w:rsid w:val="009F3A58"/>
    <w:rsid w:val="00A14A14"/>
    <w:rsid w:val="00A16E1E"/>
    <w:rsid w:val="00A20A59"/>
    <w:rsid w:val="00A22623"/>
    <w:rsid w:val="00A233C5"/>
    <w:rsid w:val="00A25624"/>
    <w:rsid w:val="00A3666D"/>
    <w:rsid w:val="00A434B1"/>
    <w:rsid w:val="00A46FD1"/>
    <w:rsid w:val="00A54BB7"/>
    <w:rsid w:val="00A56B78"/>
    <w:rsid w:val="00A57CCE"/>
    <w:rsid w:val="00A62ACD"/>
    <w:rsid w:val="00A62B56"/>
    <w:rsid w:val="00A72190"/>
    <w:rsid w:val="00A852B0"/>
    <w:rsid w:val="00A95502"/>
    <w:rsid w:val="00AA30CE"/>
    <w:rsid w:val="00AA38F4"/>
    <w:rsid w:val="00AA46E2"/>
    <w:rsid w:val="00AB34D5"/>
    <w:rsid w:val="00AC0F54"/>
    <w:rsid w:val="00AC1273"/>
    <w:rsid w:val="00AC1325"/>
    <w:rsid w:val="00AC1FCC"/>
    <w:rsid w:val="00AD4980"/>
    <w:rsid w:val="00AD64A4"/>
    <w:rsid w:val="00AD77EE"/>
    <w:rsid w:val="00AD7A6A"/>
    <w:rsid w:val="00AE07E9"/>
    <w:rsid w:val="00AE21B2"/>
    <w:rsid w:val="00AF2436"/>
    <w:rsid w:val="00AF32E3"/>
    <w:rsid w:val="00AF36BB"/>
    <w:rsid w:val="00B022DC"/>
    <w:rsid w:val="00B05F87"/>
    <w:rsid w:val="00B10219"/>
    <w:rsid w:val="00B31A90"/>
    <w:rsid w:val="00B37FBB"/>
    <w:rsid w:val="00B40D62"/>
    <w:rsid w:val="00B4236A"/>
    <w:rsid w:val="00B53482"/>
    <w:rsid w:val="00B536B0"/>
    <w:rsid w:val="00B53880"/>
    <w:rsid w:val="00B62582"/>
    <w:rsid w:val="00B63E7C"/>
    <w:rsid w:val="00B74777"/>
    <w:rsid w:val="00B754E1"/>
    <w:rsid w:val="00B75557"/>
    <w:rsid w:val="00B833EB"/>
    <w:rsid w:val="00B9408D"/>
    <w:rsid w:val="00B964CE"/>
    <w:rsid w:val="00B96ACD"/>
    <w:rsid w:val="00BA0708"/>
    <w:rsid w:val="00BA07FB"/>
    <w:rsid w:val="00BA72E9"/>
    <w:rsid w:val="00BB1B60"/>
    <w:rsid w:val="00BB6D31"/>
    <w:rsid w:val="00BC79AB"/>
    <w:rsid w:val="00BD4C1C"/>
    <w:rsid w:val="00BE132B"/>
    <w:rsid w:val="00BE213F"/>
    <w:rsid w:val="00BE2DC1"/>
    <w:rsid w:val="00BF516A"/>
    <w:rsid w:val="00BF55F5"/>
    <w:rsid w:val="00BF56AE"/>
    <w:rsid w:val="00C03686"/>
    <w:rsid w:val="00C10A74"/>
    <w:rsid w:val="00C23C1E"/>
    <w:rsid w:val="00C271D8"/>
    <w:rsid w:val="00C31076"/>
    <w:rsid w:val="00C315F1"/>
    <w:rsid w:val="00C34F07"/>
    <w:rsid w:val="00C35960"/>
    <w:rsid w:val="00C379E1"/>
    <w:rsid w:val="00C41663"/>
    <w:rsid w:val="00C422A9"/>
    <w:rsid w:val="00C43AFA"/>
    <w:rsid w:val="00C45E9E"/>
    <w:rsid w:val="00C5395C"/>
    <w:rsid w:val="00C548F4"/>
    <w:rsid w:val="00C563C6"/>
    <w:rsid w:val="00C61F2F"/>
    <w:rsid w:val="00C641CC"/>
    <w:rsid w:val="00C64AF7"/>
    <w:rsid w:val="00C672BB"/>
    <w:rsid w:val="00C87EC0"/>
    <w:rsid w:val="00C93626"/>
    <w:rsid w:val="00CA0250"/>
    <w:rsid w:val="00CA07D9"/>
    <w:rsid w:val="00CA10F8"/>
    <w:rsid w:val="00CA555C"/>
    <w:rsid w:val="00CB0036"/>
    <w:rsid w:val="00CB2C09"/>
    <w:rsid w:val="00CB4756"/>
    <w:rsid w:val="00CB622A"/>
    <w:rsid w:val="00CD49AF"/>
    <w:rsid w:val="00CE05AD"/>
    <w:rsid w:val="00CE2E88"/>
    <w:rsid w:val="00CE3731"/>
    <w:rsid w:val="00CE3920"/>
    <w:rsid w:val="00CE511E"/>
    <w:rsid w:val="00CE7BF8"/>
    <w:rsid w:val="00CF1848"/>
    <w:rsid w:val="00CF4441"/>
    <w:rsid w:val="00D05C46"/>
    <w:rsid w:val="00D071DE"/>
    <w:rsid w:val="00D07EE9"/>
    <w:rsid w:val="00D22C61"/>
    <w:rsid w:val="00D27EF6"/>
    <w:rsid w:val="00D33AD9"/>
    <w:rsid w:val="00D424D9"/>
    <w:rsid w:val="00D461BA"/>
    <w:rsid w:val="00D46B15"/>
    <w:rsid w:val="00D52C34"/>
    <w:rsid w:val="00D53F28"/>
    <w:rsid w:val="00D55EAB"/>
    <w:rsid w:val="00D622ED"/>
    <w:rsid w:val="00D73317"/>
    <w:rsid w:val="00D83DA6"/>
    <w:rsid w:val="00D8645E"/>
    <w:rsid w:val="00D8658F"/>
    <w:rsid w:val="00D8707E"/>
    <w:rsid w:val="00DA1C63"/>
    <w:rsid w:val="00DB697A"/>
    <w:rsid w:val="00DC59F0"/>
    <w:rsid w:val="00DD24AB"/>
    <w:rsid w:val="00DD40A4"/>
    <w:rsid w:val="00DE1B9A"/>
    <w:rsid w:val="00DE41AB"/>
    <w:rsid w:val="00DF1CB8"/>
    <w:rsid w:val="00E01F48"/>
    <w:rsid w:val="00E02F43"/>
    <w:rsid w:val="00E03D1C"/>
    <w:rsid w:val="00E06DBE"/>
    <w:rsid w:val="00E15D60"/>
    <w:rsid w:val="00E17180"/>
    <w:rsid w:val="00E211A6"/>
    <w:rsid w:val="00E2268F"/>
    <w:rsid w:val="00E229E0"/>
    <w:rsid w:val="00E2300D"/>
    <w:rsid w:val="00E2374D"/>
    <w:rsid w:val="00E23955"/>
    <w:rsid w:val="00E24301"/>
    <w:rsid w:val="00E249A6"/>
    <w:rsid w:val="00E24BA0"/>
    <w:rsid w:val="00E37017"/>
    <w:rsid w:val="00E40A80"/>
    <w:rsid w:val="00E529AA"/>
    <w:rsid w:val="00E56F07"/>
    <w:rsid w:val="00E57FD9"/>
    <w:rsid w:val="00E76342"/>
    <w:rsid w:val="00E80522"/>
    <w:rsid w:val="00E82ACA"/>
    <w:rsid w:val="00E92AED"/>
    <w:rsid w:val="00E92CA7"/>
    <w:rsid w:val="00E94CEC"/>
    <w:rsid w:val="00EB062C"/>
    <w:rsid w:val="00EB10E0"/>
    <w:rsid w:val="00EB4D01"/>
    <w:rsid w:val="00EB7A63"/>
    <w:rsid w:val="00EC3BAD"/>
    <w:rsid w:val="00ED0001"/>
    <w:rsid w:val="00ED2DAD"/>
    <w:rsid w:val="00ED5C92"/>
    <w:rsid w:val="00ED794E"/>
    <w:rsid w:val="00ED7F6F"/>
    <w:rsid w:val="00EE362F"/>
    <w:rsid w:val="00EE3ADF"/>
    <w:rsid w:val="00EE3DE1"/>
    <w:rsid w:val="00EE4B2B"/>
    <w:rsid w:val="00EF21D9"/>
    <w:rsid w:val="00EF3B29"/>
    <w:rsid w:val="00EF425C"/>
    <w:rsid w:val="00F02503"/>
    <w:rsid w:val="00F04237"/>
    <w:rsid w:val="00F05A3D"/>
    <w:rsid w:val="00F133DC"/>
    <w:rsid w:val="00F14525"/>
    <w:rsid w:val="00F20123"/>
    <w:rsid w:val="00F2215D"/>
    <w:rsid w:val="00F23E29"/>
    <w:rsid w:val="00F35E1D"/>
    <w:rsid w:val="00F43519"/>
    <w:rsid w:val="00F45F45"/>
    <w:rsid w:val="00F61CAF"/>
    <w:rsid w:val="00F62D17"/>
    <w:rsid w:val="00F80495"/>
    <w:rsid w:val="00F935A0"/>
    <w:rsid w:val="00FA00F0"/>
    <w:rsid w:val="00FB33A1"/>
    <w:rsid w:val="00FB68B9"/>
    <w:rsid w:val="00FB69AD"/>
    <w:rsid w:val="00FB7917"/>
    <w:rsid w:val="00FC1032"/>
    <w:rsid w:val="00FD00DD"/>
    <w:rsid w:val="00FD31B5"/>
    <w:rsid w:val="00FD361A"/>
    <w:rsid w:val="00FD4424"/>
    <w:rsid w:val="00FD5523"/>
    <w:rsid w:val="00FE2C4F"/>
    <w:rsid w:val="00FE6AAA"/>
    <w:rsid w:val="00FF0A90"/>
    <w:rsid w:val="00FF1CC9"/>
    <w:rsid w:val="00FF7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DDE55"/>
  <w15:chartTrackingRefBased/>
  <w15:docId w15:val="{DDC359A1-A7A2-486B-8FB7-99B1FDC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57"/>
    <w:rPr>
      <w:rFonts w:ascii="Segoe UI" w:hAnsi="Segoe UI" w:cs="Segoe UI"/>
      <w:sz w:val="18"/>
      <w:szCs w:val="18"/>
    </w:rPr>
  </w:style>
  <w:style w:type="character" w:styleId="CommentReference">
    <w:name w:val="annotation reference"/>
    <w:basedOn w:val="DefaultParagraphFont"/>
    <w:uiPriority w:val="99"/>
    <w:semiHidden/>
    <w:unhideWhenUsed/>
    <w:rsid w:val="009D549D"/>
    <w:rPr>
      <w:sz w:val="16"/>
      <w:szCs w:val="16"/>
    </w:rPr>
  </w:style>
  <w:style w:type="paragraph" w:styleId="CommentText">
    <w:name w:val="annotation text"/>
    <w:basedOn w:val="Normal"/>
    <w:link w:val="CommentTextChar"/>
    <w:uiPriority w:val="99"/>
    <w:unhideWhenUsed/>
    <w:rsid w:val="009D549D"/>
    <w:pPr>
      <w:spacing w:line="240" w:lineRule="auto"/>
    </w:pPr>
    <w:rPr>
      <w:sz w:val="20"/>
      <w:szCs w:val="20"/>
    </w:rPr>
  </w:style>
  <w:style w:type="character" w:customStyle="1" w:styleId="CommentTextChar">
    <w:name w:val="Comment Text Char"/>
    <w:basedOn w:val="DefaultParagraphFont"/>
    <w:link w:val="CommentText"/>
    <w:uiPriority w:val="99"/>
    <w:rsid w:val="009D549D"/>
    <w:rPr>
      <w:sz w:val="20"/>
      <w:szCs w:val="20"/>
    </w:rPr>
  </w:style>
  <w:style w:type="paragraph" w:styleId="CommentSubject">
    <w:name w:val="annotation subject"/>
    <w:basedOn w:val="CommentText"/>
    <w:next w:val="CommentText"/>
    <w:link w:val="CommentSubjectChar"/>
    <w:uiPriority w:val="99"/>
    <w:semiHidden/>
    <w:unhideWhenUsed/>
    <w:rsid w:val="009D549D"/>
    <w:rPr>
      <w:b/>
      <w:bCs/>
    </w:rPr>
  </w:style>
  <w:style w:type="character" w:customStyle="1" w:styleId="CommentSubjectChar">
    <w:name w:val="Comment Subject Char"/>
    <w:basedOn w:val="CommentTextChar"/>
    <w:link w:val="CommentSubject"/>
    <w:uiPriority w:val="99"/>
    <w:semiHidden/>
    <w:rsid w:val="009D549D"/>
    <w:rPr>
      <w:b/>
      <w:bCs/>
      <w:sz w:val="20"/>
      <w:szCs w:val="20"/>
    </w:rPr>
  </w:style>
  <w:style w:type="character" w:styleId="Hyperlink">
    <w:name w:val="Hyperlink"/>
    <w:basedOn w:val="DefaultParagraphFont"/>
    <w:uiPriority w:val="99"/>
    <w:unhideWhenUsed/>
    <w:rsid w:val="00C641CC"/>
    <w:rPr>
      <w:color w:val="0000FF"/>
      <w:u w:val="single"/>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rsid w:val="00BF56AE"/>
    <w:rPr>
      <w:rFonts w:ascii="Times New Roman" w:eastAsia="Times New Roman" w:hAnsi="Times New Roman" w:cs="Times New Roman"/>
      <w:sz w:val="24"/>
      <w:szCs w:val="24"/>
      <w:lang w:eastAsia="fr-FR"/>
    </w:rPr>
  </w:style>
  <w:style w:type="paragraph" w:customStyle="1" w:styleId="SNDate">
    <w:name w:val="SNDate"/>
    <w:basedOn w:val="Normal"/>
    <w:next w:val="Normal"/>
    <w:link w:val="SNDateCar"/>
    <w:autoRedefine/>
    <w:rsid w:val="00BF56AE"/>
    <w:pPr>
      <w:spacing w:before="480" w:after="276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BF56AE"/>
    <w:rPr>
      <w:rFonts w:ascii="Times New Roman" w:eastAsia="Times New Roman" w:hAnsi="Times New Roman" w:cs="Times New Roman"/>
      <w:sz w:val="24"/>
      <w:szCs w:val="24"/>
      <w:lang w:eastAsia="fr-FR"/>
    </w:rPr>
  </w:style>
  <w:style w:type="paragraph" w:customStyle="1" w:styleId="SNREPUBLIQUE">
    <w:name w:val="SNREPUBLIQUE"/>
    <w:basedOn w:val="Normal"/>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rsid w:val="00921C73"/>
    <w:pPr>
      <w:widowControl w:val="0"/>
      <w:suppressAutoHyphens/>
      <w:spacing w:after="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SNAutorit"/>
    <w:rsid w:val="00BF56AE"/>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rsid w:val="00187BA0"/>
    <w:pPr>
      <w:widowControl w:val="0"/>
      <w:suppressAutoHyphens/>
      <w:snapToGrid w:val="0"/>
      <w:spacing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187BA0"/>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rsid w:val="00A57CCE"/>
    <w:pPr>
      <w:spacing w:after="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C43A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3AFA"/>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AFA"/>
  </w:style>
  <w:style w:type="paragraph" w:styleId="FootnoteText">
    <w:name w:val="footnote text"/>
    <w:basedOn w:val="Normal"/>
    <w:link w:val="FootnoteTextChar"/>
    <w:uiPriority w:val="99"/>
    <w:semiHidden/>
    <w:unhideWhenUsed/>
    <w:rsid w:val="00C64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AF7"/>
    <w:rPr>
      <w:sz w:val="20"/>
      <w:szCs w:val="20"/>
    </w:rPr>
  </w:style>
  <w:style w:type="character" w:styleId="FootnoteReference">
    <w:name w:val="footnote reference"/>
    <w:basedOn w:val="DefaultParagraphFont"/>
    <w:uiPriority w:val="99"/>
    <w:semiHidden/>
    <w:unhideWhenUsed/>
    <w:rsid w:val="00C64AF7"/>
    <w:rPr>
      <w:vertAlign w:val="superscript"/>
    </w:rPr>
  </w:style>
  <w:style w:type="paragraph" w:customStyle="1" w:styleId="ti-grseq-1">
    <w:name w:val="ti-grseq-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F35E1D"/>
    <w:pPr>
      <w:ind w:left="720"/>
      <w:contextualSpacing/>
    </w:pPr>
  </w:style>
  <w:style w:type="paragraph" w:styleId="Revision">
    <w:name w:val="Revision"/>
    <w:hidden/>
    <w:uiPriority w:val="99"/>
    <w:semiHidden/>
    <w:rsid w:val="00245EAC"/>
    <w:pPr>
      <w:spacing w:after="0" w:line="240" w:lineRule="auto"/>
    </w:pPr>
  </w:style>
  <w:style w:type="character" w:customStyle="1" w:styleId="highlight">
    <w:name w:val="highlight"/>
    <w:basedOn w:val="DefaultParagraphFont"/>
    <w:rsid w:val="004F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9499">
      <w:bodyDiv w:val="1"/>
      <w:marLeft w:val="0"/>
      <w:marRight w:val="0"/>
      <w:marTop w:val="0"/>
      <w:marBottom w:val="0"/>
      <w:divBdr>
        <w:top w:val="none" w:sz="0" w:space="0" w:color="auto"/>
        <w:left w:val="none" w:sz="0" w:space="0" w:color="auto"/>
        <w:bottom w:val="none" w:sz="0" w:space="0" w:color="auto"/>
        <w:right w:val="none" w:sz="0" w:space="0" w:color="auto"/>
      </w:divBdr>
    </w:div>
    <w:div w:id="334723535">
      <w:bodyDiv w:val="1"/>
      <w:marLeft w:val="0"/>
      <w:marRight w:val="0"/>
      <w:marTop w:val="0"/>
      <w:marBottom w:val="0"/>
      <w:divBdr>
        <w:top w:val="none" w:sz="0" w:space="0" w:color="auto"/>
        <w:left w:val="none" w:sz="0" w:space="0" w:color="auto"/>
        <w:bottom w:val="none" w:sz="0" w:space="0" w:color="auto"/>
        <w:right w:val="none" w:sz="0" w:space="0" w:color="auto"/>
      </w:divBdr>
    </w:div>
    <w:div w:id="548110098">
      <w:bodyDiv w:val="1"/>
      <w:marLeft w:val="0"/>
      <w:marRight w:val="0"/>
      <w:marTop w:val="0"/>
      <w:marBottom w:val="0"/>
      <w:divBdr>
        <w:top w:val="none" w:sz="0" w:space="0" w:color="auto"/>
        <w:left w:val="none" w:sz="0" w:space="0" w:color="auto"/>
        <w:bottom w:val="none" w:sz="0" w:space="0" w:color="auto"/>
        <w:right w:val="none" w:sz="0" w:space="0" w:color="auto"/>
      </w:divBdr>
    </w:div>
    <w:div w:id="1162161181">
      <w:bodyDiv w:val="1"/>
      <w:marLeft w:val="0"/>
      <w:marRight w:val="0"/>
      <w:marTop w:val="0"/>
      <w:marBottom w:val="0"/>
      <w:divBdr>
        <w:top w:val="none" w:sz="0" w:space="0" w:color="auto"/>
        <w:left w:val="none" w:sz="0" w:space="0" w:color="auto"/>
        <w:bottom w:val="none" w:sz="0" w:space="0" w:color="auto"/>
        <w:right w:val="none" w:sz="0" w:space="0" w:color="auto"/>
      </w:divBdr>
    </w:div>
    <w:div w:id="1883596365">
      <w:bodyDiv w:val="1"/>
      <w:marLeft w:val="0"/>
      <w:marRight w:val="0"/>
      <w:marTop w:val="0"/>
      <w:marBottom w:val="0"/>
      <w:divBdr>
        <w:top w:val="none" w:sz="0" w:space="0" w:color="auto"/>
        <w:left w:val="none" w:sz="0" w:space="0" w:color="auto"/>
        <w:bottom w:val="none" w:sz="0" w:space="0" w:color="auto"/>
        <w:right w:val="none" w:sz="0" w:space="0" w:color="auto"/>
      </w:divBdr>
      <w:divsChild>
        <w:div w:id="1167281085">
          <w:marLeft w:val="0"/>
          <w:marRight w:val="0"/>
          <w:marTop w:val="0"/>
          <w:marBottom w:val="0"/>
          <w:divBdr>
            <w:top w:val="none" w:sz="0" w:space="0" w:color="auto"/>
            <w:left w:val="none" w:sz="0" w:space="0" w:color="auto"/>
            <w:bottom w:val="none" w:sz="0" w:space="0" w:color="auto"/>
            <w:right w:val="none" w:sz="0" w:space="0" w:color="auto"/>
          </w:divBdr>
        </w:div>
        <w:div w:id="56479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egifranc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E567-7DD9-4399-97F0-8A17DE4D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8397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Liana Brili</cp:lastModifiedBy>
  <cp:revision>3</cp:revision>
  <cp:lastPrinted>2021-07-27T08:40:00Z</cp:lastPrinted>
  <dcterms:created xsi:type="dcterms:W3CDTF">2021-07-27T11:56:00Z</dcterms:created>
  <dcterms:modified xsi:type="dcterms:W3CDTF">2021-07-30T08:29:00Z</dcterms:modified>
</cp:coreProperties>
</file>