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D67" w:rsidRPr="000F0A3C" w:rsidRDefault="00F15D67" w:rsidP="00F1590B">
      <w:pPr>
        <w:jc w:val="center"/>
        <w:rPr>
          <w:rFonts w:cstheme="minorHAnsi"/>
          <w:sz w:val="24"/>
          <w:szCs w:val="24"/>
        </w:rPr>
      </w:pPr>
      <w:r w:rsidRPr="000F0A3C">
        <w:rPr>
          <w:rFonts w:cstheme="minorHAnsi"/>
          <w:sz w:val="24"/>
          <w:szCs w:val="24"/>
        </w:rPr>
        <w:t>Bekendtgørelse om ændring af bekendtgørelse om fødevarehygiejne</w:t>
      </w:r>
    </w:p>
    <w:p w:rsidR="00F15D67" w:rsidRPr="000F0A3C" w:rsidRDefault="00F15D67" w:rsidP="00F1590B">
      <w:pPr>
        <w:jc w:val="center"/>
        <w:rPr>
          <w:rFonts w:cstheme="minorHAnsi"/>
          <w:sz w:val="24"/>
          <w:szCs w:val="24"/>
        </w:rPr>
      </w:pPr>
    </w:p>
    <w:p w:rsidR="00F1590B" w:rsidRPr="000F0A3C" w:rsidRDefault="0015460A" w:rsidP="00F1590B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§ 1</w:t>
      </w:r>
    </w:p>
    <w:p w:rsidR="00F15D67" w:rsidRPr="000F0A3C" w:rsidRDefault="00F1590B">
      <w:pPr>
        <w:rPr>
          <w:rFonts w:cstheme="minorHAnsi"/>
          <w:sz w:val="24"/>
          <w:szCs w:val="24"/>
        </w:rPr>
      </w:pPr>
      <w:r w:rsidRPr="000F0A3C">
        <w:rPr>
          <w:rFonts w:cstheme="minorHAnsi"/>
          <w:sz w:val="24"/>
          <w:szCs w:val="24"/>
        </w:rPr>
        <w:t>I bekendtgørelse nr. 497 af 23. marts 2021 om fødevarehygiejne foretages følgende ændringer:</w:t>
      </w:r>
    </w:p>
    <w:p w:rsidR="00F15D67" w:rsidRPr="000F0A3C" w:rsidRDefault="00A50188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1</w:t>
      </w:r>
      <w:r w:rsidR="00F1590B" w:rsidRPr="000F0A3C">
        <w:rPr>
          <w:rFonts w:cstheme="minorHAnsi"/>
          <w:i/>
          <w:sz w:val="24"/>
          <w:szCs w:val="24"/>
        </w:rPr>
        <w:t>. § 15</w:t>
      </w:r>
      <w:r w:rsidR="00F1590B" w:rsidRPr="000F0A3C">
        <w:rPr>
          <w:rFonts w:cstheme="minorHAnsi"/>
          <w:sz w:val="24"/>
          <w:szCs w:val="24"/>
        </w:rPr>
        <w:t xml:space="preserve"> affattes således:</w:t>
      </w:r>
    </w:p>
    <w:p w:rsidR="00315D7E" w:rsidRPr="000F0A3C" w:rsidRDefault="00F1590B">
      <w:pPr>
        <w:rPr>
          <w:rFonts w:cstheme="minorHAnsi"/>
          <w:sz w:val="24"/>
          <w:szCs w:val="24"/>
        </w:rPr>
      </w:pPr>
      <w:r w:rsidRPr="000F0A3C">
        <w:rPr>
          <w:rFonts w:cstheme="minorHAnsi"/>
          <w:sz w:val="24"/>
          <w:szCs w:val="24"/>
        </w:rPr>
        <w:t>”</w:t>
      </w:r>
      <w:r w:rsidR="00331B89" w:rsidRPr="00F5325A">
        <w:rPr>
          <w:rFonts w:cstheme="minorHAnsi"/>
          <w:b/>
          <w:sz w:val="24"/>
          <w:szCs w:val="24"/>
        </w:rPr>
        <w:t>§ 1</w:t>
      </w:r>
      <w:r w:rsidR="00CD091A" w:rsidRPr="00F5325A">
        <w:rPr>
          <w:rFonts w:cstheme="minorHAnsi"/>
          <w:b/>
          <w:sz w:val="24"/>
          <w:szCs w:val="24"/>
        </w:rPr>
        <w:t>5</w:t>
      </w:r>
      <w:r w:rsidR="00331B89" w:rsidRPr="000F0A3C">
        <w:rPr>
          <w:rFonts w:cstheme="minorHAnsi"/>
          <w:sz w:val="24"/>
          <w:szCs w:val="24"/>
        </w:rPr>
        <w:t xml:space="preserve">. Rå mælk, der markedsføres fra den enkelte primærproducent, skal opfylde kriterierne for celletal og kimtal i hygiejneforordningen for animalske fødevarer, </w:t>
      </w:r>
      <w:r w:rsidR="0015460A">
        <w:rPr>
          <w:rFonts w:cstheme="minorHAnsi"/>
          <w:sz w:val="24"/>
          <w:szCs w:val="24"/>
        </w:rPr>
        <w:t xml:space="preserve">jf. </w:t>
      </w:r>
      <w:r w:rsidR="0031683F" w:rsidRPr="000F0A3C">
        <w:rPr>
          <w:rFonts w:cstheme="minorHAnsi"/>
          <w:sz w:val="24"/>
          <w:szCs w:val="24"/>
        </w:rPr>
        <w:t>bilag III, afsnit IX</w:t>
      </w:r>
      <w:r w:rsidR="0085737E">
        <w:rPr>
          <w:rFonts w:cstheme="minorHAnsi"/>
          <w:sz w:val="24"/>
          <w:szCs w:val="24"/>
        </w:rPr>
        <w:t>,</w:t>
      </w:r>
      <w:r w:rsidR="0031683F" w:rsidRPr="000F0A3C">
        <w:rPr>
          <w:rFonts w:cstheme="minorHAnsi"/>
          <w:sz w:val="24"/>
          <w:szCs w:val="24"/>
        </w:rPr>
        <w:t xml:space="preserve"> </w:t>
      </w:r>
      <w:r w:rsidR="00547B2F" w:rsidRPr="000F0A3C">
        <w:rPr>
          <w:rFonts w:cstheme="minorHAnsi"/>
          <w:sz w:val="24"/>
          <w:szCs w:val="24"/>
        </w:rPr>
        <w:t xml:space="preserve">kapitel I, del </w:t>
      </w:r>
      <w:r w:rsidR="0031683F" w:rsidRPr="000F0A3C">
        <w:rPr>
          <w:rFonts w:cstheme="minorHAnsi"/>
          <w:sz w:val="24"/>
          <w:szCs w:val="24"/>
        </w:rPr>
        <w:t>III</w:t>
      </w:r>
      <w:r w:rsidR="00547B2F" w:rsidRPr="000F0A3C">
        <w:rPr>
          <w:rFonts w:cstheme="minorHAnsi"/>
          <w:sz w:val="24"/>
          <w:szCs w:val="24"/>
        </w:rPr>
        <w:t>, punkt 3.</w:t>
      </w:r>
    </w:p>
    <w:p w:rsidR="00053863" w:rsidRPr="000F0A3C" w:rsidRDefault="00331B89" w:rsidP="00337092">
      <w:pPr>
        <w:pStyle w:val="paragraf"/>
        <w:shd w:val="clear" w:color="auto" w:fill="F9F9FB"/>
        <w:spacing w:before="200" w:beforeAutospacing="0" w:after="0" w:afterAutospacing="0"/>
        <w:rPr>
          <w:rFonts w:asciiTheme="minorHAnsi" w:hAnsiTheme="minorHAnsi" w:cstheme="minorHAnsi"/>
          <w:color w:val="212529"/>
        </w:rPr>
      </w:pPr>
      <w:r w:rsidRPr="0015460A">
        <w:rPr>
          <w:rFonts w:asciiTheme="minorHAnsi" w:hAnsiTheme="minorHAnsi" w:cstheme="minorHAnsi"/>
          <w:i/>
        </w:rPr>
        <w:t>Stk. 2.</w:t>
      </w:r>
      <w:r w:rsidRPr="000F0A3C">
        <w:rPr>
          <w:rFonts w:asciiTheme="minorHAnsi" w:hAnsiTheme="minorHAnsi" w:cstheme="minorHAnsi"/>
        </w:rPr>
        <w:t xml:space="preserve"> Hvis rå mælk ikke opfylder de i stk. 1 nævnte kriterier for celletal eller kimtal, skal primærproducenten iværksætte de nødvendige foranstaltninger til at afhjælpe manglerne og straks meddele aftageren af mælken, at </w:t>
      </w:r>
      <w:r w:rsidR="00053863" w:rsidRPr="000F0A3C">
        <w:rPr>
          <w:rFonts w:asciiTheme="minorHAnsi" w:hAnsiTheme="minorHAnsi" w:cstheme="minorHAnsi"/>
        </w:rPr>
        <w:t>mælken</w:t>
      </w:r>
      <w:r w:rsidRPr="000F0A3C">
        <w:rPr>
          <w:rFonts w:asciiTheme="minorHAnsi" w:hAnsiTheme="minorHAnsi" w:cstheme="minorHAnsi"/>
        </w:rPr>
        <w:t xml:space="preserve"> </w:t>
      </w:r>
      <w:r w:rsidR="00053863" w:rsidRPr="000F0A3C">
        <w:rPr>
          <w:rFonts w:asciiTheme="minorHAnsi" w:hAnsiTheme="minorHAnsi" w:cstheme="minorHAnsi"/>
        </w:rPr>
        <w:t>ikke overholder kriterierne for celletal eller kimtal</w:t>
      </w:r>
      <w:r w:rsidR="0015460A">
        <w:rPr>
          <w:rFonts w:asciiTheme="minorHAnsi" w:hAnsiTheme="minorHAnsi" w:cstheme="minorHAnsi"/>
        </w:rPr>
        <w:t>.</w:t>
      </w:r>
      <w:r w:rsidR="00053863" w:rsidRPr="000F0A3C">
        <w:rPr>
          <w:rFonts w:asciiTheme="minorHAnsi" w:hAnsiTheme="minorHAnsi" w:cstheme="minorHAnsi"/>
          <w:color w:val="212529"/>
        </w:rPr>
        <w:t xml:space="preserve"> Indtil det kriterium, der er overskredet, igen er opfyldt, må mælken kun anvendes til produktion af oste med en modningstid på minimum 60 dage</w:t>
      </w:r>
      <w:r w:rsidR="00A274CC">
        <w:rPr>
          <w:rFonts w:asciiTheme="minorHAnsi" w:hAnsiTheme="minorHAnsi" w:cstheme="minorHAnsi"/>
          <w:color w:val="212529"/>
        </w:rPr>
        <w:t xml:space="preserve"> og mejeriprodukter, der fremstilles i forbindelse med fremstillingen af sådanne oste</w:t>
      </w:r>
      <w:r w:rsidR="00053863" w:rsidRPr="000F0A3C">
        <w:rPr>
          <w:rFonts w:asciiTheme="minorHAnsi" w:hAnsiTheme="minorHAnsi" w:cstheme="minorHAnsi"/>
          <w:color w:val="212529"/>
        </w:rPr>
        <w:t>.</w:t>
      </w:r>
    </w:p>
    <w:p w:rsidR="002A2AC6" w:rsidRDefault="002A2AC6" w:rsidP="00CD091A">
      <w:pPr>
        <w:rPr>
          <w:rFonts w:cstheme="minorHAnsi"/>
          <w:sz w:val="24"/>
          <w:szCs w:val="24"/>
        </w:rPr>
      </w:pPr>
    </w:p>
    <w:p w:rsidR="000F0A3C" w:rsidRPr="000F0A3C" w:rsidRDefault="00331B89" w:rsidP="00CD091A">
      <w:pPr>
        <w:rPr>
          <w:rFonts w:cstheme="minorHAnsi"/>
          <w:sz w:val="24"/>
          <w:szCs w:val="24"/>
        </w:rPr>
      </w:pPr>
      <w:r w:rsidRPr="0015460A">
        <w:rPr>
          <w:rFonts w:cstheme="minorHAnsi"/>
          <w:i/>
          <w:sz w:val="24"/>
          <w:szCs w:val="24"/>
        </w:rPr>
        <w:t>Stk. 3</w:t>
      </w:r>
      <w:r w:rsidRPr="000F0A3C">
        <w:rPr>
          <w:rFonts w:cstheme="minorHAnsi"/>
          <w:sz w:val="24"/>
          <w:szCs w:val="24"/>
        </w:rPr>
        <w:t>. Hvis rå mælk ikke opfylder de i stk. 1 nævnte kriterier for celletal og kimtal senest tre måneder efter, at overskridelsen er konstateret første gang, skal primærproducenten afbryde markedsføringen af rå mælk fra bedriften. Markedsføringen må først genoptage</w:t>
      </w:r>
      <w:r w:rsidR="00B25764" w:rsidRPr="000F0A3C">
        <w:rPr>
          <w:rFonts w:cstheme="minorHAnsi"/>
          <w:sz w:val="24"/>
          <w:szCs w:val="24"/>
        </w:rPr>
        <w:t>s</w:t>
      </w:r>
      <w:r w:rsidRPr="000F0A3C">
        <w:rPr>
          <w:rFonts w:cstheme="minorHAnsi"/>
          <w:sz w:val="24"/>
          <w:szCs w:val="24"/>
        </w:rPr>
        <w:t>, når mælken igen opfylder de i stk. 1 nævnte kriterier.</w:t>
      </w:r>
      <w:r w:rsidR="007F718C" w:rsidRPr="000F0A3C">
        <w:rPr>
          <w:rFonts w:cstheme="minorHAnsi"/>
          <w:sz w:val="24"/>
          <w:szCs w:val="24"/>
        </w:rPr>
        <w:t xml:space="preserve"> Der skal foreligge resultater fra repræsentative prøver udtaget med den frekvens, der </w:t>
      </w:r>
      <w:r w:rsidR="007F718C" w:rsidRPr="0059020A">
        <w:rPr>
          <w:rFonts w:cstheme="minorHAnsi"/>
          <w:sz w:val="24"/>
          <w:szCs w:val="24"/>
        </w:rPr>
        <w:t>rutinemæssigt blev anvendt, før kriteriet blev overskredet, som viser, at mælken opfylder kriterierne.</w:t>
      </w:r>
      <w:r w:rsidR="00AD6948" w:rsidRPr="0059020A">
        <w:rPr>
          <w:rFonts w:cstheme="minorHAnsi"/>
          <w:sz w:val="24"/>
          <w:szCs w:val="24"/>
        </w:rPr>
        <w:t xml:space="preserve"> Primærproducenten skal meddele Fødevarestyrelsen, om m</w:t>
      </w:r>
      <w:r w:rsidR="0059020A" w:rsidRPr="0059020A">
        <w:rPr>
          <w:rFonts w:cstheme="minorHAnsi"/>
          <w:sz w:val="24"/>
          <w:szCs w:val="24"/>
        </w:rPr>
        <w:t>arkedsføring af rå mælk</w:t>
      </w:r>
      <w:r w:rsidR="00AD6948" w:rsidRPr="0059020A">
        <w:rPr>
          <w:rFonts w:cstheme="minorHAnsi"/>
          <w:sz w:val="24"/>
          <w:szCs w:val="24"/>
        </w:rPr>
        <w:t xml:space="preserve"> </w:t>
      </w:r>
      <w:r w:rsidR="0059020A" w:rsidRPr="0059020A">
        <w:rPr>
          <w:rFonts w:cstheme="minorHAnsi"/>
          <w:sz w:val="24"/>
          <w:szCs w:val="24"/>
        </w:rPr>
        <w:t>afbrydes</w:t>
      </w:r>
      <w:r w:rsidR="00AD6948" w:rsidRPr="0059020A">
        <w:rPr>
          <w:rFonts w:cstheme="minorHAnsi"/>
          <w:sz w:val="24"/>
          <w:szCs w:val="24"/>
        </w:rPr>
        <w:t xml:space="preserve">, </w:t>
      </w:r>
      <w:r w:rsidR="0059020A" w:rsidRPr="0059020A">
        <w:rPr>
          <w:rFonts w:cstheme="minorHAnsi"/>
          <w:sz w:val="24"/>
          <w:szCs w:val="24"/>
        </w:rPr>
        <w:t>og</w:t>
      </w:r>
      <w:r w:rsidR="00AD6948" w:rsidRPr="0059020A">
        <w:rPr>
          <w:rFonts w:cstheme="minorHAnsi"/>
          <w:sz w:val="24"/>
          <w:szCs w:val="24"/>
        </w:rPr>
        <w:t xml:space="preserve"> om </w:t>
      </w:r>
      <w:r w:rsidR="0059020A" w:rsidRPr="0059020A">
        <w:rPr>
          <w:rFonts w:cstheme="minorHAnsi"/>
          <w:sz w:val="24"/>
          <w:szCs w:val="24"/>
        </w:rPr>
        <w:t>markedsføring af rå mælk genoptages</w:t>
      </w:r>
      <w:r w:rsidR="00AD6948" w:rsidRPr="0059020A">
        <w:rPr>
          <w:rFonts w:cstheme="minorHAnsi"/>
          <w:sz w:val="24"/>
          <w:szCs w:val="24"/>
        </w:rPr>
        <w:t xml:space="preserve"> under skærpet overvågning, jf. § 16.</w:t>
      </w:r>
      <w:r w:rsidR="00F1590B" w:rsidRPr="0059020A">
        <w:rPr>
          <w:rFonts w:cstheme="minorHAnsi"/>
          <w:sz w:val="24"/>
          <w:szCs w:val="24"/>
        </w:rPr>
        <w:t>”</w:t>
      </w:r>
    </w:p>
    <w:p w:rsidR="002A2AC6" w:rsidRDefault="002A2AC6" w:rsidP="00CD091A">
      <w:pPr>
        <w:rPr>
          <w:rFonts w:cstheme="minorHAnsi"/>
          <w:b/>
          <w:sz w:val="24"/>
          <w:szCs w:val="24"/>
        </w:rPr>
      </w:pPr>
    </w:p>
    <w:p w:rsidR="00F1590B" w:rsidRPr="000F0A3C" w:rsidRDefault="00A50188" w:rsidP="00CD091A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2.</w:t>
      </w:r>
      <w:r w:rsidR="00F1590B" w:rsidRPr="000F0A3C">
        <w:rPr>
          <w:rFonts w:cstheme="minorHAnsi"/>
          <w:sz w:val="24"/>
          <w:szCs w:val="24"/>
        </w:rPr>
        <w:t xml:space="preserve"> </w:t>
      </w:r>
      <w:r w:rsidR="00F1590B" w:rsidRPr="000F0A3C">
        <w:rPr>
          <w:rFonts w:cstheme="minorHAnsi"/>
          <w:i/>
          <w:sz w:val="24"/>
          <w:szCs w:val="24"/>
        </w:rPr>
        <w:t xml:space="preserve">§ 16 </w:t>
      </w:r>
      <w:r w:rsidR="00F1590B" w:rsidRPr="000F0A3C">
        <w:rPr>
          <w:rFonts w:cstheme="minorHAnsi"/>
          <w:sz w:val="24"/>
          <w:szCs w:val="24"/>
        </w:rPr>
        <w:t>affattes således:</w:t>
      </w:r>
    </w:p>
    <w:p w:rsidR="00CD091A" w:rsidRPr="000F0A3C" w:rsidRDefault="00337092" w:rsidP="00547B2F">
      <w:pPr>
        <w:rPr>
          <w:rFonts w:cstheme="minorHAnsi"/>
          <w:color w:val="212529"/>
          <w:sz w:val="24"/>
          <w:szCs w:val="24"/>
        </w:rPr>
      </w:pPr>
      <w:r>
        <w:rPr>
          <w:rStyle w:val="paragrafnr"/>
          <w:rFonts w:cstheme="minorHAnsi"/>
          <w:b/>
          <w:bCs/>
          <w:color w:val="212529"/>
          <w:sz w:val="24"/>
          <w:szCs w:val="24"/>
        </w:rPr>
        <w:t>”</w:t>
      </w:r>
      <w:r w:rsidR="00CD091A" w:rsidRPr="000F0A3C">
        <w:rPr>
          <w:rStyle w:val="paragrafnr"/>
          <w:rFonts w:cstheme="minorHAnsi"/>
          <w:b/>
          <w:bCs/>
          <w:color w:val="212529"/>
          <w:sz w:val="24"/>
          <w:szCs w:val="24"/>
        </w:rPr>
        <w:t>§ 16.</w:t>
      </w:r>
      <w:r w:rsidR="00CD091A" w:rsidRPr="000F0A3C">
        <w:rPr>
          <w:rFonts w:cstheme="minorHAnsi"/>
          <w:color w:val="212529"/>
          <w:sz w:val="24"/>
          <w:szCs w:val="24"/>
        </w:rPr>
        <w:t> Uanset § 15, stk. 3, kan primærproducenten dog markedsføre rå komælk i en periode med skærpet overvågning af det kriterium, der er overskredet, efter at mindst én repræsentativ enkeltprøve har dokumenteret, at celletallet i tankmælken er højst 400.000 celler/ml, eller at kimtallet i tankmælken er højst 100.000 cfu/ml.</w:t>
      </w:r>
      <w:r w:rsidR="00A81BB2" w:rsidRPr="000F0A3C">
        <w:rPr>
          <w:rFonts w:cstheme="minorHAnsi"/>
          <w:color w:val="212529"/>
          <w:sz w:val="24"/>
          <w:szCs w:val="24"/>
        </w:rPr>
        <w:t xml:space="preserve"> Indtil det kriterium, der er overskredet, igen er opfyldt, må mælken kun anvendes til produktion af oste med en modningstid på minimum 60 dage</w:t>
      </w:r>
      <w:r w:rsidR="003101AF">
        <w:rPr>
          <w:rFonts w:cstheme="minorHAnsi"/>
          <w:color w:val="212529"/>
        </w:rPr>
        <w:t xml:space="preserve"> og mejeriprodukter, der fremstilles i forbindelse med fremstillingen af sådanne oste</w:t>
      </w:r>
      <w:r w:rsidR="00A81BB2" w:rsidRPr="000F0A3C">
        <w:rPr>
          <w:rFonts w:cstheme="minorHAnsi"/>
          <w:color w:val="212529"/>
          <w:sz w:val="24"/>
          <w:szCs w:val="24"/>
        </w:rPr>
        <w:t>.</w:t>
      </w:r>
    </w:p>
    <w:p w:rsidR="00AB3DB0" w:rsidRPr="000F0A3C" w:rsidRDefault="00B25764" w:rsidP="00337092">
      <w:pPr>
        <w:pStyle w:val="paragraf"/>
        <w:shd w:val="clear" w:color="auto" w:fill="F9F9FB"/>
        <w:spacing w:before="200" w:beforeAutospacing="0" w:after="0" w:afterAutospacing="0"/>
        <w:rPr>
          <w:rFonts w:asciiTheme="minorHAnsi" w:hAnsiTheme="minorHAnsi" w:cstheme="minorHAnsi"/>
          <w:color w:val="212529"/>
        </w:rPr>
      </w:pPr>
      <w:r w:rsidRPr="0015460A">
        <w:rPr>
          <w:rFonts w:asciiTheme="minorHAnsi" w:hAnsiTheme="minorHAnsi" w:cstheme="minorHAnsi"/>
          <w:i/>
          <w:color w:val="212529"/>
        </w:rPr>
        <w:t>Stk. 2</w:t>
      </w:r>
      <w:r w:rsidRPr="000F0A3C">
        <w:rPr>
          <w:rFonts w:asciiTheme="minorHAnsi" w:hAnsiTheme="minorHAnsi" w:cstheme="minorHAnsi"/>
          <w:color w:val="212529"/>
        </w:rPr>
        <w:t xml:space="preserve">. Hvis mælken ved hver afhentning af rå komælk </w:t>
      </w:r>
      <w:r w:rsidR="00053863" w:rsidRPr="000F0A3C">
        <w:rPr>
          <w:rFonts w:asciiTheme="minorHAnsi" w:hAnsiTheme="minorHAnsi" w:cstheme="minorHAnsi"/>
          <w:color w:val="212529"/>
        </w:rPr>
        <w:t xml:space="preserve">undersøges </w:t>
      </w:r>
      <w:r w:rsidRPr="000F0A3C">
        <w:rPr>
          <w:rFonts w:asciiTheme="minorHAnsi" w:hAnsiTheme="minorHAnsi" w:cstheme="minorHAnsi"/>
          <w:color w:val="212529"/>
        </w:rPr>
        <w:t>for celletal og kimtal, og dette også var rutine før starten på periode</w:t>
      </w:r>
      <w:r w:rsidR="0031683F" w:rsidRPr="000F0A3C">
        <w:rPr>
          <w:rFonts w:asciiTheme="minorHAnsi" w:hAnsiTheme="minorHAnsi" w:cstheme="minorHAnsi"/>
          <w:color w:val="212529"/>
        </w:rPr>
        <w:t>n</w:t>
      </w:r>
      <w:r w:rsidRPr="000F0A3C">
        <w:rPr>
          <w:rFonts w:asciiTheme="minorHAnsi" w:hAnsiTheme="minorHAnsi" w:cstheme="minorHAnsi"/>
          <w:color w:val="212529"/>
        </w:rPr>
        <w:t xml:space="preserve"> med skærpet overvågning, </w:t>
      </w:r>
      <w:r w:rsidR="00A81BB2" w:rsidRPr="000F0A3C">
        <w:rPr>
          <w:rFonts w:asciiTheme="minorHAnsi" w:hAnsiTheme="minorHAnsi" w:cstheme="minorHAnsi"/>
          <w:color w:val="212529"/>
        </w:rPr>
        <w:t>kan den mælk, hvorfra den i stk. 1 nævnte repræsentative enkeltprøve udtages, dog afhentes og anvendes til produktion af oste med en modningstid på minimum 60 dage</w:t>
      </w:r>
      <w:r w:rsidR="003101AF">
        <w:rPr>
          <w:rFonts w:cstheme="minorHAnsi"/>
          <w:color w:val="212529"/>
        </w:rPr>
        <w:t xml:space="preserve"> og mejeriprodukter, der fremstilles i forbindelse med fremstillingen af sådanne oste</w:t>
      </w:r>
      <w:r w:rsidR="00A81BB2" w:rsidRPr="000F0A3C">
        <w:rPr>
          <w:rFonts w:asciiTheme="minorHAnsi" w:hAnsiTheme="minorHAnsi" w:cstheme="minorHAnsi"/>
          <w:color w:val="212529"/>
        </w:rPr>
        <w:t>.</w:t>
      </w:r>
    </w:p>
    <w:p w:rsidR="00770E03" w:rsidRDefault="00770E03" w:rsidP="00337092">
      <w:pPr>
        <w:pStyle w:val="stk2"/>
        <w:shd w:val="clear" w:color="auto" w:fill="F9F9FB"/>
        <w:spacing w:before="0" w:beforeAutospacing="0" w:after="0" w:afterAutospacing="0"/>
        <w:rPr>
          <w:rStyle w:val="stknr"/>
          <w:rFonts w:asciiTheme="minorHAnsi" w:hAnsiTheme="minorHAnsi" w:cstheme="minorHAnsi"/>
          <w:i/>
          <w:iCs/>
          <w:color w:val="212529"/>
        </w:rPr>
      </w:pPr>
    </w:p>
    <w:p w:rsidR="00CD091A" w:rsidRPr="000F0A3C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15460A">
        <w:rPr>
          <w:rStyle w:val="stknr"/>
          <w:rFonts w:asciiTheme="minorHAnsi" w:hAnsiTheme="minorHAnsi" w:cstheme="minorHAnsi"/>
          <w:i/>
          <w:iCs/>
          <w:color w:val="212529"/>
        </w:rPr>
        <w:t xml:space="preserve">Stk. </w:t>
      </w:r>
      <w:r w:rsidR="00A81BB2" w:rsidRPr="0015460A">
        <w:rPr>
          <w:rStyle w:val="stknr"/>
          <w:rFonts w:asciiTheme="minorHAnsi" w:hAnsiTheme="minorHAnsi" w:cstheme="minorHAnsi"/>
          <w:i/>
          <w:iCs/>
          <w:color w:val="212529"/>
        </w:rPr>
        <w:t>3</w:t>
      </w: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>.</w:t>
      </w:r>
      <w:r w:rsidRPr="000F0A3C">
        <w:rPr>
          <w:rFonts w:asciiTheme="minorHAnsi" w:hAnsiTheme="minorHAnsi" w:cstheme="minorHAnsi"/>
          <w:color w:val="212529"/>
        </w:rPr>
        <w:t xml:space="preserve"> I perioden med skærpet overvågning af det overskredne kriterium må primærproducenten kun markedsføre rå komælk, når samtlige ordinære enkeltprøver udtaget til analyse for det pågældende kriterium i overensstemmelse med § 17, stk. 1, viser, at celletallet i tankmælken er højst 400.000 celler/ml, eller at kimtallet i tankmælken er højest 100.000 cfu/ml. Viser den </w:t>
      </w:r>
      <w:r w:rsidRPr="000F0A3C">
        <w:rPr>
          <w:rFonts w:asciiTheme="minorHAnsi" w:hAnsiTheme="minorHAnsi" w:cstheme="minorHAnsi"/>
          <w:color w:val="212529"/>
        </w:rPr>
        <w:lastRenderedPageBreak/>
        <w:t>skærpede overvågning en overskridelse af det pågældende celletal eller kimtal, må der ikke markedsføres rå komælk fra bedriften.</w:t>
      </w:r>
    </w:p>
    <w:p w:rsidR="000F0A3C" w:rsidRPr="000F0A3C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:rsidR="00CD091A" w:rsidRPr="000F0A3C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 xml:space="preserve">Stk. </w:t>
      </w:r>
      <w:r w:rsidR="00A81BB2" w:rsidRPr="000F0A3C">
        <w:rPr>
          <w:rStyle w:val="stknr"/>
          <w:rFonts w:asciiTheme="minorHAnsi" w:hAnsiTheme="minorHAnsi" w:cstheme="minorHAnsi"/>
          <w:i/>
          <w:iCs/>
          <w:color w:val="212529"/>
        </w:rPr>
        <w:t>4</w:t>
      </w: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>.</w:t>
      </w:r>
      <w:r w:rsidRPr="000F0A3C">
        <w:rPr>
          <w:rFonts w:asciiTheme="minorHAnsi" w:hAnsiTheme="minorHAnsi" w:cstheme="minorHAnsi"/>
          <w:color w:val="212529"/>
        </w:rPr>
        <w:t> I perioden med skærpet overvågning skal virksomheder, der indsamler eller forarbejder rå komælk, straks underrette Fødevarestyrelsen om analyseresultater, der medfører afbrydelse eller genoptagelse af markedsføringen.</w:t>
      </w:r>
    </w:p>
    <w:p w:rsidR="000F0A3C" w:rsidRPr="000F0A3C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:rsidR="00CD091A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 xml:space="preserve">Stk. </w:t>
      </w:r>
      <w:r w:rsidR="00A81BB2" w:rsidRPr="000F0A3C">
        <w:rPr>
          <w:rStyle w:val="stknr"/>
          <w:rFonts w:asciiTheme="minorHAnsi" w:hAnsiTheme="minorHAnsi" w:cstheme="minorHAnsi"/>
          <w:i/>
          <w:iCs/>
          <w:color w:val="212529"/>
        </w:rPr>
        <w:t>5</w:t>
      </w: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>.</w:t>
      </w:r>
      <w:r w:rsidRPr="000F0A3C">
        <w:rPr>
          <w:rFonts w:asciiTheme="minorHAnsi" w:hAnsiTheme="minorHAnsi" w:cstheme="minorHAnsi"/>
          <w:color w:val="212529"/>
        </w:rPr>
        <w:t xml:space="preserve"> Primærproducenter i besætninger, hvorfra den rå mælk ikke indsamles eller forarbejdes af en virksomhed i Danmark, som ønsker at markedsføre rå mælk i en periode med skærpet overvågning, jf. stk. 1, skal sikre, at de i stk. 1-2 nævnte enkeltprøver udtages og analyseres. Primærproducenten skal sikre, at Fødevarestyrelsen </w:t>
      </w:r>
      <w:r w:rsidR="00F15D67" w:rsidRPr="000F0A3C">
        <w:rPr>
          <w:rFonts w:asciiTheme="minorHAnsi" w:hAnsiTheme="minorHAnsi" w:cstheme="minorHAnsi"/>
          <w:color w:val="212529"/>
        </w:rPr>
        <w:t xml:space="preserve">straks </w:t>
      </w:r>
      <w:r w:rsidRPr="000F0A3C">
        <w:rPr>
          <w:rFonts w:asciiTheme="minorHAnsi" w:hAnsiTheme="minorHAnsi" w:cstheme="minorHAnsi"/>
          <w:color w:val="212529"/>
        </w:rPr>
        <w:t>underrettes om analyseresultater, der medfører afbrydelse eller genoptagelse af markedsføringen.</w:t>
      </w:r>
    </w:p>
    <w:p w:rsidR="002A2AC6" w:rsidRPr="000F0A3C" w:rsidRDefault="002A2AC6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:rsidR="00CD091A" w:rsidRPr="000F0A3C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 xml:space="preserve">Stk. </w:t>
      </w:r>
      <w:r w:rsidR="00A81BB2" w:rsidRPr="000F0A3C">
        <w:rPr>
          <w:rStyle w:val="stknr"/>
          <w:rFonts w:asciiTheme="minorHAnsi" w:hAnsiTheme="minorHAnsi" w:cstheme="minorHAnsi"/>
          <w:i/>
          <w:iCs/>
          <w:color w:val="212529"/>
        </w:rPr>
        <w:t>6</w:t>
      </w: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>.</w:t>
      </w:r>
      <w:r w:rsidRPr="000F0A3C">
        <w:rPr>
          <w:rFonts w:asciiTheme="minorHAnsi" w:hAnsiTheme="minorHAnsi" w:cstheme="minorHAnsi"/>
          <w:color w:val="212529"/>
        </w:rPr>
        <w:t> Perioden med skærpet overvågning afsluttes, når det overskredne kriterium for celletal eller kimtal igen er opfyldt, jf. § 15, stk. 1.</w:t>
      </w:r>
    </w:p>
    <w:p w:rsidR="000F0A3C" w:rsidRPr="000F0A3C" w:rsidRDefault="000F0A3C" w:rsidP="00CD091A">
      <w:pPr>
        <w:pStyle w:val="stk2"/>
        <w:shd w:val="clear" w:color="auto" w:fill="F9F9FB"/>
        <w:spacing w:before="0" w:beforeAutospacing="0" w:after="0" w:afterAutospacing="0"/>
        <w:ind w:firstLine="240"/>
        <w:rPr>
          <w:rFonts w:asciiTheme="minorHAnsi" w:hAnsiTheme="minorHAnsi" w:cstheme="minorHAnsi"/>
          <w:color w:val="212529"/>
        </w:rPr>
      </w:pPr>
    </w:p>
    <w:p w:rsidR="00CD091A" w:rsidRPr="000F0A3C" w:rsidRDefault="00CD091A" w:rsidP="00337092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 xml:space="preserve">Stk. </w:t>
      </w:r>
      <w:r w:rsidR="00A81BB2" w:rsidRPr="000F0A3C">
        <w:rPr>
          <w:rStyle w:val="stknr"/>
          <w:rFonts w:asciiTheme="minorHAnsi" w:hAnsiTheme="minorHAnsi" w:cstheme="minorHAnsi"/>
          <w:i/>
          <w:iCs/>
          <w:color w:val="212529"/>
        </w:rPr>
        <w:t>7</w:t>
      </w:r>
      <w:r w:rsidRPr="000F0A3C">
        <w:rPr>
          <w:rStyle w:val="stknr"/>
          <w:rFonts w:asciiTheme="minorHAnsi" w:hAnsiTheme="minorHAnsi" w:cstheme="minorHAnsi"/>
          <w:i/>
          <w:iCs/>
          <w:color w:val="212529"/>
        </w:rPr>
        <w:t>.</w:t>
      </w:r>
      <w:r w:rsidRPr="000F0A3C">
        <w:rPr>
          <w:rFonts w:asciiTheme="minorHAnsi" w:hAnsiTheme="minorHAnsi" w:cstheme="minorHAnsi"/>
          <w:color w:val="212529"/>
        </w:rPr>
        <w:t> Perioden med skærpet overvågning kan højst vare 60 dage. Hvis kriterierne nævnt i § 15, stk. 1, ikke er opfyldt senest efter 60 dage med skærpet overvågning, skal primærproducenten afbryde markedsføringen af rå mælk fra bedriften. Markedsføringen må først genoptages, når mælken igen opfylder kriterier</w:t>
      </w:r>
      <w:r w:rsidR="00053863" w:rsidRPr="000F0A3C">
        <w:rPr>
          <w:rFonts w:asciiTheme="minorHAnsi" w:hAnsiTheme="minorHAnsi" w:cstheme="minorHAnsi"/>
          <w:color w:val="212529"/>
        </w:rPr>
        <w:t>ne for rå mælk.</w:t>
      </w:r>
      <w:r w:rsidR="00053863" w:rsidRPr="000F0A3C" w:rsidDel="00053863">
        <w:rPr>
          <w:rFonts w:asciiTheme="minorHAnsi" w:hAnsiTheme="minorHAnsi" w:cstheme="minorHAnsi"/>
          <w:color w:val="212529"/>
        </w:rPr>
        <w:t xml:space="preserve"> </w:t>
      </w:r>
      <w:r w:rsidR="00F1590B" w:rsidRPr="000F0A3C">
        <w:rPr>
          <w:rFonts w:asciiTheme="minorHAnsi" w:hAnsiTheme="minorHAnsi" w:cstheme="minorHAnsi"/>
          <w:color w:val="212529"/>
        </w:rPr>
        <w:t>”</w:t>
      </w:r>
    </w:p>
    <w:p w:rsidR="00F1590B" w:rsidRPr="000F0A3C" w:rsidRDefault="00F1590B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0F0A3C" w:rsidRPr="000F0A3C" w:rsidRDefault="000F0A3C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F1590B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b/>
          <w:color w:val="212529"/>
        </w:rPr>
        <w:t>3.</w:t>
      </w:r>
      <w:r w:rsidR="00F1590B" w:rsidRPr="000F0A3C">
        <w:rPr>
          <w:rFonts w:asciiTheme="minorHAnsi" w:hAnsiTheme="minorHAnsi" w:cstheme="minorHAnsi"/>
          <w:b/>
          <w:color w:val="212529"/>
        </w:rPr>
        <w:t xml:space="preserve"> </w:t>
      </w:r>
      <w:r w:rsidR="00F1590B" w:rsidRPr="000F0A3C">
        <w:rPr>
          <w:rFonts w:asciiTheme="minorHAnsi" w:hAnsiTheme="minorHAnsi" w:cstheme="minorHAnsi"/>
          <w:i/>
          <w:color w:val="212529"/>
        </w:rPr>
        <w:t xml:space="preserve">§ 17 </w:t>
      </w:r>
      <w:r w:rsidR="00F1590B" w:rsidRPr="000F0A3C">
        <w:rPr>
          <w:rFonts w:asciiTheme="minorHAnsi" w:hAnsiTheme="minorHAnsi" w:cstheme="minorHAnsi"/>
          <w:color w:val="212529"/>
        </w:rPr>
        <w:t>affattes således:</w:t>
      </w:r>
    </w:p>
    <w:p w:rsidR="0085737E" w:rsidRPr="000F0A3C" w:rsidRDefault="0085737E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85737E" w:rsidRDefault="00F1590B" w:rsidP="0085737E">
      <w:pPr>
        <w:jc w:val="center"/>
      </w:pPr>
      <w:r w:rsidRPr="000F0A3C">
        <w:rPr>
          <w:rFonts w:cstheme="minorHAnsi"/>
          <w:color w:val="212529"/>
        </w:rPr>
        <w:t>”</w:t>
      </w:r>
      <w:r w:rsidR="0085737E" w:rsidRPr="0085737E">
        <w:t xml:space="preserve"> </w:t>
      </w:r>
      <w:r w:rsidR="0085737E" w:rsidRPr="0085737E">
        <w:rPr>
          <w:i/>
        </w:rPr>
        <w:t>Kontrol med kriterier for rå komælk i periode med skærpet overvågning</w:t>
      </w:r>
    </w:p>
    <w:p w:rsidR="0085737E" w:rsidRDefault="0085737E" w:rsidP="0085737E">
      <w:r w:rsidRPr="0085737E">
        <w:rPr>
          <w:b/>
        </w:rPr>
        <w:t>§ 17</w:t>
      </w:r>
      <w:r>
        <w:t>. Virksomheder, der indsamler eller forarbejder rå komælk modtaget fra primærproducenter under skærpet overvågning, jf. § 16, skal sikre, at der mindst ugentligt udtages repræsentative, ordinære stikprøver af rå komælk, som analyseres med fastlagt, ordinær frekvens, der som minimum opfylder bilag 2. Prøverne skal udtages ved indsamling i tankvogn eller ved levering til en fødevarevirksomhed.</w:t>
      </w:r>
    </w:p>
    <w:p w:rsidR="0085737E" w:rsidRDefault="0085737E" w:rsidP="0085737E">
      <w:r>
        <w:t>Stk. 2. Såfremt den i stk. 1 nævnte stikprøve udtages og analyseres af en i Danmark beliggende virksomhed, skal der ikke udtages yderligere stikprøver af rå komælk fra samme tank på den givne primærbedrift.</w:t>
      </w:r>
    </w:p>
    <w:p w:rsidR="00F1590B" w:rsidRPr="0085737E" w:rsidRDefault="0085737E" w:rsidP="0085737E">
      <w:r>
        <w:t>Stk. 3. Virksomheden skal stille samtlige analyseresultater til rådighed for Fødevarestyrelsen.</w:t>
      </w:r>
      <w:r w:rsidR="00F1590B" w:rsidRPr="000F0A3C">
        <w:rPr>
          <w:rFonts w:cstheme="minorHAnsi"/>
          <w:color w:val="212529"/>
        </w:rPr>
        <w:t>”</w:t>
      </w:r>
    </w:p>
    <w:p w:rsidR="00A50188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A50188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 w:rsidRPr="00A50188">
        <w:rPr>
          <w:rFonts w:asciiTheme="minorHAnsi" w:hAnsiTheme="minorHAnsi" w:cstheme="minorHAnsi"/>
          <w:b/>
          <w:color w:val="212529"/>
        </w:rPr>
        <w:t xml:space="preserve">4. </w:t>
      </w:r>
      <w:r w:rsidRPr="00A50188">
        <w:rPr>
          <w:rFonts w:asciiTheme="minorHAnsi" w:hAnsiTheme="minorHAnsi" w:cstheme="minorHAnsi"/>
          <w:i/>
          <w:color w:val="212529"/>
        </w:rPr>
        <w:t>§ 3</w:t>
      </w:r>
      <w:r w:rsidR="00D16219">
        <w:rPr>
          <w:rFonts w:asciiTheme="minorHAnsi" w:hAnsiTheme="minorHAnsi" w:cstheme="minorHAnsi"/>
          <w:i/>
          <w:color w:val="212529"/>
        </w:rPr>
        <w:t>8</w:t>
      </w:r>
      <w:r w:rsidRPr="00A50188">
        <w:rPr>
          <w:rFonts w:asciiTheme="minorHAnsi" w:hAnsiTheme="minorHAnsi" w:cstheme="minorHAnsi"/>
          <w:i/>
          <w:color w:val="212529"/>
        </w:rPr>
        <w:t xml:space="preserve">, stk. 4, </w:t>
      </w:r>
      <w:r w:rsidRPr="00A50188">
        <w:rPr>
          <w:rFonts w:asciiTheme="minorHAnsi" w:hAnsiTheme="minorHAnsi" w:cstheme="minorHAnsi"/>
          <w:color w:val="212529"/>
        </w:rPr>
        <w:t>affattes således:</w:t>
      </w:r>
    </w:p>
    <w:p w:rsidR="0085737E" w:rsidRPr="00A50188" w:rsidRDefault="0085737E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i/>
          <w:color w:val="212529"/>
        </w:rPr>
      </w:pPr>
    </w:p>
    <w:p w:rsidR="00A50188" w:rsidRDefault="00337092" w:rsidP="00A50188">
      <w:pPr>
        <w:spacing w:after="0" w:line="240" w:lineRule="auto"/>
        <w:rPr>
          <w:sz w:val="24"/>
          <w:szCs w:val="24"/>
        </w:rPr>
      </w:pPr>
      <w:r>
        <w:rPr>
          <w:rFonts w:cstheme="minorHAnsi"/>
          <w:color w:val="212529"/>
          <w:sz w:val="24"/>
          <w:szCs w:val="24"/>
        </w:rPr>
        <w:t>”</w:t>
      </w:r>
      <w:r w:rsidR="00A50188" w:rsidRPr="0015460A">
        <w:rPr>
          <w:i/>
          <w:sz w:val="24"/>
          <w:szCs w:val="24"/>
        </w:rPr>
        <w:t>Stk. 4</w:t>
      </w:r>
      <w:r w:rsidR="00A50188" w:rsidRPr="00A50188">
        <w:rPr>
          <w:sz w:val="24"/>
          <w:szCs w:val="24"/>
        </w:rPr>
        <w:t>. Arbejdsdyr, der er specielt trænet til at udføre en eller flere nytteopgaver, f</w:t>
      </w:r>
      <w:r w:rsidR="00A50188">
        <w:rPr>
          <w:sz w:val="24"/>
          <w:szCs w:val="24"/>
        </w:rPr>
        <w:t>. eks.</w:t>
      </w:r>
      <w:r w:rsidR="00A50188" w:rsidRPr="00A50188">
        <w:rPr>
          <w:sz w:val="24"/>
          <w:szCs w:val="24"/>
        </w:rPr>
        <w:t xml:space="preserve"> bekæmpelse af skadedyr eller organoleptisk undersøgelse af fødevarer, kan have adgang til fødevarevirksomheder, når dette sker i forbindelse med en professionel aktørs arbejde. Det er fødevarevirksomhedens ansvar at sikre, at sådan adgang ikke giver anledning til kontaminering af fødevarerne.”</w:t>
      </w:r>
    </w:p>
    <w:p w:rsidR="008A2A56" w:rsidRDefault="008A2A56" w:rsidP="00A50188">
      <w:pPr>
        <w:spacing w:after="0" w:line="240" w:lineRule="auto"/>
        <w:rPr>
          <w:sz w:val="24"/>
          <w:szCs w:val="24"/>
        </w:rPr>
      </w:pPr>
    </w:p>
    <w:p w:rsidR="008A2A56" w:rsidRDefault="008A2A56" w:rsidP="00A50188">
      <w:pPr>
        <w:spacing w:after="0" w:line="240" w:lineRule="auto"/>
        <w:rPr>
          <w:sz w:val="24"/>
          <w:szCs w:val="24"/>
        </w:rPr>
      </w:pPr>
    </w:p>
    <w:p w:rsidR="008A2A56" w:rsidRDefault="008A2A56" w:rsidP="00A50188">
      <w:pPr>
        <w:spacing w:after="0" w:line="240" w:lineRule="auto"/>
        <w:rPr>
          <w:sz w:val="24"/>
          <w:szCs w:val="24"/>
        </w:rPr>
      </w:pPr>
    </w:p>
    <w:p w:rsidR="008A2A56" w:rsidRDefault="008A2A56" w:rsidP="00A50188">
      <w:pPr>
        <w:spacing w:after="0" w:line="240" w:lineRule="auto"/>
        <w:rPr>
          <w:sz w:val="24"/>
          <w:szCs w:val="24"/>
        </w:rPr>
      </w:pPr>
    </w:p>
    <w:p w:rsidR="008A2A56" w:rsidRDefault="008A2A56" w:rsidP="00A50188">
      <w:pPr>
        <w:spacing w:after="0" w:line="240" w:lineRule="auto"/>
        <w:rPr>
          <w:sz w:val="24"/>
          <w:szCs w:val="24"/>
        </w:rPr>
      </w:pPr>
    </w:p>
    <w:p w:rsidR="008A2A56" w:rsidRDefault="008A2A56" w:rsidP="00A50188">
      <w:pPr>
        <w:spacing w:after="0" w:line="240" w:lineRule="auto"/>
        <w:rPr>
          <w:sz w:val="24"/>
          <w:szCs w:val="24"/>
        </w:rPr>
      </w:pPr>
    </w:p>
    <w:p w:rsidR="008A2A56" w:rsidRPr="00A50188" w:rsidRDefault="008A2A56" w:rsidP="00A50188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:rsidR="00A50188" w:rsidRPr="00A50188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F1590B" w:rsidRPr="000F0A3C" w:rsidRDefault="00F1590B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</w:p>
    <w:p w:rsidR="004D3390" w:rsidRPr="000F0A3C" w:rsidRDefault="00A50188" w:rsidP="00F1590B">
      <w:pPr>
        <w:pStyle w:val="stk2"/>
        <w:shd w:val="clear" w:color="auto" w:fill="F9F9FB"/>
        <w:spacing w:before="0" w:beforeAutospacing="0" w:after="0" w:afterAutospacing="0"/>
        <w:rPr>
          <w:rFonts w:asciiTheme="minorHAnsi" w:hAnsiTheme="minorHAnsi" w:cstheme="minorHAnsi"/>
          <w:color w:val="212529"/>
        </w:rPr>
      </w:pPr>
      <w:r>
        <w:rPr>
          <w:rFonts w:asciiTheme="minorHAnsi" w:hAnsiTheme="minorHAnsi" w:cstheme="minorHAnsi"/>
          <w:b/>
          <w:color w:val="212529"/>
        </w:rPr>
        <w:t>5.</w:t>
      </w:r>
      <w:r w:rsidR="00F1590B" w:rsidRPr="000F0A3C">
        <w:rPr>
          <w:rFonts w:asciiTheme="minorHAnsi" w:hAnsiTheme="minorHAnsi" w:cstheme="minorHAnsi"/>
          <w:b/>
          <w:color w:val="212529"/>
        </w:rPr>
        <w:t xml:space="preserve"> </w:t>
      </w:r>
      <w:r w:rsidR="00F1590B" w:rsidRPr="000F0A3C">
        <w:rPr>
          <w:rFonts w:asciiTheme="minorHAnsi" w:hAnsiTheme="minorHAnsi" w:cstheme="minorHAnsi"/>
          <w:i/>
          <w:color w:val="212529"/>
        </w:rPr>
        <w:t>Bilag 2</w:t>
      </w:r>
      <w:r w:rsidR="00F1590B" w:rsidRPr="000F0A3C">
        <w:rPr>
          <w:rFonts w:asciiTheme="minorHAnsi" w:hAnsiTheme="minorHAnsi" w:cstheme="minorHAnsi"/>
          <w:color w:val="212529"/>
        </w:rPr>
        <w:t xml:space="preserve"> affattes således: </w:t>
      </w:r>
    </w:p>
    <w:p w:rsidR="00D81FFD" w:rsidRPr="000F0A3C" w:rsidRDefault="00D81FFD" w:rsidP="00CD091A">
      <w:pPr>
        <w:rPr>
          <w:rFonts w:eastAsia="Times New Roman" w:cstheme="minorHAnsi"/>
          <w:color w:val="212529"/>
          <w:sz w:val="24"/>
          <w:szCs w:val="24"/>
          <w:lang w:eastAsia="da-DK"/>
        </w:rPr>
      </w:pPr>
    </w:p>
    <w:p w:rsidR="00D81FFD" w:rsidRPr="000F0A3C" w:rsidRDefault="00F1590B" w:rsidP="00D81FFD">
      <w:pPr>
        <w:jc w:val="right"/>
        <w:rPr>
          <w:rFonts w:cstheme="minorHAnsi"/>
          <w:b/>
          <w:sz w:val="24"/>
          <w:szCs w:val="24"/>
        </w:rPr>
      </w:pPr>
      <w:r w:rsidRPr="000F0A3C">
        <w:rPr>
          <w:rFonts w:cstheme="minorHAnsi"/>
          <w:b/>
          <w:sz w:val="24"/>
          <w:szCs w:val="24"/>
        </w:rPr>
        <w:t>”</w:t>
      </w:r>
      <w:r w:rsidR="00D81FFD" w:rsidRPr="000F0A3C">
        <w:rPr>
          <w:rFonts w:cstheme="minorHAnsi"/>
          <w:b/>
          <w:sz w:val="24"/>
          <w:szCs w:val="24"/>
        </w:rPr>
        <w:t>Bilag 2</w:t>
      </w:r>
    </w:p>
    <w:p w:rsidR="00D81FFD" w:rsidRPr="000F0A3C" w:rsidRDefault="00D81FFD" w:rsidP="00D81FFD">
      <w:pPr>
        <w:rPr>
          <w:rFonts w:cstheme="minorHAnsi"/>
          <w:sz w:val="24"/>
          <w:szCs w:val="24"/>
        </w:rPr>
      </w:pPr>
    </w:p>
    <w:p w:rsidR="00D81FFD" w:rsidRPr="000F0A3C" w:rsidRDefault="00D81FFD" w:rsidP="00D81FFD">
      <w:pPr>
        <w:rPr>
          <w:rFonts w:cstheme="minorHAnsi"/>
          <w:sz w:val="24"/>
          <w:szCs w:val="24"/>
        </w:rPr>
      </w:pPr>
      <w:r w:rsidRPr="000F0A3C">
        <w:rPr>
          <w:rFonts w:cstheme="minorHAnsi"/>
          <w:sz w:val="24"/>
          <w:szCs w:val="24"/>
        </w:rPr>
        <w:t xml:space="preserve">Kontrol med kriterier for rå </w:t>
      </w:r>
      <w:r w:rsidR="00A274CC">
        <w:rPr>
          <w:rFonts w:cstheme="minorHAnsi"/>
          <w:sz w:val="24"/>
          <w:szCs w:val="24"/>
        </w:rPr>
        <w:t>ko</w:t>
      </w:r>
      <w:r w:rsidRPr="000F0A3C">
        <w:rPr>
          <w:rFonts w:cstheme="minorHAnsi"/>
          <w:sz w:val="24"/>
          <w:szCs w:val="24"/>
        </w:rPr>
        <w:t xml:space="preserve">mælk </w:t>
      </w:r>
      <w:r w:rsidR="00A274CC">
        <w:rPr>
          <w:rFonts w:cstheme="minorHAnsi"/>
          <w:sz w:val="24"/>
          <w:szCs w:val="24"/>
        </w:rPr>
        <w:t xml:space="preserve">i perioden med skærpet overvågning </w:t>
      </w:r>
      <w:r w:rsidRPr="000F0A3C">
        <w:rPr>
          <w:rFonts w:cstheme="minorHAnsi"/>
          <w:sz w:val="24"/>
          <w:szCs w:val="24"/>
        </w:rPr>
        <w:t xml:space="preserve">(jf. § </w:t>
      </w:r>
      <w:r w:rsidR="00F80EAE" w:rsidRPr="000F0A3C">
        <w:rPr>
          <w:rFonts w:cstheme="minorHAnsi"/>
          <w:sz w:val="24"/>
          <w:szCs w:val="24"/>
        </w:rPr>
        <w:t>16</w:t>
      </w:r>
      <w:r w:rsidRPr="000F0A3C">
        <w:rPr>
          <w:rFonts w:cstheme="minorHAnsi"/>
          <w:sz w:val="24"/>
          <w:szCs w:val="24"/>
        </w:rPr>
        <w:t>)</w:t>
      </w:r>
    </w:p>
    <w:p w:rsidR="00D81FFD" w:rsidRPr="000F0A3C" w:rsidRDefault="00D81FFD" w:rsidP="00D81FFD">
      <w:pPr>
        <w:rPr>
          <w:rFonts w:cstheme="minorHAnsi"/>
          <w:sz w:val="24"/>
          <w:szCs w:val="24"/>
        </w:rPr>
      </w:pPr>
      <w:r w:rsidRPr="000F0A3C">
        <w:rPr>
          <w:rFonts w:cstheme="minorHAnsi"/>
          <w:sz w:val="24"/>
          <w:szCs w:val="24"/>
        </w:rPr>
        <w:t>Prøverne skal mindst underkastes følgende undersøgelser: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81FFD" w:rsidRPr="000F0A3C" w:rsidTr="00D81FFD"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0F0A3C">
              <w:rPr>
                <w:rFonts w:cstheme="minorHAnsi"/>
                <w:b/>
                <w:sz w:val="24"/>
                <w:szCs w:val="24"/>
              </w:rPr>
              <w:t>Bestemmelse af kimtal ved 30 °C</w:t>
            </w:r>
          </w:p>
        </w:tc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0F0A3C">
              <w:rPr>
                <w:rFonts w:cstheme="minorHAnsi"/>
                <w:b/>
                <w:sz w:val="24"/>
                <w:szCs w:val="24"/>
              </w:rPr>
              <w:t>Bestemmelse af celletal</w:t>
            </w:r>
          </w:p>
        </w:tc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0F0A3C">
              <w:rPr>
                <w:rFonts w:cstheme="minorHAnsi"/>
                <w:b/>
                <w:sz w:val="24"/>
                <w:szCs w:val="24"/>
              </w:rPr>
              <w:t>Bestemmelse af indhold af antibiotikarester</w:t>
            </w:r>
          </w:p>
        </w:tc>
      </w:tr>
      <w:tr w:rsidR="00D81FFD" w:rsidRPr="000F0A3C" w:rsidTr="00D81FFD"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b/>
                <w:sz w:val="24"/>
                <w:szCs w:val="24"/>
              </w:rPr>
            </w:pPr>
            <w:r w:rsidRPr="000F0A3C">
              <w:rPr>
                <w:rFonts w:cstheme="minorHAnsi"/>
                <w:b/>
                <w:sz w:val="24"/>
                <w:szCs w:val="24"/>
              </w:rPr>
              <w:t>Frekvens ved skærpet overvågning</w:t>
            </w:r>
          </w:p>
        </w:tc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0F0A3C">
              <w:rPr>
                <w:rFonts w:cstheme="minorHAnsi"/>
                <w:sz w:val="24"/>
                <w:szCs w:val="24"/>
              </w:rPr>
              <w:t>1 gang for hver uge</w:t>
            </w:r>
          </w:p>
        </w:tc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0F0A3C">
              <w:rPr>
                <w:rFonts w:cstheme="minorHAnsi"/>
                <w:sz w:val="24"/>
                <w:szCs w:val="24"/>
              </w:rPr>
              <w:t>1 gang for hver uge</w:t>
            </w:r>
          </w:p>
        </w:tc>
        <w:tc>
          <w:tcPr>
            <w:tcW w:w="2407" w:type="dxa"/>
          </w:tcPr>
          <w:p w:rsidR="00D81FFD" w:rsidRPr="000F0A3C" w:rsidRDefault="00D81FFD" w:rsidP="00D81FFD">
            <w:pPr>
              <w:rPr>
                <w:rFonts w:cstheme="minorHAnsi"/>
                <w:sz w:val="24"/>
                <w:szCs w:val="24"/>
              </w:rPr>
            </w:pPr>
            <w:r w:rsidRPr="000F0A3C">
              <w:rPr>
                <w:rFonts w:cstheme="minorHAnsi"/>
                <w:sz w:val="24"/>
                <w:szCs w:val="24"/>
              </w:rPr>
              <w:t>1 gang for hver 4 uger</w:t>
            </w:r>
          </w:p>
        </w:tc>
      </w:tr>
    </w:tbl>
    <w:p w:rsidR="00D81FFD" w:rsidRPr="000F0A3C" w:rsidRDefault="00D81FFD" w:rsidP="00D81FFD">
      <w:pPr>
        <w:rPr>
          <w:rFonts w:cstheme="minorHAnsi"/>
          <w:sz w:val="24"/>
          <w:szCs w:val="24"/>
        </w:rPr>
      </w:pPr>
    </w:p>
    <w:p w:rsidR="00D81FFD" w:rsidRDefault="00F80EAE" w:rsidP="00F80EAE">
      <w:pPr>
        <w:rPr>
          <w:rFonts w:cstheme="minorHAnsi"/>
          <w:sz w:val="24"/>
          <w:szCs w:val="24"/>
        </w:rPr>
      </w:pPr>
      <w:r w:rsidRPr="000F0A3C">
        <w:rPr>
          <w:rFonts w:cstheme="minorHAnsi"/>
          <w:sz w:val="24"/>
          <w:szCs w:val="24"/>
        </w:rPr>
        <w:t>Ved fund af antibiotikarester, der overskrider maksimalgrænseværdien for restkoncentrationer for det pågældende stof, gentages undersøgelsen i hver af de næste 4 uger.</w:t>
      </w:r>
      <w:r w:rsidR="00F1590B" w:rsidRPr="000F0A3C">
        <w:rPr>
          <w:rFonts w:cstheme="minorHAnsi"/>
          <w:sz w:val="24"/>
          <w:szCs w:val="24"/>
        </w:rPr>
        <w:t>”</w:t>
      </w:r>
    </w:p>
    <w:p w:rsidR="000F0A3C" w:rsidRDefault="000F0A3C" w:rsidP="00F80EAE">
      <w:pPr>
        <w:rPr>
          <w:rFonts w:cstheme="minorHAnsi"/>
          <w:sz w:val="24"/>
          <w:szCs w:val="24"/>
        </w:rPr>
      </w:pPr>
    </w:p>
    <w:p w:rsidR="000F0A3C" w:rsidRDefault="000F0A3C" w:rsidP="00F80EAE">
      <w:pPr>
        <w:rPr>
          <w:rFonts w:cstheme="minorHAnsi"/>
          <w:sz w:val="24"/>
          <w:szCs w:val="24"/>
        </w:rPr>
      </w:pPr>
    </w:p>
    <w:p w:rsidR="000F0A3C" w:rsidRPr="000F0A3C" w:rsidRDefault="000F0A3C" w:rsidP="000F0A3C">
      <w:pPr>
        <w:jc w:val="center"/>
        <w:rPr>
          <w:rFonts w:cstheme="minorHAnsi"/>
          <w:b/>
          <w:sz w:val="24"/>
          <w:szCs w:val="24"/>
        </w:rPr>
      </w:pPr>
      <w:r w:rsidRPr="000F0A3C">
        <w:rPr>
          <w:rFonts w:cstheme="minorHAnsi"/>
          <w:b/>
          <w:sz w:val="24"/>
          <w:szCs w:val="24"/>
        </w:rPr>
        <w:t>§ 2</w:t>
      </w:r>
    </w:p>
    <w:p w:rsidR="0015460A" w:rsidRDefault="0015460A" w:rsidP="000F0A3C">
      <w:pPr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Stk. 1. </w:t>
      </w:r>
      <w:r w:rsidR="000F0A3C">
        <w:rPr>
          <w:rFonts w:cstheme="minorHAnsi"/>
          <w:sz w:val="24"/>
          <w:szCs w:val="24"/>
        </w:rPr>
        <w:t xml:space="preserve">Bekendtgørelsen træder i kraft den 1. januar 2022. </w:t>
      </w:r>
    </w:p>
    <w:p w:rsidR="000F0A3C" w:rsidRPr="000F0A3C" w:rsidRDefault="0015460A" w:rsidP="000F0A3C">
      <w:pPr>
        <w:rPr>
          <w:rFonts w:cstheme="minorHAnsi"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Stk. 2. </w:t>
      </w:r>
      <w:r w:rsidR="00A05302">
        <w:rPr>
          <w:rFonts w:cstheme="minorHAnsi"/>
          <w:sz w:val="24"/>
          <w:szCs w:val="24"/>
        </w:rPr>
        <w:t>B</w:t>
      </w:r>
      <w:r w:rsidR="000F0A3C">
        <w:rPr>
          <w:rFonts w:cstheme="minorHAnsi"/>
          <w:sz w:val="24"/>
          <w:szCs w:val="24"/>
        </w:rPr>
        <w:t xml:space="preserve">ekendtgørelse nr. 497 af 23. marts 2021 </w:t>
      </w:r>
      <w:r w:rsidR="002A2AC6">
        <w:rPr>
          <w:rFonts w:cstheme="minorHAnsi"/>
          <w:sz w:val="24"/>
          <w:szCs w:val="24"/>
        </w:rPr>
        <w:t>o</w:t>
      </w:r>
      <w:r w:rsidR="000F0A3C">
        <w:rPr>
          <w:rFonts w:cstheme="minorHAnsi"/>
          <w:sz w:val="24"/>
          <w:szCs w:val="24"/>
        </w:rPr>
        <w:t>m fødevarehygiejne</w:t>
      </w:r>
      <w:r w:rsidR="00A05302">
        <w:rPr>
          <w:rFonts w:cstheme="minorHAnsi"/>
          <w:sz w:val="24"/>
          <w:szCs w:val="24"/>
        </w:rPr>
        <w:t xml:space="preserve"> ophæves</w:t>
      </w:r>
      <w:r w:rsidR="000F0A3C">
        <w:rPr>
          <w:rFonts w:cstheme="minorHAnsi"/>
          <w:sz w:val="24"/>
          <w:szCs w:val="24"/>
        </w:rPr>
        <w:t>.</w:t>
      </w:r>
    </w:p>
    <w:sectPr w:rsidR="000F0A3C" w:rsidRPr="000F0A3C" w:rsidSect="00D81F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CF7" w:rsidRDefault="00745CF7" w:rsidP="00A50188">
      <w:pPr>
        <w:spacing w:after="0" w:line="240" w:lineRule="auto"/>
      </w:pPr>
      <w:r>
        <w:separator/>
      </w:r>
    </w:p>
  </w:endnote>
  <w:endnote w:type="continuationSeparator" w:id="0">
    <w:p w:rsidR="00745CF7" w:rsidRDefault="00745CF7" w:rsidP="00A50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CF7" w:rsidRDefault="00745CF7" w:rsidP="00A50188">
      <w:pPr>
        <w:spacing w:after="0" w:line="240" w:lineRule="auto"/>
      </w:pPr>
      <w:r>
        <w:separator/>
      </w:r>
    </w:p>
  </w:footnote>
  <w:footnote w:type="continuationSeparator" w:id="0">
    <w:p w:rsidR="00745CF7" w:rsidRDefault="00745CF7" w:rsidP="00A501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89"/>
    <w:rsid w:val="00043C9D"/>
    <w:rsid w:val="00053863"/>
    <w:rsid w:val="00060FC9"/>
    <w:rsid w:val="000F0A3C"/>
    <w:rsid w:val="0015460A"/>
    <w:rsid w:val="001D7D66"/>
    <w:rsid w:val="001E4D7D"/>
    <w:rsid w:val="002A2AC6"/>
    <w:rsid w:val="002E7540"/>
    <w:rsid w:val="003101AF"/>
    <w:rsid w:val="00315D7E"/>
    <w:rsid w:val="0031683F"/>
    <w:rsid w:val="00331B89"/>
    <w:rsid w:val="00337092"/>
    <w:rsid w:val="00340D26"/>
    <w:rsid w:val="00345694"/>
    <w:rsid w:val="00370DEF"/>
    <w:rsid w:val="003A0A26"/>
    <w:rsid w:val="003A7D73"/>
    <w:rsid w:val="00401EFA"/>
    <w:rsid w:val="004D3390"/>
    <w:rsid w:val="00536C63"/>
    <w:rsid w:val="00547B2F"/>
    <w:rsid w:val="0059020A"/>
    <w:rsid w:val="00606DB6"/>
    <w:rsid w:val="006E1949"/>
    <w:rsid w:val="00745CF7"/>
    <w:rsid w:val="007471C9"/>
    <w:rsid w:val="00770E03"/>
    <w:rsid w:val="007C370C"/>
    <w:rsid w:val="007F718C"/>
    <w:rsid w:val="0085737E"/>
    <w:rsid w:val="008A2A56"/>
    <w:rsid w:val="008B2F9D"/>
    <w:rsid w:val="00941AEB"/>
    <w:rsid w:val="009D7E07"/>
    <w:rsid w:val="009E01F3"/>
    <w:rsid w:val="009E59CB"/>
    <w:rsid w:val="00A05302"/>
    <w:rsid w:val="00A274CC"/>
    <w:rsid w:val="00A50188"/>
    <w:rsid w:val="00A81BB2"/>
    <w:rsid w:val="00AB3DB0"/>
    <w:rsid w:val="00AC66E3"/>
    <w:rsid w:val="00AD6948"/>
    <w:rsid w:val="00AD70F9"/>
    <w:rsid w:val="00B25764"/>
    <w:rsid w:val="00B30803"/>
    <w:rsid w:val="00B829C9"/>
    <w:rsid w:val="00BE4F33"/>
    <w:rsid w:val="00C630C9"/>
    <w:rsid w:val="00C71862"/>
    <w:rsid w:val="00C84738"/>
    <w:rsid w:val="00CD091A"/>
    <w:rsid w:val="00D138BD"/>
    <w:rsid w:val="00D16219"/>
    <w:rsid w:val="00D81FFD"/>
    <w:rsid w:val="00DA3397"/>
    <w:rsid w:val="00E0416A"/>
    <w:rsid w:val="00E80038"/>
    <w:rsid w:val="00E9538F"/>
    <w:rsid w:val="00EF0C4F"/>
    <w:rsid w:val="00F1590B"/>
    <w:rsid w:val="00F15D67"/>
    <w:rsid w:val="00F5325A"/>
    <w:rsid w:val="00F8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C716"/>
  <w15:chartTrackingRefBased/>
  <w15:docId w15:val="{DD8C494C-9BBB-4BAB-92FF-3A523981D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D0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D091A"/>
    <w:rPr>
      <w:rFonts w:ascii="Segoe UI" w:hAnsi="Segoe UI" w:cs="Segoe UI"/>
      <w:sz w:val="18"/>
      <w:szCs w:val="18"/>
    </w:rPr>
  </w:style>
  <w:style w:type="paragraph" w:customStyle="1" w:styleId="paragrafgruppeoverskrift">
    <w:name w:val="paragrafgruppeoverskrift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italic">
    <w:name w:val="italic"/>
    <w:basedOn w:val="Standardskrifttypeiafsnit"/>
    <w:rsid w:val="00CD091A"/>
  </w:style>
  <w:style w:type="paragraph" w:customStyle="1" w:styleId="paragraf">
    <w:name w:val="paragraf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paragrafnr">
    <w:name w:val="paragrafnr"/>
    <w:basedOn w:val="Standardskrifttypeiafsnit"/>
    <w:rsid w:val="00CD091A"/>
  </w:style>
  <w:style w:type="paragraph" w:customStyle="1" w:styleId="stk2">
    <w:name w:val="stk2"/>
    <w:basedOn w:val="Normal"/>
    <w:rsid w:val="00CD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stknr">
    <w:name w:val="stknr"/>
    <w:basedOn w:val="Standardskrifttypeiafsnit"/>
    <w:rsid w:val="00CD091A"/>
  </w:style>
  <w:style w:type="character" w:styleId="Kommentarhenvisning">
    <w:name w:val="annotation reference"/>
    <w:basedOn w:val="Standardskrifttypeiafsnit"/>
    <w:uiPriority w:val="99"/>
    <w:semiHidden/>
    <w:unhideWhenUsed/>
    <w:rsid w:val="00B2576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2576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2576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2576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25764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2E7540"/>
    <w:pPr>
      <w:spacing w:after="0" w:line="240" w:lineRule="auto"/>
    </w:pPr>
  </w:style>
  <w:style w:type="table" w:styleId="Tabel-Gitter">
    <w:name w:val="Table Grid"/>
    <w:basedOn w:val="Tabel-Normal"/>
    <w:uiPriority w:val="39"/>
    <w:rsid w:val="00D81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50188"/>
  </w:style>
  <w:style w:type="paragraph" w:styleId="Sidefod">
    <w:name w:val="footer"/>
    <w:basedOn w:val="Normal"/>
    <w:link w:val="SidefodTegn"/>
    <w:uiPriority w:val="99"/>
    <w:unhideWhenUsed/>
    <w:rsid w:val="00A501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50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1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868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Sørensen</dc:creator>
  <cp:keywords/>
  <dc:description/>
  <cp:lastModifiedBy>Jens Jegindø Rasmussen</cp:lastModifiedBy>
  <cp:revision>3</cp:revision>
  <cp:lastPrinted>2021-06-23T14:05:00Z</cp:lastPrinted>
  <dcterms:created xsi:type="dcterms:W3CDTF">2021-08-11T06:31:00Z</dcterms:created>
  <dcterms:modified xsi:type="dcterms:W3CDTF">2021-08-12T09:12:00Z</dcterms:modified>
</cp:coreProperties>
</file>