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ET-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PRANTSUSE VABARIIK</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Ökoloogilise ülemineku ministeerium. Majandus- ja rahandusministeerium</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[kuupäev] 2020. aasta dekreet elektri- ja elektroonikaseadmete remonditavusindeksi kohta</w:t>
      </w:r>
    </w:p>
    <w:p w14:paraId="00000015" w14:textId="3A2425A6" w:rsidR="00EF7252" w:rsidRDefault="00817DDD" w:rsidP="00081B50">
      <w:pPr>
        <w:pBdr>
          <w:top w:val="nil"/>
          <w:left w:val="nil"/>
          <w:bottom w:val="nil"/>
          <w:right w:val="nil"/>
          <w:between w:val="nil"/>
        </w:pBdr>
        <w:jc w:val="center"/>
        <w:rPr>
          <w:i/>
          <w:color w:val="000000"/>
        </w:rPr>
      </w:pPr>
      <w:r>
        <w:rPr>
          <w:color w:val="000000"/>
        </w:rPr>
        <w:t>NOR: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i/>
          <w:color w:val="000000"/>
        </w:rPr>
        <w:t>Sihtrühmad:</w:t>
      </w:r>
      <w:r>
        <w:rPr>
          <w:i/>
          <w:color w:val="000000"/>
        </w:rPr>
        <w:t xml:space="preserve"> elektri- ja elektroonikaseadmete tootjad, importijad, turustajad või muud turuleviijad ning samade seadmete müüjad, samuti need, kes kasutavad veebisaiti, platvormi või mis tahes muud veebipõhist turustuskanalit oma kaubandusliku tegevuse raames Prantsusmaal.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bCs/>
          <w:i/>
          <w:color w:val="000000"/>
        </w:rPr>
        <w:t>Reguleerimisese:</w:t>
      </w:r>
      <w:r>
        <w:rPr>
          <w:i/>
          <w:color w:val="000000"/>
        </w:rPr>
        <w:t xml:space="preserve"> keskkonnaseadustiku artiklis L 541-9-2 määratletud remonditavusindeksi kohaldamise kord</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bCs/>
          <w:i/>
          <w:color w:val="000000"/>
        </w:rPr>
        <w:t>Jõustumine</w:t>
      </w:r>
      <w:r>
        <w:rPr>
          <w:b/>
          <w:bCs/>
          <w:i/>
          <w:iCs/>
          <w:color w:val="000000"/>
        </w:rPr>
        <w:t>:</w:t>
      </w:r>
      <w:r>
        <w:rPr>
          <w:i/>
          <w:color w:val="000000"/>
        </w:rPr>
        <w:t xml:space="preserve"> redaktsioon jõustub 1. jaanuaril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b/>
          <w:i/>
          <w:color w:val="000000"/>
        </w:rPr>
        <w:t>Teade:</w:t>
      </w:r>
      <w:r>
        <w:rPr>
          <w:i/>
          <w:color w:val="000000"/>
        </w:rPr>
        <w:t xml:space="preserve"> käesolevas dekreedis määratletakse keskkonnaseadustiku artikli L 541 lõike 9 punkti 2 kohaldamise kord, millega nähakse ette teatavate elektri- ja elektroonikaseadmete kategooriate remonditavusindeksi rakendamine. Selles täpsustatakse eelkõige indeksi kehtestamiseks kasutatud kriteeriumeid ja arvutusmeetodit. Kõnealuste seadmete tootjad ja importijad edastavad remonditavusindeksi ja selle arvutusparameetrid tasuta turustajatele ja kõigile isikutele, kes seda taotlevad. Turustajad, sealhulgas kaugmüügiettevõtjad, annavad tarbijale ostu sooritamise ajal märgistuse, etikettide, kuvamise teel või mis tahes muul asjakohasel viisil asjaomaste seadmete remonditavusindeksi kohta tasuta teavet.</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bCs/>
          <w:i/>
          <w:iCs/>
        </w:rPr>
        <w:t>Viited:</w:t>
      </w:r>
      <w:r>
        <w:t xml:space="preserve"> käesoleva dekreediga saab tutvuda Légifrance’i kodulehel </w:t>
      </w:r>
      <w:r>
        <w:rPr>
          <w:i/>
          <w:color w:val="000000"/>
        </w:rPr>
        <w:t>(</w:t>
      </w:r>
      <w:hyperlink r:id="rId8">
        <w:r>
          <w:rPr>
            <w:i/>
            <w:color w:val="000000"/>
            <w:u w:val="single"/>
          </w:rPr>
          <w:t>http://www.legifrance.gouv.fr</w:t>
        </w:r>
      </w:hyperlink>
      <w:r>
        <w:rPr>
          <w:i/>
          <w:color w:val="000000"/>
        </w:rP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Peaminister,</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arvestades ökoloogilise ülemineku ministri ning majandus- ja rahandusministri aruannet,</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võttes arvesse Euroopa Parlamendi ja nõukogu 19. novembri 2008. aasta muudetud direktiivi 2008/98/EÜ, mis käsitleb jäätmeid ja millega tunnistatakse kehtetuks teatud direktiivid,</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võttes arvesse Euroopa Parlamendi ja nõukogu 9. septembri 2015. aasta direktiivi (EL) 2015/1535, millega nähakse ette tehnilistest eeskirjadest ning infoühiskonna teenuste eeskirjadest teatamise kord,</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võttes arvesse tarbijaseadustikku, eelkõige selle sissejuhatavat artiklit oma eelnõus, mis tuleneb 21. veebruari 2017. aasta seadusest nr 2017-203, millega ratifitseeritakse 14. märtsi 2016. aasta määrused nr 2016-301 ja nr 25-3.2016 ning 25. märtsi 2016. aasta määrus nr 2016-351,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võttes arvesse keskkonnaseadustikku, eelkõige selle artiklit L. 541-9-2 redaktsioonis, mis tuleneb jäätmete ja jäätmete vastast võitlust ja ringmajandust käsitleva 10. veebruari 2020. aasta seaduse nr 2020-105 artiklist 16,</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võttes arvesse XXXX/ XXXX/ X teatist nr ..., mis saadeti Euroopa Komisjonile vastavalt direktiivile (EL)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olles kuulanud ära riiginõukogu (ehitustööde osakonna),</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võtab vastu järgmise dekreedi:</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Artikkel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V raamatu IV jaotise keskkonnaseadustikku käsitlevasse osasse lisatakse järgmiselt sõnastatud IV peatükk ja 1. jagu :</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„IV peatükk</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„Üldsuse teavitamine jäätmeid tekitavatest toodetest</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„1. jagu</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„Remonditavusindeksi kuvamine</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„Artikkel R 544-1. – Keskkonnaseadustiku artiklis L. 541-9-2 määratletud elektri- või elektroonikaseadmete remonditavusindeks koosneb ühest tulemusest kümne palli süsteemis, mis on mõeldud tarbijate teavitamiseks uute seadmete ostmise ajal.</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„Nimetatud indeks on seotud selle seadme iga mudeliga.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Artikkel R 544-2. Käesolevas määruses kasutatakse järgmisi mõisteid:</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 turul kättesaadavaks tegemine ” – riigi turul levitamiseks või kasutamiseks mõeldud elektri- või elektroonikaseadmete mis tahes tasu eest või tasuta tarnimine kaubandusliku tegevuse raames;</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„turule laskmine“ – elektri- või elektroonikaseadmete siseriiklikul turul esimest korda kättesaadavaks tegemine;</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„3. „tootjaˮ – kõik füüsilised või juriidilised isikud, kes valmistavad elektri- või elektroonikaseadmeid või kes lasevad neid seadmeid projekteerida või turustavad neid oma nime või kaubamärgi all;</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„importija“– kõik füüsilised või juriidilised isikud, kes lasevad Euroopa Liidu liikmesriikidest või kolmandatest riikidest pärit elektri- või elektroonikaseadmeid siseriiklikule turule;</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„turustaja“ – tarneahelas osalev mis tahes füüsiline või juriidiline isik, välja arvatud tootja või importija, kes pakub elektri- või elektroonikaseadmeid müügiks siseriiklikul turul;</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t xml:space="preserve">„6. „müüja“ – füüsiline või juriidiline isik, kes kaubandusliku tegevuse raames müügi, sealhulgas kaugmüügi teel elektri- või elektroonikaseadmed tarbijatele turul kättesaadavaks teeb: </w:t>
      </w:r>
    </w:p>
    <w:p w14:paraId="00000036" w14:textId="77777777" w:rsidR="00EF7252" w:rsidRDefault="007C6B33" w:rsidP="00081B50">
      <w:pPr>
        <w:pBdr>
          <w:top w:val="nil"/>
          <w:left w:val="nil"/>
          <w:bottom w:val="nil"/>
          <w:right w:val="nil"/>
          <w:between w:val="nil"/>
        </w:pBdr>
        <w:spacing w:after="120"/>
        <w:jc w:val="both"/>
        <w:rPr>
          <w:b/>
          <w:color w:val="000000"/>
        </w:rPr>
      </w:pPr>
      <w:r>
        <w:rPr>
          <w:color w:val="000000"/>
        </w:rPr>
        <w:t>„7. „kaugmüük“ – kutselise müüja ja tarbija vahel sõlmitud leping, mis sõlmitakse korraldatud müügisüsteemi alusel sidevahendi abil ilma kaupleja ja tarbija üheaegse füüsilise kohalolekuta, kasutades eranditult üht või mitut kaugsidevahendi tehnikat kuni lepingu sõlmimiseni”;</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 mudel” – seadme versioon, millel kõigil ühikutel on remonditavusindeksi arvutamiseks samad asjakohased tehnilised omadused.</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„Artikkel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 Tootjad või importijad kehtestavad turuleviidavate elektri- või elektroonikaseadmete jaoks remonditavusindeksi, samuti parameetrid, mis võimaldasid selle kehtestada dekreedis kindlaksmääratud korras.</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 Tootjad ja importijad edastavad turustajatele või edasimüüjatele elektri- ja elektroonikaseadmete indekseerimise ja tarnimise ajal tasuta, elektroonilises vormis iga turule viidud seadme mudeli puhul järgmise teabe:</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remonditavusindeks vastavalt määrusega ette nähtud meetoditele ja märgistele;</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parameetrid, mis võimaldavad kehtestada remonditavusindeksi vastavalt määruses sätestatud vormingule.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 Kui turustaja ei ole ühtlasi edasimüüja, edastab turustaja edasimüüjale elektri- ja elektroonikaseadmete indekseerimise ja tarnimise ajal samadel alapunktides a ja b nimetatud tingimustel tasuta indeksi ja oma arvutusparameetrid.</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 Indeksi võib kinnitada ka otse igale näidisühikule või pakendile märgistusese või etikettidega, järgides määrusega ette nähtud märgistust.</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 2. jaos nimetatud teavet edastavad tootjad ja importijad 15 päeva jooksul tasuta kõigile, kes seda taotlevad vähemalt kahe aasta jooksul pärast seadme mudeli viimase ühiku turule viimist.</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„Artikkel 544-4. –</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Kui elektri- või elektroonikaseadmeid pakutakse poes müügiks, kuvab müüja määruses sätestatud korras ja märgiste kohaselt nähtaval viisil kavandatud seadmel või selle seadme vahetus läheduses tootja või maaletooja esitatud remonditavusindeksi.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"II – Kui elektri- või elektroonikaseadmeid pakutakse müügiks kaugmüügi raames, kuvab müüja remonditavusindeksi seadmete tutvustamisel nähtaval viisil ja hinna lähedal määrusega ette nähtud korras ja vastavalt määrusega ette nähtud märgistusele.</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 Müüja teeb tarbijatele kättesaadavaks ka parameetrid, mis võimaldavad kehtestada seadmete remonditavusindeksi määrusega ette nähtud vormingus ja mis tahes asjakohase menetlusega.</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„Artikkel 544-5. Tootjad või importijad teevad remonditavusindeksi ja selle kehtestamist võimaldavad parameetrid tarbijale kättesaadavaks vähemalt kahe aasta jooksul pärast asjaomase seadme mudeli viimase ühiku turule viimist.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„Artikkel 544-6. –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Remonditavusindeks arvutatakse järgmiste parameetrite põhjal: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tulemus 20 palli süsteemis, mis on seotud tehnilise dokumentatsiooni kättesaadavuse kestusega ning tootjatelt, remonditöökodadelt ja tarbijatelt saadud kasutamis- ja hooldusalaste nõuannetega;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tulemus 20 palli süsteemis, mis on seotud seadme demonteerimisega: demonteerimisetappide arv, et tagada ühtne juurdepääs varuosadele, vajalike tööriistade ja varuosade vaheliste kinnituste omadused;</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tulemus 20 palli süsteemis, mis on seotud varuosade turul kättesaadavuse ja tootjatele, varuosade turustajatele, remontijatele ja tarbijatele tarnimise tähtaegadega;</w:t>
      </w:r>
    </w:p>
    <w:p w14:paraId="0000004E" w14:textId="20211C48" w:rsidR="00EF7252" w:rsidRPr="00837F09" w:rsidRDefault="007C6B33" w:rsidP="00081B50">
      <w:pPr>
        <w:pBdr>
          <w:top w:val="nil"/>
          <w:left w:val="nil"/>
          <w:bottom w:val="nil"/>
          <w:right w:val="nil"/>
          <w:between w:val="nil"/>
        </w:pBdr>
        <w:spacing w:after="120"/>
        <w:jc w:val="both"/>
        <w:rPr>
          <w:color w:val="000000"/>
          <w:spacing w:val="-4"/>
        </w:rPr>
      </w:pPr>
      <w:r w:rsidRPr="00837F09">
        <w:rPr>
          <w:color w:val="000000"/>
          <w:spacing w:val="-4"/>
        </w:rPr>
        <w:lastRenderedPageBreak/>
        <w:t>„d) tulemus 20 palli süsteemis, mis on seotud osade tootja või importija müügihinna ja tootja või importija poolt müüdava seadme müügihinna suhtega, mis on arvutatud määrusega ette nähtud korras.</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tulemus 20 palli süsteemis, mis on seotud asjaomase seadmekategooria erikriteeriumitega.</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 Remonditavusindeks saadakse, kui liidetakse saadud viis punkti ja jagatakse see summa kümnega, et väljendada punktisummat skaalal 1–10.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„III – Keskkonnaministri ning majandus- ja rahandusministri määruses täpsustatakse iga elektri- ja elektroonikaseadmete kategooriaga seoses kõik kriteeriumid ja alakriteeriumid, sealhulgas kategooriale omased kriteeriumid, nagu indeksi arvutamise kord.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„Artikkel 544-7. – Alates 1. jaanuarist 2024 täiendatakse teatavate seadmekategooriate puhul remonditavusindeksit täieliku kestlikkusindeksiga või asendatakse see sellega, lisades uued kriteeriumid, eelkõige seadmete töökindluse ja vastupidavuse.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Artikkel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Käesoleva dekreedi sätted jõustuvad alates 1. jaanuarist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Artikkel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Ökoloogilise ülemineku minister ning majandus- ja rahandusminister vastutavad igaüks oma vastutusalas käesoleva dekreedi kohaldamise eest. Käesolev dekreet avaldatakse Prantsuse Vabariigi ametlikus väljaandes.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[xx 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Peaministri nimel:</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ökoloogilise ülemineku minister</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majandus- ja rahandusminister</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81B50"/>
    <w:rsid w:val="00106E77"/>
    <w:rsid w:val="00115349"/>
    <w:rsid w:val="00276444"/>
    <w:rsid w:val="003B1438"/>
    <w:rsid w:val="00535D26"/>
    <w:rsid w:val="0066778A"/>
    <w:rsid w:val="007C6B33"/>
    <w:rsid w:val="00817DDD"/>
    <w:rsid w:val="00837F09"/>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t-E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t-EE" w:bidi="ar-SA"/>
    </w:rPr>
  </w:style>
  <w:style w:type="character" w:customStyle="1" w:styleId="SNDateCar">
    <w:name w:val="SNDate Car"/>
    <w:qFormat/>
    <w:rPr>
      <w:sz w:val="24"/>
      <w:szCs w:val="24"/>
      <w:lang w:val="et-EE" w:bidi="ar-SA"/>
    </w:rPr>
  </w:style>
  <w:style w:type="character" w:customStyle="1" w:styleId="SNArticleCar">
    <w:name w:val="SNArticle Car"/>
    <w:qFormat/>
    <w:rPr>
      <w:b/>
      <w:bCs/>
      <w:sz w:val="24"/>
      <w:szCs w:val="24"/>
      <w:lang w:val="et-EE"/>
    </w:rPr>
  </w:style>
  <w:style w:type="character" w:customStyle="1" w:styleId="SNenProjet">
    <w:name w:val="SNenProjet"/>
    <w:basedOn w:val="Policepardfaut1"/>
    <w:qFormat/>
  </w:style>
  <w:style w:type="character" w:customStyle="1" w:styleId="CarCar5">
    <w:name w:val="Car Car5"/>
    <w:qFormat/>
    <w:rPr>
      <w:b/>
      <w:sz w:val="24"/>
      <w:szCs w:val="26"/>
      <w:lang w:val="et-EE"/>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et-EE"/>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t-EE" w:eastAsia="en-US"/>
    </w:rPr>
  </w:style>
  <w:style w:type="character" w:customStyle="1" w:styleId="TablebodyChar">
    <w:name w:val="Table body Char"/>
    <w:link w:val="Tablebody"/>
    <w:qFormat/>
    <w:rsid w:val="00C16C8D"/>
    <w:rPr>
      <w:rFonts w:ascii="Arial" w:eastAsia="Calibri" w:hAnsi="Arial"/>
      <w:szCs w:val="22"/>
      <w:lang w:val="et-EE" w:eastAsia="en-US"/>
    </w:rPr>
  </w:style>
  <w:style w:type="character" w:customStyle="1" w:styleId="TableheaderChar">
    <w:name w:val="Table header Char"/>
    <w:link w:val="Tableheader"/>
    <w:qFormat/>
    <w:rsid w:val="00C16C8D"/>
    <w:rPr>
      <w:rFonts w:ascii="Arial" w:eastAsia="Calibri" w:hAnsi="Arial"/>
      <w:szCs w:val="22"/>
      <w:lang w:val="et-EE"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et-EE"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1341</Words>
  <Characters>7645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2020-07-08T10:11:00Z</dcterms:created>
  <dcterms:modified xsi:type="dcterms:W3CDTF">2020-07-29T13:52:00Z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