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5247" w14:textId="77777777" w:rsidR="004F7E45" w:rsidRPr="004F7E45" w:rsidRDefault="004F7E45" w:rsidP="004F7E45">
      <w:pPr>
        <w:spacing w:before="100" w:beforeAutospacing="1" w:after="100" w:afterAutospacing="1" w:line="240" w:lineRule="auto"/>
        <w:outlineLvl w:val="1"/>
        <w:rPr>
          <w:b/>
          <w:bCs/>
          <w:sz w:val="36"/>
          <w:szCs w:val="36"/>
          <w:rFonts w:ascii="Times New Roman" w:eastAsia="Times New Roman" w:hAnsi="Times New Roman" w:cs="Times New Roman"/>
        </w:rPr>
      </w:pPr>
      <w:r>
        <w:rPr>
          <w:b/>
          <w:sz w:val="36"/>
          <w:rFonts w:ascii="Times New Roman" w:hAnsi="Times New Roman"/>
        </w:rPr>
        <w:t xml:space="preserve">2020. gada [..] Dekrēts Nr. 2020-[..]</w:t>
      </w:r>
      <w:r>
        <w:rPr>
          <w:b/>
          <w:sz w:val="36"/>
          <w:rFonts w:ascii="Times New Roman" w:hAnsi="Times New Roman"/>
        </w:rPr>
        <w:br/>
      </w:r>
      <w:r>
        <w:rPr>
          <w:b/>
          <w:sz w:val="36"/>
          <w:rFonts w:ascii="Times New Roman" w:hAnsi="Times New Roman"/>
        </w:rPr>
        <w:t xml:space="preserve">par elektrisko un elektronisko iekārtu remontējamības indeksu</w:t>
      </w:r>
    </w:p>
    <w:p w14:paraId="122A44DD" w14:textId="77777777" w:rsidR="004F7E45" w:rsidRPr="004F7E45" w:rsidRDefault="004F7E45" w:rsidP="004F7E45">
      <w:pPr>
        <w:spacing w:before="100" w:beforeAutospacing="1" w:after="100" w:afterAutospacing="1" w:line="240" w:lineRule="auto"/>
        <w:outlineLvl w:val="3"/>
        <w:rPr>
          <w:b/>
          <w:bCs/>
          <w:sz w:val="24"/>
          <w:szCs w:val="24"/>
          <w:rFonts w:ascii="Times New Roman" w:eastAsia="Times New Roman" w:hAnsi="Times New Roman" w:cs="Times New Roman"/>
        </w:rPr>
      </w:pPr>
      <w:r>
        <w:rPr>
          <w:b/>
          <w:sz w:val="24"/>
          <w:rFonts w:ascii="Times New Roman" w:hAnsi="Times New Roman"/>
        </w:rPr>
        <w:t xml:space="preserve">Sākotnējā versija</w:t>
      </w:r>
      <w:r>
        <w:rPr>
          <w:b/>
          <w:sz w:val="24"/>
          <w:rFonts w:ascii="Times New Roman" w:hAnsi="Times New Roman"/>
        </w:rPr>
        <w:t xml:space="preserve"> </w:t>
      </w:r>
    </w:p>
    <w:p w14:paraId="7AA0884E"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Mērķauditorija: </w:t>
      </w:r>
      <w:r>
        <w:rPr>
          <w:sz w:val="24"/>
          <w:rFonts w:ascii="Times New Roman" w:hAnsi="Times New Roman"/>
        </w:rPr>
        <w:t xml:space="preserve">elektrisko un elektronisko iekārtu ražotāji, importētāji, izplatītāji vai citi tirgotāji, kā arī šo pašu iekārtu pārdevēji un tie, kuri izmanto tīmekļa vietni, platformu vai jebkuru citu tiešsaistes izplatīšanas kanālu savas komercdarbības ietvaros Francijā.</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Temats: vides kodeksa L541-9-2. pantā definētā remonta indeksa īstenošanas noteikumi.</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Stāšanās spēkā:</w:t>
      </w:r>
      <w:r>
        <w:rPr>
          <w:sz w:val="24"/>
          <w:rFonts w:ascii="Times New Roman" w:hAnsi="Times New Roman"/>
        </w:rPr>
        <w:t xml:space="preserve"> šis dokuments stājas spēkā 2021. gada 1. janvārī.</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Piezīme: </w:t>
      </w:r>
      <w:r>
        <w:rPr>
          <w:sz w:val="24"/>
          <w:rFonts w:ascii="Times New Roman" w:hAnsi="Times New Roman"/>
        </w:rPr>
        <w:t xml:space="preserve">šis dekrēts nosaka Vides kodeksa L.541-9-2. panta piemērošanas noteikumus, kas paredz ieviest remontējamības indeksu dažu kategoriju elektriskajām un elektroniskajām iekārtām.</w:t>
      </w:r>
      <w:r>
        <w:rPr>
          <w:sz w:val="24"/>
          <w:rFonts w:ascii="Times New Roman" w:hAnsi="Times New Roman"/>
        </w:rPr>
        <w:t xml:space="preserve"> </w:t>
      </w:r>
      <w:r>
        <w:rPr>
          <w:sz w:val="24"/>
          <w:rFonts w:ascii="Times New Roman" w:hAnsi="Times New Roman"/>
        </w:rPr>
        <w:t xml:space="preserve">Tajā jo īpaši norāda šā indeksa izveidošanai izmantoto aprēķinu kritērijus un parametrus, kā arī vispārējo saistību sistēmu attiecībā uz informācijas paziņošanu un attēlošanu.</w:t>
      </w:r>
      <w:r>
        <w:rPr>
          <w:sz w:val="24"/>
          <w:rFonts w:ascii="Times New Roman" w:hAnsi="Times New Roman"/>
        </w:rPr>
        <w:t xml:space="preserve"> </w:t>
      </w:r>
      <w:r>
        <w:rPr>
          <w:sz w:val="24"/>
          <w:rFonts w:ascii="Times New Roman" w:hAnsi="Times New Roman"/>
        </w:rPr>
        <w:br/>
      </w:r>
      <w:r>
        <w:rPr>
          <w:sz w:val="24"/>
          <w:rFonts w:ascii="Times New Roman" w:hAnsi="Times New Roman"/>
        </w:rPr>
        <w:t xml:space="preserve">Atsauces:</w:t>
      </w:r>
      <w:r>
        <w:rPr>
          <w:sz w:val="24"/>
          <w:rFonts w:ascii="Times New Roman" w:hAnsi="Times New Roman"/>
        </w:rPr>
        <w:t xml:space="preserve"> šis dekrēts ir pieejams tīmekļa vietnē Légifrance (</w:t>
      </w:r>
      <w:r>
        <w:rPr>
          <w:sz w:val="24"/>
          <w:rFonts w:ascii="Times New Roman" w:hAnsi="Times New Roman"/>
        </w:rPr>
        <w:t xml:space="preserve">http://www.legifrance.gouv.fr</w:t>
      </w:r>
      <w:r>
        <w:rPr>
          <w:sz w:val="24"/>
          <w:rFonts w:ascii="Times New Roman" w:hAnsi="Times New Roman"/>
        </w:rPr>
        <w:t xml:space="preserve">).</w:t>
      </w:r>
      <w:r>
        <w:rPr>
          <w:sz w:val="24"/>
          <w:rFonts w:ascii="Times New Roman" w:hAnsi="Times New Roman"/>
        </w:rPr>
        <w:t xml:space="preserve"> </w:t>
      </w:r>
    </w:p>
    <w:p w14:paraId="09C3F7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Premjerministrs,</w:t>
      </w:r>
    </w:p>
    <w:p w14:paraId="40611F90"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Par ekoloģiskās pārejas ministra un ekonomikas, finanšu un ekonomikas atveseļošanas ministra ziņojumu,</w:t>
      </w:r>
    </w:p>
    <w:p w14:paraId="1A81B9F1"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ņemot vērā Eiropas Parlamenta un Padomes 2008. gada 19. novembra Direktīvu 2008/98/EK par atkritumiem un par dažu direktīvu atcelšanu, kurā jaunākie grozījumi izdarīti ar 2018. gada 30. maija Direktīvu (ES) 2018/851,</w:t>
      </w:r>
    </w:p>
    <w:p w14:paraId="581D6C66"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ņemot vērā Eiropas Parlamenta un Padomes 2015. gada 9. septembra Direktīvu (ES) 2015/1535, ar ko nosaka informācijas sniegšanas kārtību tehnisko noteikumu un Informācijas sabiedrības pakalpojumu noteikumu jomā, kopā ar paziņojumu, kas nosūtīts Eiropas Komisijai 2020. gada 21. jūlijā,</w:t>
      </w:r>
    </w:p>
    <w:p w14:paraId="546BA7DD"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ņemot vērā Vides kodeksu, jo īpaši tā L.541-9-2. pantu redakcijā, kas izriet no 2020. gada 10. februāra Likuma Nr. 2020-105 par cīņu pret atkritumiem un par aprites ekonomiku 16. panta,</w:t>
      </w:r>
    </w:p>
    <w:p w14:paraId="09557C55"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ņemot vērā Likumu Nr. 2020-105 par cīņu pret atkritumiem un aprites ekonomiku, jo īpaši tā 16., 29. un 130. pantu,</w:t>
      </w:r>
    </w:p>
    <w:p w14:paraId="48736AEC"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ņemot vērā apsvērumus, kas izdarīti sabiedriskās apspriešanas laikā no 2020. gada 21. jūlija līdz 2020. gada 17. augustam saskaņā ar Vides kodeksa L123-19-1. pantu,</w:t>
      </w:r>
    </w:p>
    <w:p w14:paraId="514A1D37" w14:textId="77777777" w:rsidR="004C7568"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uzklausījis Valsts padomi (Sabiedrisko darbu nodaļu),</w:t>
      </w:r>
    </w:p>
    <w:p w14:paraId="7B9A171C" w14:textId="529FA357" w:rsidR="004F7E45" w:rsidRPr="004F7E45" w:rsidRDefault="004F7E45" w:rsidP="004C7568">
      <w:pPr>
        <w:spacing w:after="0" w:line="240" w:lineRule="auto"/>
        <w:rPr>
          <w:sz w:val="24"/>
          <w:szCs w:val="24"/>
          <w:rFonts w:ascii="Times New Roman" w:eastAsia="Times New Roman" w:hAnsi="Times New Roman" w:cs="Times New Roman"/>
        </w:rPr>
      </w:pPr>
      <w:r>
        <w:rPr>
          <w:sz w:val="24"/>
          <w:rFonts w:ascii="Times New Roman" w:hAnsi="Times New Roman"/>
        </w:rPr>
        <w:t xml:space="preserve">izdod šādu dekrētu.</w:t>
      </w:r>
    </w:p>
    <w:p w14:paraId="61759A43"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1. pants</w:t>
      </w:r>
    </w:p>
    <w:p w14:paraId="77ABD76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Vides kodeksa V grāmatas IV sadaļas I nodaļu papildina ar šādu 9. iedaļu:</w:t>
      </w:r>
    </w:p>
    <w:p w14:paraId="16727251"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“9. iedaļa</w:t>
      </w:r>
      <w:r>
        <w:rPr>
          <w:sz w:val="24"/>
          <w:rFonts w:ascii="Times New Roman" w:hAnsi="Times New Roman"/>
        </w:rPr>
        <w:br/>
      </w:r>
      <w:r>
        <w:rPr>
          <w:sz w:val="24"/>
          <w:rFonts w:ascii="Times New Roman" w:hAnsi="Times New Roman"/>
        </w:rPr>
        <w:t xml:space="preserve">Sabiedrības informēšana par atkritumus ražojošiem produktiem</w:t>
      </w:r>
    </w:p>
    <w:p w14:paraId="3F984B64"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1. apakšiedaa</w:t>
      </w:r>
      <w:r>
        <w:rPr>
          <w:sz w:val="24"/>
          <w:rFonts w:ascii="Times New Roman" w:hAnsi="Times New Roman"/>
        </w:rPr>
        <w:br/>
      </w:r>
      <w:r>
        <w:rPr>
          <w:sz w:val="24"/>
          <w:rFonts w:ascii="Times New Roman" w:hAnsi="Times New Roman"/>
        </w:rPr>
        <w:t xml:space="preserve">Remontējamības indeksa noteikšana”</w:t>
      </w:r>
    </w:p>
    <w:p w14:paraId="50911D7C"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R541-210. pants.</w:t>
      </w:r>
      <w:r>
        <w:rPr>
          <w:sz w:val="24"/>
          <w:rFonts w:ascii="Times New Roman" w:hAnsi="Times New Roman"/>
        </w:rPr>
        <w:t xml:space="preserve"> </w:t>
      </w:r>
      <w:r>
        <w:rPr>
          <w:sz w:val="24"/>
          <w:rFonts w:ascii="Times New Roman" w:hAnsi="Times New Roman"/>
        </w:rPr>
        <w:t xml:space="preserve">— L541-9-2. pantā definētais elektrisko un elektronisko iekārtu remontējamības indekss sastāv no desmit punktiem, kas jādara zināmi patērētājiem, iegādājoties jaunas iekārtas.</w:t>
      </w:r>
      <w:r>
        <w:rPr>
          <w:sz w:val="24"/>
          <w:rFonts w:ascii="Times New Roman" w:hAnsi="Times New Roman"/>
        </w:rPr>
        <w:br/>
      </w:r>
      <w:r>
        <w:rPr>
          <w:sz w:val="24"/>
          <w:rFonts w:ascii="Times New Roman" w:hAnsi="Times New Roman"/>
        </w:rPr>
        <w:t xml:space="preserve">Šis indekss attiecas uz katru no šīs iekārtas modeļiem.</w:t>
      </w:r>
    </w:p>
    <w:p w14:paraId="377464DC"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R541-211. pants.</w:t>
      </w:r>
      <w:r>
        <w:rPr>
          <w:sz w:val="24"/>
          <w:rFonts w:ascii="Times New Roman" w:hAnsi="Times New Roman"/>
        </w:rPr>
        <w:t xml:space="preserve"> </w:t>
      </w:r>
      <w:r>
        <w:rPr>
          <w:sz w:val="24"/>
          <w:rFonts w:ascii="Times New Roman" w:hAnsi="Times New Roman"/>
        </w:rPr>
        <w:t xml:space="preserve">— Šajā iedaļā piemēro šādas definīcijas:</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“tirdzniecība pieejama tirgū”: par samaksu vai bez maksas piegādāt elektriskās vai elektroniskās iekārtas, ko paredzēts izplatīt vai izmantot valsts tirgū, veicot komercdarbību;</w:t>
      </w:r>
    </w:p>
    <w:p w14:paraId="712B5E6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“laišana tirgū” ir elektrisko vai elektronisko iekārtu pirmreizēja nodrošināšana valsts tirgū;</w:t>
      </w:r>
    </w:p>
    <w:p w14:paraId="38196A95"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3.</w:t>
      </w:r>
      <w:r>
        <w:rPr>
          <w:sz w:val="24"/>
          <w:rFonts w:ascii="Times New Roman" w:hAnsi="Times New Roman"/>
        </w:rPr>
        <w:t xml:space="preserve"> </w:t>
      </w:r>
      <w:r>
        <w:rPr>
          <w:sz w:val="24"/>
          <w:rFonts w:ascii="Times New Roman" w:hAnsi="Times New Roman"/>
        </w:rPr>
        <w:t xml:space="preserve">“importētājs” ir jebkura fiziska vai juridiska persona, kas laiž valsts tirgū elektriskās vai elektroniskās iekārtas no Eiropas Savienības dalībvalstīm vai no trešām valstīm;</w:t>
      </w:r>
    </w:p>
    <w:p w14:paraId="3814DEE0"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4.</w:t>
      </w:r>
      <w:r>
        <w:rPr>
          <w:sz w:val="24"/>
          <w:rFonts w:ascii="Times New Roman" w:hAnsi="Times New Roman"/>
        </w:rPr>
        <w:t xml:space="preserve"> </w:t>
      </w:r>
      <w:r>
        <w:rPr>
          <w:sz w:val="24"/>
          <w:rFonts w:ascii="Times New Roman" w:hAnsi="Times New Roman"/>
        </w:rPr>
        <w:t xml:space="preserve">“pārdevējs” ir jebkura fiziska vai juridiska persona, kas komerciālas darbības ietvaros elektriskas vai elektroniskas iekārtas nodrošina tirgū, pārdodot tās patērētājiem, tostarp attālināti;</w:t>
      </w:r>
    </w:p>
    <w:p w14:paraId="596FE06B"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5.</w:t>
      </w:r>
      <w:r>
        <w:rPr>
          <w:sz w:val="24"/>
          <w:rFonts w:ascii="Times New Roman" w:hAnsi="Times New Roman"/>
        </w:rPr>
        <w:t xml:space="preserve"> </w:t>
      </w:r>
      <w:r>
        <w:rPr>
          <w:sz w:val="24"/>
          <w:rFonts w:ascii="Times New Roman" w:hAnsi="Times New Roman"/>
        </w:rPr>
        <w:t xml:space="preserve">“attālinātā pārdošana” ir attālināta līguma noslēgšana starp profesionālu pārdevēju un patērētāju organizētas pārdošanas sistēmas ietvaros, bez profesionālā pārdevēja un patērētāja vienlaicīgas fiziskas klātbūtnes, izmantojot tikai vienu vai vairākas attālinātās saziņas metodes, līdz pat līguma noslēgšanai;</w:t>
      </w:r>
    </w:p>
    <w:p w14:paraId="76DB3484"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6.</w:t>
      </w:r>
      <w:r>
        <w:rPr>
          <w:sz w:val="24"/>
          <w:rFonts w:ascii="Times New Roman" w:hAnsi="Times New Roman"/>
        </w:rPr>
        <w:t xml:space="preserve"> </w:t>
      </w:r>
      <w:r>
        <w:rPr>
          <w:sz w:val="24"/>
          <w:rFonts w:ascii="Times New Roman" w:hAnsi="Times New Roman"/>
        </w:rPr>
        <w:t xml:space="preserve">“modelis” ir tāda iekārtas versija, kurā visām vienībām ir vienādi tehniskie parametri, kas attiecas uz remontējamības indeksa aprēķināšanu.</w:t>
      </w:r>
    </w:p>
    <w:p w14:paraId="6A24F5EF" w14:textId="2E831C23"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Pārējos terminus saprot saskaņā ar R543-171-2. panta noteikumiem, "ražotājs" nozīmē "ražotājs" šā panta nozīmē.</w:t>
      </w:r>
    </w:p>
    <w:p w14:paraId="26FBD480"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R541-212. pants.</w:t>
      </w:r>
      <w:r>
        <w:rPr>
          <w:sz w:val="24"/>
          <w:rFonts w:ascii="Times New Roman" w:hAnsi="Times New Roman"/>
        </w:rPr>
        <w:t xml:space="preserve"> </w:t>
      </w:r>
      <w:r>
        <w:rPr>
          <w:sz w:val="24"/>
          <w:rFonts w:ascii="Times New Roman" w:hAnsi="Times New Roman"/>
        </w:rPr>
        <w:t xml:space="preserve">I. Ražotāji vai importētāji nosaka tirgū laistajām elektriskajām vai elektroniskajām iekārtām remontējamības indeksu, kā arī parametrus, kas ļauj to noteikt saskaņā ar rīkojumā noteiktajām procedūrām.</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Ražotāji un importētāji, uzskaitot un piegādājot elektriskās un elektroniskās iekārtas, bez maksas un dematerializētā formātā informē izplatītājus vai pārdevējus attiecībā uz katru tirgū laisto iekārtas modeli par:</w:t>
      </w:r>
      <w:r>
        <w:rPr>
          <w:sz w:val="24"/>
          <w:rFonts w:ascii="Times New Roman" w:hAnsi="Times New Roman"/>
        </w:rPr>
        <w:br/>
      </w: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Remontējamības indeksu saskaņā ar nosacījumiem un zīmēm, kas paredzētas Rīkojuma R 541-213. panta I punktā;</w:t>
      </w:r>
      <w:r>
        <w:rPr>
          <w:sz w:val="24"/>
          <w:rFonts w:ascii="Times New Roman" w:hAnsi="Times New Roman"/>
        </w:rPr>
        <w:br/>
      </w:r>
      <w:r>
        <w:rPr>
          <w:sz w:val="24"/>
          <w:rFonts w:ascii="Times New Roman" w:hAnsi="Times New Roman"/>
        </w:rPr>
        <w:t xml:space="preserve">2.</w:t>
      </w:r>
      <w:r>
        <w:rPr>
          <w:sz w:val="24"/>
          <w:rFonts w:ascii="Times New Roman" w:hAnsi="Times New Roman"/>
        </w:rPr>
        <w:t xml:space="preserve"> </w:t>
      </w:r>
      <w:r>
        <w:rPr>
          <w:sz w:val="24"/>
          <w:rFonts w:ascii="Times New Roman" w:hAnsi="Times New Roman"/>
        </w:rPr>
        <w:t xml:space="preserve">Parametrus, kas ļāva noteikt remontējamības indeksu saskaņā ar R541-213 panta I punktā minētajā rīkojumā paredzēto formātu.</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Ja izplatītājs un pārdevējs nav viens un tas pats, izplatītājs bez maksas un ar tādiem pašiem nosacījumiem, kas minēti II punktā informē pārdevēju par tā aprēķina indeksu un parametriem atsauksmju veikšanas laikā un elektrisko un elektronisko iekārtu piegādes laikā.</w:t>
      </w:r>
      <w:r>
        <w:rPr>
          <w:sz w:val="24"/>
          <w:rFonts w:ascii="Times New Roman" w:hAnsi="Times New Roman"/>
        </w:rPr>
        <w:br/>
      </w:r>
      <w:r>
        <w:rPr>
          <w:sz w:val="24"/>
          <w:rFonts w:ascii="Times New Roman" w:hAnsi="Times New Roman"/>
        </w:rPr>
        <w:t xml:space="preserve">IV.</w:t>
      </w:r>
      <w:r>
        <w:rPr>
          <w:sz w:val="24"/>
          <w:rFonts w:ascii="Times New Roman" w:hAnsi="Times New Roman"/>
        </w:rPr>
        <w:t xml:space="preserve"> </w:t>
      </w:r>
      <w:r>
        <w:rPr>
          <w:sz w:val="24"/>
          <w:rFonts w:ascii="Times New Roman" w:hAnsi="Times New Roman"/>
        </w:rPr>
        <w:t xml:space="preserve">— Turklāt indeksu var piestiprināt tieši katrai iekārtai vai iepakojumam ar etiķetēm vai marķējumu saskaņā ar R541-213 panta I punktā minētajā rīkojumā paredzētajām zīmēm.</w:t>
      </w:r>
      <w:r>
        <w:rPr>
          <w:sz w:val="24"/>
          <w:rFonts w:ascii="Times New Roman" w:hAnsi="Times New Roman"/>
        </w:rPr>
        <w:br/>
      </w:r>
      <w:r>
        <w:rPr>
          <w:sz w:val="24"/>
          <w:rFonts w:ascii="Times New Roman" w:hAnsi="Times New Roman"/>
        </w:rPr>
        <w:t xml:space="preserve">V. 2. punktā minēto informāciju ražotāji un importētāji 15 dienu laikā bez maksas dara zināmu jebkurai personai, kas to pieprasa, vismaz divus gadus pēc iekārtas modeļa pēdējās vienības laišanas tirgū.</w:t>
      </w:r>
    </w:p>
    <w:p w14:paraId="261403F3"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R541-213. pants.</w:t>
      </w:r>
      <w:r>
        <w:rPr>
          <w:sz w:val="24"/>
          <w:rFonts w:ascii="Times New Roman" w:hAnsi="Times New Roman"/>
        </w:rPr>
        <w:t xml:space="preserve"> </w:t>
      </w:r>
      <w:r>
        <w:rPr>
          <w:sz w:val="24"/>
          <w:rFonts w:ascii="Times New Roman" w:hAnsi="Times New Roman"/>
        </w:rPr>
        <w:t xml:space="preserve">I. – Ja elektriskās vai elektroniskās iekārtas piedāvā pārdošanai veikalos, pārdevējs saskaņā ar procedūrām un zīmēm, kas noteiktas par vidi un ekonomiku atbildīgā ministra rīkojumā, skaidri norāda ražotāja vai importētāja sniegto remontējamības indeksu par katru iekārtu, ko piedāvā pārdošanai, vai tās tiešā tuvumā.</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Ja elektriskās vai elektroniskās iekārtas pārdod tālpārdošanā, pārdevējs iekārtas uzrādīšanas laikā un tās cenas tuvumā redzamā veidā parāda remontējamības indeksu saskaņā ar I. punktā minētajā Rīkojumā paredzētajiem noteikumiem.</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Pārdevējs arī dara patērētājiem pieejamus parametrus, kas ļauj noteikt iekārtas remonta spējas indeksu, izmantojot jebkuru atbilstošu procesu.</w:t>
      </w:r>
    </w:p>
    <w:p w14:paraId="09FA1FE2"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R541-214. pants.</w:t>
      </w:r>
      <w:r>
        <w:rPr>
          <w:sz w:val="24"/>
          <w:rFonts w:ascii="Times New Roman" w:hAnsi="Times New Roman"/>
        </w:rPr>
        <w:t xml:space="preserve"> </w:t>
      </w:r>
      <w:r>
        <w:rPr>
          <w:sz w:val="24"/>
          <w:rFonts w:ascii="Times New Roman" w:hAnsi="Times New Roman"/>
        </w:rPr>
        <w:t xml:space="preserve">— I. Remontējamības indeksu aprēķina, izmantojot šādus parametrus:</w:t>
      </w:r>
      <w:r>
        <w:rPr>
          <w:sz w:val="24"/>
          <w:rFonts w:ascii="Times New Roman" w:hAnsi="Times New Roman"/>
        </w:rPr>
        <w:br/>
      </w:r>
      <w:r>
        <w:rPr>
          <w:sz w:val="24"/>
          <w:rFonts w:ascii="Times New Roman" w:hAnsi="Times New Roman"/>
        </w:rPr>
        <w:t xml:space="preserve">a) viena atzīme divdesmit punktu skalā attiecībā uz tehniskās dokumentācijas pieejamības ilgumu un ieteikumiem par izmantošanu un uzturēšanu saistībā ar ražotājiem, labotājiem un patērētājiem;</w:t>
      </w:r>
    </w:p>
    <w:p w14:paraId="2403791F"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b) viena atzīme divdesmit punktu skalā attiecībā uz iekārtas demontējamību — demontāžas posmu skaits, lai nodrošinātu vienotu piekļuvi atsevišķām daļām, nepieciešamo instrumentu un stiprinājumu starp atsevišķām daļām raksturojums;</w:t>
      </w:r>
    </w:p>
    <w:p w14:paraId="681FCAC1"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c) viena atzīme divdesmit punktu skalā attiecībā uz pieejamības ilgumu atsevišķo daļu tirgū un piegādes termiņiem ražotājiem, atsevišķo daļu izplatītājiem, labotājiem un patērētājiem;</w:t>
      </w:r>
    </w:p>
    <w:p w14:paraId="4133FD83" w14:textId="77777777" w:rsidR="004C7568"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d) viena atzīme divdesmit punktu skalā attiecībā uz starpību starp ražotāja vai importētāja detaļu pārdošanas cenu un ražotāja vai importētāja iekārtas pārdošanas cenu, kas aprēķināta saskaņā ar rīkojumā paredzētajiem noteikumiem;</w:t>
      </w:r>
    </w:p>
    <w:p w14:paraId="68E845C2" w14:textId="57891694" w:rsidR="004F7E45" w:rsidRPr="004F7E45" w:rsidRDefault="004F7E45" w:rsidP="004C7568">
      <w:pPr>
        <w:spacing w:after="0" w:line="240" w:lineRule="auto"/>
        <w:ind w:left="446"/>
        <w:rPr>
          <w:sz w:val="24"/>
          <w:szCs w:val="24"/>
          <w:rFonts w:ascii="Times New Roman" w:eastAsia="Times New Roman" w:hAnsi="Times New Roman" w:cs="Times New Roman"/>
        </w:rPr>
      </w:pPr>
      <w:r>
        <w:rPr>
          <w:sz w:val="24"/>
          <w:rFonts w:ascii="Times New Roman" w:hAnsi="Times New Roman"/>
        </w:rPr>
        <w:t xml:space="preserve">e) viena atzīme divdesmit punktu skalā attiecībā uz kritērijiem, kas atbilst attiecīgās iekārtas kategorijai.</w:t>
      </w:r>
      <w:r>
        <w:rPr>
          <w:sz w:val="24"/>
          <w:rFonts w:ascii="Times New Roman" w:hAnsi="Times New Roman"/>
        </w:rPr>
        <w:br/>
      </w:r>
      <w:r>
        <w:rPr>
          <w:sz w:val="24"/>
          <w:rFonts w:ascii="Times New Roman" w:hAnsi="Times New Roman"/>
        </w:rPr>
        <w:t xml:space="preserve">II.</w:t>
      </w:r>
      <w:r>
        <w:rPr>
          <w:sz w:val="24"/>
          <w:rFonts w:ascii="Times New Roman" w:hAnsi="Times New Roman"/>
        </w:rPr>
        <w:t xml:space="preserve"> </w:t>
      </w:r>
      <w:r>
        <w:rPr>
          <w:sz w:val="24"/>
          <w:rFonts w:ascii="Times New Roman" w:hAnsi="Times New Roman"/>
        </w:rPr>
        <w:t xml:space="preserve">— Remontējamības indeksu iegūst, saskaitot piecas iegūtās atzīmes un pēc tam izdalot šo kopsummu ar desmit, lai iegūtu kopējo atzīmi skalā no 1 līdz 10.</w:t>
      </w:r>
      <w:r>
        <w:rPr>
          <w:sz w:val="24"/>
          <w:rFonts w:ascii="Times New Roman" w:hAnsi="Times New Roman"/>
        </w:rPr>
        <w:br/>
      </w:r>
      <w:r>
        <w:rPr>
          <w:sz w:val="24"/>
          <w:rFonts w:ascii="Times New Roman" w:hAnsi="Times New Roman"/>
        </w:rPr>
        <w:t xml:space="preserve">III.</w:t>
      </w:r>
      <w:r>
        <w:rPr>
          <w:sz w:val="24"/>
          <w:rFonts w:ascii="Times New Roman" w:hAnsi="Times New Roman"/>
        </w:rPr>
        <w:t xml:space="preserve"> </w:t>
      </w:r>
      <w:r>
        <w:rPr>
          <w:sz w:val="24"/>
          <w:rFonts w:ascii="Times New Roman" w:hAnsi="Times New Roman"/>
        </w:rPr>
        <w:t xml:space="preserve">— Katrai elektrisko un elektronisko iekārtu kategorijai ar rīkojumu, ko izdevis par vidi atbildīgais ministrs un par ekonomiku un finansēm atbildīgais ministrs, nosaka visus kritērijus un apakškritērijus, tostarp specifiskos attiecīgās kategorijas kritērijus, kā arī indeksa aprēķināšanas veidus.</w:t>
      </w:r>
    </w:p>
    <w:p w14:paraId="31C9246E"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2. pants</w:t>
      </w:r>
    </w:p>
    <w:p w14:paraId="0C875A98"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Šā dekrēta noteikumi stājas spēkā no 2021. gada 1. janvāra.</w:t>
      </w:r>
    </w:p>
    <w:p w14:paraId="3FAB2966" w14:textId="77777777" w:rsidR="004F7E45" w:rsidRPr="004F7E45" w:rsidRDefault="004F7E45" w:rsidP="004F7E45">
      <w:pPr>
        <w:spacing w:before="100" w:beforeAutospacing="1" w:after="100" w:afterAutospacing="1" w:line="240" w:lineRule="auto"/>
        <w:ind w:left="450"/>
        <w:outlineLvl w:val="3"/>
        <w:rPr>
          <w:b/>
          <w:bCs/>
          <w:sz w:val="24"/>
          <w:szCs w:val="24"/>
          <w:rFonts w:ascii="Times New Roman" w:eastAsia="Times New Roman" w:hAnsi="Times New Roman" w:cs="Times New Roman"/>
        </w:rPr>
      </w:pPr>
      <w:r>
        <w:rPr>
          <w:b/>
          <w:sz w:val="24"/>
          <w:rFonts w:ascii="Times New Roman" w:hAnsi="Times New Roman"/>
        </w:rPr>
        <w:t xml:space="preserve">3. pants</w:t>
      </w:r>
    </w:p>
    <w:p w14:paraId="24600007" w14:textId="77777777" w:rsidR="004F7E45" w:rsidRPr="004F7E45" w:rsidRDefault="004F7E45" w:rsidP="004F7E45">
      <w:pPr>
        <w:spacing w:before="100" w:beforeAutospacing="1" w:after="100" w:afterAutospacing="1" w:line="240" w:lineRule="auto"/>
        <w:ind w:left="450"/>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Par šā dekrēta izpildi katrs savā jomā atbild ekoloģiskas pārkārtošanas ministre un ekonomikas un finanšu ministrs, un to publicē Journal officiel de la République française (Francijas Republikas Oficiālajā vēstnesī).</w:t>
      </w:r>
    </w:p>
    <w:p w14:paraId="11EDDB72"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Datēts ar 2020. gada 29. decembri.</w:t>
      </w:r>
    </w:p>
    <w:p w14:paraId="6D086227"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Ministru prezidents Jean Castex:</w:t>
      </w:r>
    </w:p>
    <w:p w14:paraId="75AA65C8"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Ekoloģiskās pārejas ministre Barbara Pompili</w:t>
      </w:r>
    </w:p>
    <w:p w14:paraId="250F8DFD" w14:textId="77777777" w:rsidR="004F7E45" w:rsidRPr="004F7E45" w:rsidRDefault="004F7E45" w:rsidP="004F7E45">
      <w:pPr>
        <w:spacing w:before="100" w:beforeAutospacing="1" w:after="100" w:afterAutospacing="1" w:line="240" w:lineRule="auto"/>
        <w:rPr>
          <w:sz w:val="24"/>
          <w:szCs w:val="24"/>
          <w:rFonts w:ascii="Times New Roman" w:eastAsia="Times New Roman" w:hAnsi="Times New Roman" w:cs="Times New Roman"/>
        </w:rPr>
      </w:pPr>
      <w:r>
        <w:rPr>
          <w:sz w:val="24"/>
          <w:rFonts w:ascii="Times New Roman" w:hAnsi="Times New Roman"/>
        </w:rPr>
        <w:br/>
      </w:r>
      <w:r>
        <w:rPr>
          <w:sz w:val="24"/>
          <w:rFonts w:ascii="Times New Roman" w:hAnsi="Times New Roman"/>
        </w:rPr>
        <w:t xml:space="preserve">Ekonomikas, finanšu un ekonomikas atveseļošanas ministrs Bruno Le Maire</w:t>
      </w:r>
    </w:p>
    <w:p w14:paraId="60C6DEC7" w14:textId="77777777" w:rsidR="00CF4D53" w:rsidRDefault="00CF4D53"/>
    <w:sectPr w:rsidR="00CF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45"/>
    <w:rsid w:val="004C7568"/>
    <w:rsid w:val="004F7E45"/>
    <w:rsid w:val="00CF4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54B5C"/>
  <w15:chartTrackingRefBased/>
  <w15:docId w15:val="{A73B6F73-6A2C-4EF9-AF88-F4CB7DAB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7498">
      <w:bodyDiv w:val="1"/>
      <w:marLeft w:val="0"/>
      <w:marRight w:val="0"/>
      <w:marTop w:val="0"/>
      <w:marBottom w:val="0"/>
      <w:divBdr>
        <w:top w:val="none" w:sz="0" w:space="0" w:color="auto"/>
        <w:left w:val="none" w:sz="0" w:space="0" w:color="auto"/>
        <w:bottom w:val="none" w:sz="0" w:space="0" w:color="auto"/>
        <w:right w:val="none" w:sz="0" w:space="0" w:color="auto"/>
      </w:divBdr>
      <w:divsChild>
        <w:div w:id="158919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1394</Words>
  <Characters>7951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Dimitris Dimitriadis</cp:lastModifiedBy>
  <cp:revision>2</cp:revision>
  <dcterms:created xsi:type="dcterms:W3CDTF">2021-01-04T14:42:00Z</dcterms:created>
  <dcterms:modified xsi:type="dcterms:W3CDTF">2021-04-13T11:53:00Z</dcterms:modified>
</cp:coreProperties>
</file>